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lang w:val="en-US" w:eastAsia="zh-CN"/>
        </w:rPr>
        <w:t>电子票据及用血服务</w:t>
      </w:r>
      <w:r>
        <w:rPr>
          <w:rFonts w:hint="eastAsia"/>
        </w:rPr>
        <w:t>改造项目在线询价文档</w:t>
      </w:r>
    </w:p>
    <w:p>
      <w:pPr>
        <w:pStyle w:val="3"/>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1、</w:t>
      </w:r>
      <w:r>
        <w:rPr>
          <w:rFonts w:hint="eastAsia" w:ascii="微软雅黑" w:hAnsi="微软雅黑" w:eastAsia="微软雅黑" w:cs="微软雅黑"/>
          <w:b/>
          <w:bCs/>
          <w:sz w:val="21"/>
          <w:szCs w:val="21"/>
        </w:rPr>
        <w:t>采购标的</w:t>
      </w:r>
      <w:r>
        <w:rPr>
          <w:rFonts w:hint="eastAsia" w:ascii="微软雅黑" w:hAnsi="微软雅黑" w:eastAsia="微软雅黑" w:cs="微软雅黑"/>
          <w:b/>
          <w:bCs/>
          <w:sz w:val="21"/>
          <w:szCs w:val="21"/>
          <w:lang w:eastAsia="zh-CN"/>
        </w:rPr>
        <w:t>：</w:t>
      </w:r>
    </w:p>
    <w:p>
      <w:pPr>
        <w:pStyle w:val="3"/>
        <w:numPr>
          <w:ilvl w:val="0"/>
          <w:numId w:val="0"/>
        </w:numPr>
        <w:ind w:leftChars="0"/>
        <w:rPr>
          <w:rFonts w:hint="default" w:ascii="微软雅黑" w:hAnsi="微软雅黑" w:eastAsia="微软雅黑" w:cs="微软雅黑"/>
          <w:b/>
          <w:bCs/>
          <w:sz w:val="21"/>
          <w:szCs w:val="21"/>
          <w:lang w:val="en-US"/>
        </w:rPr>
      </w:pPr>
      <w:r>
        <w:rPr>
          <w:rFonts w:hint="eastAsia" w:ascii="微软雅黑" w:hAnsi="微软雅黑" w:eastAsia="微软雅黑" w:cs="微软雅黑"/>
          <w:b/>
          <w:bCs/>
          <w:sz w:val="21"/>
          <w:szCs w:val="21"/>
          <w:lang w:val="en-US" w:eastAsia="zh-CN"/>
        </w:rPr>
        <w:t>根据《</w:t>
      </w:r>
      <w:r>
        <w:rPr>
          <w:rFonts w:hint="eastAsia" w:ascii="微软雅黑" w:hAnsi="微软雅黑" w:eastAsia="微软雅黑" w:cs="微软雅黑"/>
          <w:sz w:val="21"/>
          <w:szCs w:val="21"/>
          <w:lang w:val="en-US" w:eastAsia="zh-CN"/>
        </w:rPr>
        <w:t>绍兴市财政局绍兴市卫生健康委员会绍兴市医疗保障局关于做好医疗收费电子票据票面信息要素规范和版式文件格式规范修订工作的通知》完成实施对接及相关业务改造。预算金额15万元整。</w:t>
      </w:r>
    </w:p>
    <w:p>
      <w:pPr>
        <w:pStyle w:val="3"/>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2、</w:t>
      </w:r>
      <w:r>
        <w:rPr>
          <w:rFonts w:hint="eastAsia" w:ascii="微软雅黑" w:hAnsi="微软雅黑" w:eastAsia="微软雅黑" w:cs="微软雅黑"/>
          <w:b/>
          <w:bCs/>
          <w:sz w:val="21"/>
          <w:szCs w:val="21"/>
        </w:rPr>
        <w:t>技术及服务要求</w:t>
      </w:r>
    </w:p>
    <w:p>
      <w:pPr>
        <w:pStyle w:val="3"/>
        <w:numPr>
          <w:ilvl w:val="0"/>
          <w:numId w:val="1"/>
        </w:numPr>
        <w:ind w:left="425" w:leftChars="0" w:hanging="425" w:firstLine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电子票据改造</w:t>
      </w:r>
    </w:p>
    <w:tbl>
      <w:tblPr>
        <w:tblStyle w:val="9"/>
        <w:tblW w:w="8406"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953"/>
        <w:gridCol w:w="1608"/>
        <w:gridCol w:w="4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81" w:type="dxa"/>
            <w:tcBorders>
              <w:top w:val="single" w:color="000000" w:sz="4" w:space="0"/>
              <w:left w:val="single" w:color="000000" w:sz="4" w:space="0"/>
              <w:bottom w:val="single" w:color="000000" w:sz="4" w:space="0"/>
              <w:right w:val="single" w:color="000000" w:sz="4" w:space="0"/>
            </w:tcBorders>
            <w:shd w:val="clear" w:color="auto" w:fill="D8E4BC"/>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1953" w:type="dxa"/>
            <w:tcBorders>
              <w:top w:val="single" w:color="000000" w:sz="4" w:space="0"/>
              <w:left w:val="single" w:color="000000" w:sz="4" w:space="0"/>
              <w:bottom w:val="single" w:color="000000" w:sz="4" w:space="0"/>
              <w:right w:val="single" w:color="000000" w:sz="4" w:space="0"/>
            </w:tcBorders>
            <w:shd w:val="clear" w:color="auto" w:fill="D8E4BC"/>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工作类型</w:t>
            </w:r>
          </w:p>
        </w:tc>
        <w:tc>
          <w:tcPr>
            <w:tcW w:w="1608" w:type="dxa"/>
            <w:tcBorders>
              <w:top w:val="single" w:color="000000" w:sz="4" w:space="0"/>
              <w:left w:val="single" w:color="000000" w:sz="4" w:space="0"/>
              <w:bottom w:val="single" w:color="000000" w:sz="4" w:space="0"/>
              <w:right w:val="single" w:color="000000" w:sz="4" w:space="0"/>
            </w:tcBorders>
            <w:shd w:val="clear" w:color="auto" w:fill="D8E4BC"/>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内容</w:t>
            </w:r>
          </w:p>
        </w:tc>
        <w:tc>
          <w:tcPr>
            <w:tcW w:w="4164" w:type="dxa"/>
            <w:tcBorders>
              <w:top w:val="single" w:color="000000" w:sz="4" w:space="0"/>
              <w:left w:val="single" w:color="000000" w:sz="4" w:space="0"/>
              <w:bottom w:val="single" w:color="000000" w:sz="4" w:space="0"/>
              <w:right w:val="single" w:color="000000" w:sz="4" w:space="0"/>
            </w:tcBorders>
            <w:shd w:val="clear" w:color="auto" w:fill="D8E4BC"/>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数据准备</w:t>
            </w:r>
          </w:p>
        </w:tc>
        <w:tc>
          <w:tcPr>
            <w:tcW w:w="1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门诊住院主表（T_MZZY_ZB）</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挂号及门急诊患者基本信息，结算信息，支付信息，医保结算信息等。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住院患者基本信息，结算信息，支付信息，医保结算信息等。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具体数据接口内容详见文档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门诊住院明细表（T_MZZY_MXB）</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挂号及门急诊结算处方、诊疗明细。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住院结算处方、诊疗明细。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具体数据接口内容详见文档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诊断信息表（T_ZDXXB）</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门急诊及住院患者结算对应就诊的诊断信息。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具体数据接口内容详见文档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系统改造</w:t>
            </w:r>
          </w:p>
        </w:tc>
        <w:tc>
          <w:tcPr>
            <w:tcW w:w="1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窗口挂号业务改造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挂号发票信息上传，电子票据打印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退号后挂号发票冲销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窗口门诊结算业务改造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门急诊发票信息上传，电子票据打印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门急诊退费后发票冲销，重传，电子票据打印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门急诊发票作废后发票冲销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诊间结算接口改造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门诊诊间结算后发票信息上传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门诊自助机结算接口改造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门诊自助机结算后发票信息上传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窗口住院业务改造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住院结算后发票信息上传，电子票据打印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住院取消结算后发票冲销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住院自助机结算接口改造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住院自助机结算后发票信息上传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服务台及移动推车住院业务改造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住院结算后发票信息上传，电子票据打印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自助机器电子票据接口改造</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自助机电子票据上传接口改造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院内票据管理功能</w:t>
            </w: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时间段内全院票据补传，重传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电子票据查询、对账等接口改造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微软雅黑" w:hAnsi="微软雅黑" w:eastAsia="微软雅黑" w:cs="微软雅黑"/>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left"/>
              <w:rPr>
                <w:rFonts w:hint="eastAsia" w:ascii="微软雅黑" w:hAnsi="微软雅黑" w:eastAsia="微软雅黑" w:cs="微软雅黑"/>
                <w:i w:val="0"/>
                <w:iCs w:val="0"/>
                <w:color w:val="000000"/>
                <w:sz w:val="21"/>
                <w:szCs w:val="21"/>
                <w:u w:val="none"/>
              </w:rPr>
            </w:pPr>
          </w:p>
        </w:tc>
        <w:tc>
          <w:tcPr>
            <w:tcW w:w="4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院内票据统计功能</w:t>
            </w:r>
          </w:p>
        </w:tc>
      </w:tr>
    </w:tbl>
    <w:p>
      <w:pPr>
        <w:pStyle w:val="3"/>
        <w:numPr>
          <w:ilvl w:val="0"/>
          <w:numId w:val="1"/>
        </w:numPr>
        <w:ind w:left="425" w:leftChars="0" w:hanging="425" w:firstLine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用血业务改造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333333"/>
          <w:sz w:val="21"/>
          <w:szCs w:val="21"/>
        </w:rPr>
        <w:t>根据参数以及签名获取请求接口令牌，其他接口需要令牌加入请求头</w:t>
      </w:r>
      <w:r>
        <w:rPr>
          <w:rFonts w:hint="eastAsia" w:ascii="微软雅黑" w:hAnsi="微软雅黑" w:eastAsia="微软雅黑" w:cs="微软雅黑"/>
          <w:sz w:val="21"/>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333333"/>
          <w:kern w:val="2"/>
          <w:sz w:val="21"/>
          <w:szCs w:val="21"/>
          <w:lang w:val="en-US" w:eastAsia="zh-CN" w:bidi="ar-SA"/>
        </w:rPr>
      </w:pPr>
      <w:bookmarkStart w:id="0" w:name="_Toc12113"/>
      <w:r>
        <w:rPr>
          <w:rFonts w:hint="eastAsia" w:ascii="微软雅黑" w:hAnsi="微软雅黑" w:eastAsia="微软雅黑" w:cs="微软雅黑"/>
          <w:b w:val="0"/>
          <w:bCs w:val="0"/>
          <w:color w:val="333333"/>
          <w:kern w:val="2"/>
          <w:sz w:val="21"/>
          <w:szCs w:val="21"/>
          <w:lang w:val="en-US" w:eastAsia="zh-CN" w:bidi="ar-SA"/>
        </w:rPr>
        <w:t>减免申请接口</w:t>
      </w:r>
      <w:bookmarkEnd w:id="0"/>
      <w:r>
        <w:rPr>
          <w:rFonts w:hint="eastAsia" w:ascii="微软雅黑" w:hAnsi="微软雅黑" w:eastAsia="微软雅黑" w:cs="微软雅黑"/>
          <w:b w:val="0"/>
          <w:bCs w:val="0"/>
          <w:color w:val="333333"/>
          <w:kern w:val="2"/>
          <w:sz w:val="21"/>
          <w:szCs w:val="21"/>
          <w:lang w:val="en-US" w:eastAsia="zh-CN" w:bidi="ar-SA"/>
        </w:rPr>
        <w:t>：医疗机构减免申请，重复上传校验：根据用血者姓名、用血者证件号码、医疗机构代码、就诊唯一号。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bookmarkStart w:id="1" w:name="_Toc12854"/>
      <w:r>
        <w:rPr>
          <w:rFonts w:hint="eastAsia" w:ascii="微软雅黑" w:hAnsi="微软雅黑" w:eastAsia="微软雅黑" w:cs="微软雅黑"/>
          <w:sz w:val="21"/>
          <w:szCs w:val="21"/>
        </w:rPr>
        <w:t>纸质发票上传接口</w:t>
      </w:r>
      <w:bookmarkEnd w:id="1"/>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根据接口3.1减免申请接口返回的交易流水号（BatchNo）上传纸质发票。目前发票图片及发票号码支持重传，对于已经审核不通过的申请记录，重传发票及发票号码会将该申请记录审核状态置为未审核。</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bookmarkStart w:id="2" w:name="_Toc32538"/>
      <w:r>
        <w:rPr>
          <w:rFonts w:hint="eastAsia" w:ascii="微软雅黑" w:hAnsi="微软雅黑" w:eastAsia="微软雅黑" w:cs="微软雅黑"/>
          <w:sz w:val="21"/>
          <w:szCs w:val="21"/>
        </w:rPr>
        <w:t>电子发票上传接口</w:t>
      </w:r>
      <w:bookmarkEnd w:id="2"/>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根据3.1减免申请接口返回的交易流水号（BatchNo）上传发票号码及发票代码。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lang w:val="en-US" w:eastAsia="zh-CN"/>
        </w:rPr>
      </w:pPr>
      <w:bookmarkStart w:id="3" w:name="_Toc25890"/>
      <w:r>
        <w:rPr>
          <w:rFonts w:hint="eastAsia" w:ascii="微软雅黑" w:hAnsi="微软雅黑" w:eastAsia="微软雅黑" w:cs="微软雅黑"/>
          <w:sz w:val="21"/>
          <w:szCs w:val="21"/>
          <w:lang w:eastAsia="zh-CN"/>
        </w:rPr>
        <w:t>数据回传</w:t>
      </w:r>
      <w:bookmarkEnd w:id="3"/>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保存医院方数据。</w:t>
      </w:r>
      <w:r>
        <w:rPr>
          <w:rFonts w:hint="eastAsia" w:ascii="微软雅黑" w:hAnsi="微软雅黑" w:eastAsia="微软雅黑" w:cs="微软雅黑"/>
          <w:sz w:val="21"/>
          <w:szCs w:val="21"/>
          <w:lang w:val="en-US" w:eastAsia="zh-CN"/>
        </w:rPr>
        <w:t xml:space="preserve"> 红色字段为新增字段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bookmarkStart w:id="4" w:name="_Toc9379"/>
      <w:r>
        <w:rPr>
          <w:rFonts w:hint="eastAsia" w:ascii="微软雅黑" w:hAnsi="微软雅黑" w:eastAsia="微软雅黑" w:cs="微软雅黑"/>
          <w:sz w:val="21"/>
          <w:szCs w:val="21"/>
          <w:lang w:val="en-US" w:eastAsia="zh-CN"/>
        </w:rPr>
        <w:t>业务交易撤销接口</w:t>
      </w:r>
      <w:bookmarkEnd w:id="4"/>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根据交易流水号(BatchNo)撤销申请单，撤销申请仅在采供血机构尚未审核的情况下才允许申请撤销，否则接口自动反馈错误或失败。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bookmarkStart w:id="5" w:name="_Toc19012"/>
      <w:r>
        <w:rPr>
          <w:rFonts w:hint="eastAsia" w:ascii="微软雅黑" w:hAnsi="微软雅黑" w:eastAsia="微软雅黑" w:cs="微软雅黑"/>
          <w:sz w:val="21"/>
          <w:szCs w:val="21"/>
        </w:rPr>
        <w:t>查询接口</w:t>
      </w:r>
      <w:bookmarkEnd w:id="5"/>
      <w:r>
        <w:rPr>
          <w:rFonts w:hint="eastAsia" w:ascii="微软雅黑" w:hAnsi="微软雅黑" w:eastAsia="微软雅黑" w:cs="微软雅黑"/>
          <w:sz w:val="21"/>
          <w:szCs w:val="21"/>
          <w:lang w:eastAsia="zh-CN"/>
        </w:rPr>
        <w:t>：</w:t>
      </w:r>
      <w:bookmarkStart w:id="6" w:name="_Toc16933"/>
      <w:r>
        <w:rPr>
          <w:rFonts w:hint="eastAsia" w:ascii="微软雅黑" w:hAnsi="微软雅黑" w:eastAsia="微软雅黑" w:cs="微软雅黑"/>
          <w:sz w:val="21"/>
          <w:szCs w:val="21"/>
        </w:rPr>
        <w:t>是否献血者查询接口</w:t>
      </w:r>
      <w:bookmarkEnd w:id="6"/>
      <w:r>
        <w:rPr>
          <w:rFonts w:hint="eastAsia" w:ascii="微软雅黑" w:hAnsi="微软雅黑" w:eastAsia="微软雅黑" w:cs="微软雅黑"/>
          <w:sz w:val="21"/>
          <w:szCs w:val="21"/>
        </w:rPr>
        <w:t>根据证件类型，证件号码，姓名判断是否为献血者，目前只提供传入身份证号码。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献血者可报销金额查询接口</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根据证件类型、证件号码、姓名查询献血者可报销金额查询接口，目前只提供传入身份证号码。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减免审核状态查询接口</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根据交易流水号获取用血减免申请单详细信息。</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用血机构</w:t>
      </w:r>
      <w:r>
        <w:rPr>
          <w:rFonts w:hint="eastAsia" w:ascii="微软雅黑" w:hAnsi="微软雅黑" w:eastAsia="微软雅黑" w:cs="微软雅黑"/>
          <w:sz w:val="21"/>
          <w:szCs w:val="21"/>
        </w:rPr>
        <w:t>查询接口</w:t>
      </w:r>
      <w:r>
        <w:rPr>
          <w:rFonts w:hint="eastAsia" w:ascii="微软雅黑" w:hAnsi="微软雅黑" w:eastAsia="微软雅黑" w:cs="微软雅黑"/>
          <w:sz w:val="21"/>
          <w:szCs w:val="21"/>
          <w:lang w:eastAsia="zh-CN"/>
        </w:rPr>
        <w:t>：获取当前秘钥</w:t>
      </w:r>
      <w:r>
        <w:rPr>
          <w:rFonts w:hint="eastAsia" w:ascii="微软雅黑" w:hAnsi="微软雅黑" w:eastAsia="微软雅黑" w:cs="微软雅黑"/>
          <w:sz w:val="21"/>
          <w:szCs w:val="21"/>
          <w:lang w:val="en-US" w:eastAsia="zh-CN"/>
        </w:rPr>
        <w:t>对应的用血机构</w:t>
      </w:r>
      <w:r>
        <w:rPr>
          <w:rFonts w:hint="eastAsia" w:ascii="微软雅黑" w:hAnsi="微软雅黑" w:eastAsia="微软雅黑" w:cs="微软雅黑"/>
          <w:sz w:val="21"/>
          <w:szCs w:val="21"/>
        </w:rPr>
        <w:t>。</w:t>
      </w:r>
    </w:p>
    <w:p>
      <w:pPr>
        <w:pStyle w:val="3"/>
        <w:numPr>
          <w:ilvl w:val="0"/>
          <w:numId w:val="3"/>
        </w:numPr>
        <w:ind w:firstLineChars="0"/>
        <w:rPr>
          <w:rFonts w:hint="eastAsia" w:ascii="微软雅黑" w:hAnsi="微软雅黑" w:eastAsia="微软雅黑" w:cs="微软雅黑"/>
          <w:vanish/>
          <w:sz w:val="21"/>
          <w:szCs w:val="21"/>
        </w:rPr>
      </w:pPr>
    </w:p>
    <w:p>
      <w:pPr>
        <w:pStyle w:val="3"/>
        <w:numPr>
          <w:ilvl w:val="0"/>
          <w:numId w:val="3"/>
        </w:numPr>
        <w:ind w:firstLineChars="0"/>
        <w:rPr>
          <w:rFonts w:hint="eastAsia" w:ascii="微软雅黑" w:hAnsi="微软雅黑" w:eastAsia="微软雅黑" w:cs="微软雅黑"/>
          <w:vanish/>
          <w:sz w:val="21"/>
          <w:szCs w:val="21"/>
        </w:rPr>
      </w:pPr>
    </w:p>
    <w:p>
      <w:pPr>
        <w:pStyle w:val="3"/>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3、</w:t>
      </w:r>
      <w:r>
        <w:rPr>
          <w:rFonts w:hint="eastAsia" w:ascii="微软雅黑" w:hAnsi="微软雅黑" w:eastAsia="微软雅黑" w:cs="微软雅黑"/>
          <w:b/>
          <w:bCs/>
          <w:sz w:val="21"/>
          <w:szCs w:val="21"/>
        </w:rPr>
        <w:t>商务要求</w:t>
      </w:r>
    </w:p>
    <w:p>
      <w:pPr>
        <w:pStyle w:val="3"/>
        <w:widowControl/>
        <w:numPr>
          <w:ilvl w:val="0"/>
          <w:numId w:val="4"/>
        </w:numPr>
        <w:autoSpaceDE w:val="0"/>
        <w:autoSpaceDN w:val="0"/>
        <w:spacing w:line="360" w:lineRule="auto"/>
        <w:ind w:firstLineChars="0"/>
        <w:jc w:val="left"/>
        <w:rPr>
          <w:rFonts w:hint="eastAsia" w:ascii="微软雅黑" w:hAnsi="微软雅黑" w:eastAsia="微软雅黑" w:cs="微软雅黑"/>
          <w:b/>
          <w:bCs/>
          <w:vanish/>
          <w:sz w:val="21"/>
          <w:szCs w:val="21"/>
        </w:rPr>
      </w:pPr>
    </w:p>
    <w:p>
      <w:pPr>
        <w:pStyle w:val="3"/>
        <w:widowControl/>
        <w:numPr>
          <w:ilvl w:val="0"/>
          <w:numId w:val="4"/>
        </w:numPr>
        <w:autoSpaceDE w:val="0"/>
        <w:autoSpaceDN w:val="0"/>
        <w:spacing w:line="360" w:lineRule="auto"/>
        <w:ind w:firstLineChars="0"/>
        <w:jc w:val="left"/>
        <w:rPr>
          <w:rFonts w:hint="eastAsia" w:ascii="微软雅黑" w:hAnsi="微软雅黑" w:eastAsia="微软雅黑" w:cs="微软雅黑"/>
          <w:b/>
          <w:bCs/>
          <w:vanish/>
          <w:sz w:val="21"/>
          <w:szCs w:val="21"/>
        </w:rPr>
      </w:pPr>
    </w:p>
    <w:p>
      <w:pPr>
        <w:pStyle w:val="3"/>
        <w:widowControl/>
        <w:numPr>
          <w:ilvl w:val="0"/>
          <w:numId w:val="4"/>
        </w:numPr>
        <w:autoSpaceDE w:val="0"/>
        <w:autoSpaceDN w:val="0"/>
        <w:spacing w:line="360" w:lineRule="auto"/>
        <w:ind w:firstLineChars="0"/>
        <w:jc w:val="left"/>
        <w:rPr>
          <w:rFonts w:hint="eastAsia" w:ascii="微软雅黑" w:hAnsi="微软雅黑" w:eastAsia="微软雅黑" w:cs="微软雅黑"/>
          <w:b/>
          <w:bCs/>
          <w:vanish/>
          <w:sz w:val="21"/>
          <w:szCs w:val="21"/>
        </w:rPr>
      </w:pP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具有独立承担民事责任的能力：在中华人民共和国境内注册的法人或其他组织或自然人，报价（响应）时提交有效的营业执照（或事业法人登记证或身份证等相关证明）副本复印件。分支机构报价的，须提供总公司和分公司营业执照副本复印件，总公司出具给分支机构的授权书</w:t>
      </w:r>
      <w:r>
        <w:rPr>
          <w:rFonts w:hint="eastAsia" w:ascii="微软雅黑" w:hAnsi="微软雅黑" w:eastAsia="微软雅黑" w:cs="微软雅黑"/>
          <w:color w:val="000000"/>
          <w:sz w:val="21"/>
          <w:szCs w:val="21"/>
          <w:lang w:bidi="ar"/>
        </w:rPr>
        <w:t>。</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参加采购活动前3年内，在经营活动中没有重大违法记录：在经营活动中没有重大违法记录。</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信用记录：供应商未被列入“信用中国”网站“记录失信被执行人或重大税收违法案件当事人名单”记录名单；不处于中国政府采购网“政府采购严重违法失信行为信息记录”中的禁止参加政府采购活动期间。（以采购代理机构于投标（响应）截止时间当天在“信用中国”网站及中国政府采购网查询结果为准，如相关失信记录已失效，供应商需提供相关证明资料）</w:t>
      </w:r>
      <w:r>
        <w:rPr>
          <w:rFonts w:hint="eastAsia" w:ascii="微软雅黑" w:hAnsi="微软雅黑" w:eastAsia="微软雅黑" w:cs="微软雅黑"/>
          <w:color w:val="000000"/>
          <w:sz w:val="21"/>
          <w:szCs w:val="21"/>
          <w:lang w:bidi="ar"/>
        </w:rPr>
        <w:t>。</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本项目所有接口必须在原有HIS系统、电子病历系统等的基础上进行适应性改造，不得影响医院所有在用业务系统及临床业务工作。</w:t>
      </w:r>
    </w:p>
    <w:p>
      <w:pPr>
        <w:pStyle w:val="3"/>
        <w:widowControl/>
        <w:numPr>
          <w:ilvl w:val="0"/>
          <w:numId w:val="0"/>
        </w:numPr>
        <w:autoSpaceDE w:val="0"/>
        <w:autoSpaceDN w:val="0"/>
        <w:spacing w:line="360" w:lineRule="auto"/>
        <w:ind w:left="425" w:leftChars="0"/>
        <w:jc w:val="left"/>
        <w:rPr>
          <w:rFonts w:hint="eastAsia" w:ascii="宋体" w:hAnsi="宋体" w:eastAsia="宋体" w:cs="宋体"/>
          <w:color w:val="auto"/>
          <w:kern w:val="0"/>
          <w:sz w:val="24"/>
          <w:szCs w:val="68"/>
          <w:lang w:val="zh-CN"/>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val="zh-CN"/>
        </w:rPr>
        <w:t>中标人</w:t>
      </w:r>
      <w:r>
        <w:rPr>
          <w:rFonts w:hint="eastAsia" w:ascii="微软雅黑" w:hAnsi="微软雅黑" w:eastAsia="微软雅黑" w:cs="微软雅黑"/>
          <w:sz w:val="21"/>
          <w:szCs w:val="21"/>
          <w:lang w:val="en-US" w:eastAsia="zh-CN"/>
        </w:rPr>
        <w:t>需</w:t>
      </w:r>
      <w:r>
        <w:rPr>
          <w:rFonts w:hint="eastAsia" w:ascii="微软雅黑" w:hAnsi="微软雅黑" w:eastAsia="微软雅黑" w:cs="微软雅黑"/>
          <w:sz w:val="21"/>
          <w:szCs w:val="21"/>
          <w:lang w:val="zh-CN"/>
        </w:rPr>
        <w:t>在</w:t>
      </w:r>
      <w:r>
        <w:rPr>
          <w:rFonts w:hint="eastAsia" w:ascii="微软雅黑" w:hAnsi="微软雅黑" w:eastAsia="微软雅黑" w:cs="微软雅黑"/>
          <w:sz w:val="21"/>
          <w:szCs w:val="21"/>
        </w:rPr>
        <w:t>中标后3个</w:t>
      </w:r>
      <w:r>
        <w:rPr>
          <w:rFonts w:hint="eastAsia" w:ascii="微软雅黑" w:hAnsi="微软雅黑" w:eastAsia="微软雅黑" w:cs="微软雅黑"/>
          <w:sz w:val="21"/>
          <w:szCs w:val="21"/>
          <w:lang w:eastAsia="zh-CN"/>
        </w:rPr>
        <w:t>自然</w:t>
      </w:r>
      <w:bookmarkStart w:id="10" w:name="_GoBack"/>
      <w:bookmarkEnd w:id="10"/>
      <w:r>
        <w:rPr>
          <w:rFonts w:hint="eastAsia" w:ascii="微软雅黑" w:hAnsi="微软雅黑" w:eastAsia="微软雅黑" w:cs="微软雅黑"/>
          <w:sz w:val="21"/>
          <w:szCs w:val="21"/>
        </w:rPr>
        <w:t>日内必须到医院现场逐条演示功能清单内容。合同签订后3个工作日安排工程师进场施工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并在10日内完工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可以按照规定要求实时上传完整数据</w:t>
      </w:r>
      <w:r>
        <w:rPr>
          <w:rFonts w:hint="eastAsia" w:ascii="微软雅黑" w:hAnsi="微软雅黑" w:eastAsia="微软雅黑" w:cs="微软雅黑"/>
          <w:sz w:val="21"/>
          <w:szCs w:val="21"/>
          <w:lang w:val="zh-CN"/>
        </w:rPr>
        <w:t>，若未能按时完成实施部署的，采购人</w:t>
      </w:r>
      <w:r>
        <w:rPr>
          <w:rFonts w:hint="eastAsia" w:ascii="微软雅黑" w:hAnsi="微软雅黑" w:eastAsia="微软雅黑" w:cs="微软雅黑"/>
          <w:sz w:val="21"/>
          <w:szCs w:val="21"/>
          <w:lang w:val="en-US" w:eastAsia="zh-CN"/>
        </w:rPr>
        <w:t>将视作验收未通过。10日内仍未验收通过的，</w:t>
      </w:r>
      <w:r>
        <w:rPr>
          <w:rFonts w:hint="eastAsia" w:ascii="微软雅黑" w:hAnsi="微软雅黑" w:eastAsia="微软雅黑" w:cs="微软雅黑"/>
          <w:sz w:val="21"/>
          <w:szCs w:val="21"/>
          <w:lang w:val="zh-CN"/>
        </w:rPr>
        <w:t>视作中标人严重违约，</w:t>
      </w:r>
      <w:r>
        <w:rPr>
          <w:rFonts w:hint="eastAsia" w:ascii="微软雅黑" w:hAnsi="微软雅黑" w:eastAsia="微软雅黑" w:cs="微软雅黑"/>
          <w:sz w:val="21"/>
          <w:szCs w:val="21"/>
          <w:lang w:val="en-US" w:eastAsia="zh-CN"/>
        </w:rPr>
        <w:t>采购人有权</w:t>
      </w:r>
      <w:r>
        <w:rPr>
          <w:rFonts w:hint="eastAsia" w:ascii="微软雅黑" w:hAnsi="微软雅黑" w:eastAsia="微软雅黑" w:cs="微软雅黑"/>
          <w:sz w:val="21"/>
          <w:szCs w:val="21"/>
          <w:lang w:val="zh-CN"/>
        </w:rPr>
        <w:t>单方面终止合同，中标人须赔偿</w:t>
      </w:r>
      <w:r>
        <w:rPr>
          <w:rFonts w:hint="eastAsia" w:ascii="微软雅黑" w:hAnsi="微软雅黑" w:eastAsia="微软雅黑" w:cs="微软雅黑"/>
          <w:sz w:val="21"/>
          <w:szCs w:val="21"/>
          <w:lang w:val="en-US" w:eastAsia="zh-CN"/>
        </w:rPr>
        <w:t>由此产生的所有</w:t>
      </w:r>
      <w:r>
        <w:rPr>
          <w:rFonts w:hint="eastAsia" w:ascii="微软雅黑" w:hAnsi="微软雅黑" w:eastAsia="微软雅黑" w:cs="微软雅黑"/>
          <w:sz w:val="21"/>
          <w:szCs w:val="21"/>
          <w:lang w:val="zh-CN"/>
        </w:rPr>
        <w:t>损失。</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lang w:val="zh-CN" w:eastAsia="zh-CN"/>
        </w:rPr>
        <w:t>该项目必须实现与医院现有</w:t>
      </w:r>
      <w:r>
        <w:rPr>
          <w:rFonts w:hint="eastAsia" w:ascii="微软雅黑" w:hAnsi="微软雅黑" w:eastAsia="微软雅黑" w:cs="微软雅黑"/>
          <w:sz w:val="21"/>
          <w:szCs w:val="21"/>
          <w:lang w:val="en-US" w:eastAsia="zh-CN"/>
        </w:rPr>
        <w:t>各个</w:t>
      </w:r>
      <w:r>
        <w:rPr>
          <w:rFonts w:hint="eastAsia" w:ascii="微软雅黑" w:hAnsi="微软雅黑" w:eastAsia="微软雅黑" w:cs="微软雅黑"/>
          <w:sz w:val="21"/>
          <w:szCs w:val="21"/>
          <w:lang w:val="zh-CN" w:eastAsia="zh-CN"/>
        </w:rPr>
        <w:t>系统的</w:t>
      </w:r>
      <w:r>
        <w:rPr>
          <w:rFonts w:hint="eastAsia" w:ascii="微软雅黑" w:hAnsi="微软雅黑" w:eastAsia="微软雅黑" w:cs="微软雅黑"/>
          <w:sz w:val="21"/>
          <w:szCs w:val="21"/>
          <w:lang w:val="en-US" w:eastAsia="zh-CN"/>
        </w:rPr>
        <w:t>进行</w:t>
      </w:r>
      <w:r>
        <w:rPr>
          <w:rFonts w:hint="eastAsia" w:ascii="微软雅黑" w:hAnsi="微软雅黑" w:eastAsia="微软雅黑" w:cs="微软雅黑"/>
          <w:sz w:val="21"/>
          <w:szCs w:val="21"/>
          <w:lang w:val="zh-CN" w:eastAsia="zh-CN"/>
        </w:rPr>
        <w:t>无缝对接，对接系统可能由此产生的所有费用，由投标人自行承担，具体费用按中标产品特性根据市场情况自行商榷，中标人需在投标前</w:t>
      </w:r>
      <w:r>
        <w:rPr>
          <w:rFonts w:hint="eastAsia" w:ascii="微软雅黑" w:hAnsi="微软雅黑" w:eastAsia="微软雅黑" w:cs="微软雅黑"/>
          <w:sz w:val="21"/>
          <w:szCs w:val="21"/>
          <w:lang w:val="en-US" w:eastAsia="zh-CN"/>
        </w:rPr>
        <w:t>根据自身产品</w:t>
      </w:r>
      <w:r>
        <w:rPr>
          <w:rFonts w:hint="eastAsia" w:ascii="微软雅黑" w:hAnsi="微软雅黑" w:eastAsia="微软雅黑" w:cs="微软雅黑"/>
          <w:sz w:val="21"/>
          <w:szCs w:val="21"/>
          <w:lang w:val="zh-CN" w:eastAsia="zh-CN"/>
        </w:rPr>
        <w:t>评估好接口费用后再报价，采购人不再额外支付费用（合同签订后要求采购人额外支付费用的，采购人将视作验收未通过）</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val="zh-CN"/>
        </w:rPr>
        <w:t>整体系统需符合信息安全</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val="zh-CN"/>
        </w:rPr>
        <w:t>级等保规范要求，网络架构需要配合采购人按照</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val="zh-CN"/>
        </w:rPr>
        <w:t xml:space="preserve">级等保管理要求执行，信息数据安全及病人隐私信息保护要求需要按照规范要求执行。 </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val="zh-CN"/>
        </w:rPr>
        <w:t>投标人应制订项目详细的实施方案，</w:t>
      </w:r>
      <w:r>
        <w:rPr>
          <w:rFonts w:hint="eastAsia" w:ascii="微软雅黑" w:hAnsi="微软雅黑" w:eastAsia="微软雅黑" w:cs="微软雅黑"/>
          <w:sz w:val="21"/>
          <w:szCs w:val="21"/>
          <w:lang w:val="en-US" w:eastAsia="zh-CN"/>
        </w:rPr>
        <w:t>包括技术资料、进度计划等，</w:t>
      </w:r>
      <w:r>
        <w:rPr>
          <w:rFonts w:hint="eastAsia" w:ascii="微软雅黑" w:hAnsi="微软雅黑" w:eastAsia="微软雅黑" w:cs="微软雅黑"/>
          <w:sz w:val="21"/>
          <w:szCs w:val="21"/>
          <w:lang w:val="zh-CN"/>
        </w:rPr>
        <w:t>确保项目按时完成。</w:t>
      </w:r>
    </w:p>
    <w:p>
      <w:pPr>
        <w:pStyle w:val="3"/>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t>验收标准及质保要求</w:t>
      </w:r>
    </w:p>
    <w:p>
      <w:pPr>
        <w:pStyle w:val="3"/>
        <w:numPr>
          <w:ilvl w:val="0"/>
          <w:numId w:val="5"/>
        </w:numPr>
        <w:ind w:firstLineChars="0"/>
        <w:rPr>
          <w:rFonts w:hint="eastAsia" w:ascii="微软雅黑" w:hAnsi="微软雅黑" w:eastAsia="微软雅黑" w:cs="微软雅黑"/>
          <w:b/>
          <w:bCs/>
          <w:vanish/>
          <w:sz w:val="21"/>
          <w:szCs w:val="21"/>
        </w:rPr>
      </w:pPr>
    </w:p>
    <w:p>
      <w:pPr>
        <w:pStyle w:val="3"/>
        <w:numPr>
          <w:ilvl w:val="0"/>
          <w:numId w:val="5"/>
        </w:numPr>
        <w:ind w:firstLineChars="0"/>
        <w:rPr>
          <w:rFonts w:hint="eastAsia" w:ascii="微软雅黑" w:hAnsi="微软雅黑" w:eastAsia="微软雅黑" w:cs="微软雅黑"/>
          <w:b/>
          <w:bCs/>
          <w:vanish/>
          <w:sz w:val="21"/>
          <w:szCs w:val="21"/>
        </w:rPr>
      </w:pPr>
    </w:p>
    <w:p>
      <w:pPr>
        <w:pStyle w:val="3"/>
        <w:numPr>
          <w:ilvl w:val="0"/>
          <w:numId w:val="5"/>
        </w:numPr>
        <w:ind w:firstLineChars="0"/>
        <w:rPr>
          <w:rFonts w:hint="eastAsia" w:ascii="微软雅黑" w:hAnsi="微软雅黑" w:eastAsia="微软雅黑" w:cs="微软雅黑"/>
          <w:b/>
          <w:bCs/>
          <w:vanish/>
          <w:sz w:val="21"/>
          <w:szCs w:val="21"/>
        </w:rPr>
      </w:pPr>
    </w:p>
    <w:p>
      <w:pPr>
        <w:pStyle w:val="3"/>
        <w:numPr>
          <w:ilvl w:val="0"/>
          <w:numId w:val="5"/>
        </w:numPr>
        <w:ind w:firstLineChars="0"/>
        <w:rPr>
          <w:rFonts w:hint="eastAsia" w:ascii="微软雅黑" w:hAnsi="微软雅黑" w:eastAsia="微软雅黑" w:cs="微软雅黑"/>
          <w:b/>
          <w:bCs/>
          <w:vanish/>
          <w:sz w:val="21"/>
          <w:szCs w:val="21"/>
        </w:rPr>
      </w:pPr>
    </w:p>
    <w:p>
      <w:pPr>
        <w:pStyle w:val="3"/>
        <w:numPr>
          <w:ilvl w:val="0"/>
          <w:numId w:val="0"/>
        </w:numPr>
        <w:ind w:left="425" w:leftChars="0"/>
        <w:rPr>
          <w:rFonts w:hint="eastAsia" w:ascii="微软雅黑" w:hAnsi="微软雅黑" w:eastAsia="微软雅黑" w:cs="微软雅黑"/>
          <w:b/>
          <w:bCs/>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投标人应当具有良好的服务理念和完善的售后服务体系，能够按照投标技术方案提供系统集成技术支持服务。</w:t>
      </w:r>
    </w:p>
    <w:p>
      <w:pPr>
        <w:pStyle w:val="3"/>
        <w:numPr>
          <w:ilvl w:val="0"/>
          <w:numId w:val="0"/>
        </w:numPr>
        <w:ind w:left="425" w:leftChars="0"/>
        <w:rPr>
          <w:rFonts w:hint="eastAsia" w:ascii="微软雅黑" w:hAnsi="微软雅黑" w:eastAsia="微软雅黑" w:cs="微软雅黑"/>
          <w:b/>
          <w:bCs/>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在系统建设、使用、运维等过程中遇到问题时，都能够得到投标人相应的技术支持与帮助</w:t>
      </w:r>
      <w:r>
        <w:rPr>
          <w:rFonts w:hint="eastAsia" w:ascii="微软雅黑" w:hAnsi="微软雅黑" w:eastAsia="微软雅黑" w:cs="微软雅黑"/>
          <w:sz w:val="21"/>
          <w:szCs w:val="21"/>
          <w:lang w:eastAsia="zh-CN"/>
        </w:rPr>
        <w:t>。</w:t>
      </w:r>
    </w:p>
    <w:p>
      <w:pPr>
        <w:pStyle w:val="3"/>
        <w:numPr>
          <w:ilvl w:val="0"/>
          <w:numId w:val="0"/>
        </w:numPr>
        <w:ind w:left="425" w:leftChars="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根据医院的业务特点和用户认知程度不同，提出系统而有效的培训方案</w:t>
      </w:r>
      <w:r>
        <w:rPr>
          <w:rFonts w:hint="eastAsia" w:ascii="微软雅黑" w:hAnsi="微软雅黑" w:eastAsia="微软雅黑" w:cs="微软雅黑"/>
          <w:sz w:val="21"/>
          <w:szCs w:val="21"/>
          <w:lang w:eastAsia="zh-CN"/>
        </w:rPr>
        <w:t>。</w:t>
      </w:r>
      <w:bookmarkStart w:id="7" w:name="_Toc14908813"/>
      <w:bookmarkStart w:id="8" w:name="_Toc514333569"/>
      <w:bookmarkStart w:id="9" w:name="_Toc17342"/>
    </w:p>
    <w:p>
      <w:pPr>
        <w:pStyle w:val="3"/>
        <w:numPr>
          <w:ilvl w:val="0"/>
          <w:numId w:val="0"/>
        </w:numPr>
        <w:ind w:left="425" w:left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kern w:val="2"/>
          <w:sz w:val="21"/>
          <w:szCs w:val="21"/>
          <w:lang w:val="en-US" w:eastAsia="zh-CN" w:bidi="ar-SA"/>
        </w:rPr>
        <w:t>采购人依据采购文件、合同要求、设备性能等，参照设备采购清单，进行产品品牌、型号、数量到货初验（所有货物一次性到达安装现场），如在项目初验时或正式验收时发现产品达不到验收标准或合同规定的性能指标，供方必须立即调整或更换产品，并赔偿由此给用户造成的损失。</w:t>
      </w:r>
    </w:p>
    <w:p>
      <w:pPr>
        <w:pStyle w:val="3"/>
        <w:numPr>
          <w:ilvl w:val="0"/>
          <w:numId w:val="0"/>
        </w:numPr>
        <w:ind w:left="425" w:left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5、中标人应在项目竣工后，按规定提交有关竣工资料。</w:t>
      </w:r>
      <w:bookmarkEnd w:id="7"/>
      <w:bookmarkEnd w:id="8"/>
      <w:bookmarkEnd w:id="9"/>
    </w:p>
    <w:p>
      <w:pPr>
        <w:pStyle w:val="3"/>
        <w:numPr>
          <w:ilvl w:val="0"/>
          <w:numId w:val="0"/>
        </w:numPr>
        <w:ind w:left="425" w:leftChars="0"/>
        <w:rPr>
          <w:rFonts w:hint="eastAsia" w:ascii="微软雅黑" w:hAnsi="微软雅黑" w:eastAsia="微软雅黑" w:cs="微软雅黑"/>
          <w:kern w:val="2"/>
          <w:sz w:val="21"/>
          <w:szCs w:val="21"/>
          <w:lang w:val="zh-CN" w:eastAsia="zh-CN" w:bidi="ar-SA"/>
        </w:rPr>
      </w:pPr>
      <w:r>
        <w:rPr>
          <w:rFonts w:hint="eastAsia" w:ascii="微软雅黑" w:hAnsi="微软雅黑" w:eastAsia="微软雅黑" w:cs="微软雅黑"/>
          <w:kern w:val="2"/>
          <w:sz w:val="21"/>
          <w:szCs w:val="21"/>
          <w:lang w:val="en-US" w:eastAsia="zh-CN" w:bidi="ar-SA"/>
        </w:rPr>
        <w:t>6、本项目</w:t>
      </w:r>
      <w:r>
        <w:rPr>
          <w:rFonts w:hint="eastAsia" w:ascii="微软雅黑" w:hAnsi="微软雅黑" w:eastAsia="微软雅黑" w:cs="微软雅黑"/>
          <w:kern w:val="2"/>
          <w:sz w:val="21"/>
          <w:szCs w:val="21"/>
          <w:lang w:val="zh-CN" w:eastAsia="zh-CN" w:bidi="ar-SA"/>
        </w:rPr>
        <w:t>要求7×24小时现场服务响应，如突遇故障或系统性能下降，工作时间即时做出明确响应和安排，工作时间30分钟内、非工作时间60分钟内予以响应，2小时内做出初步故障诊断报告；现场工程师无法紧急处置的情况下，中标人应即时响应，指派支持开发技术工程师进行远程维护，不能远程维护解决的，在接到电话6小时内及时派技术人员前往现场处理故障问题，并无条件连续24小时不间断处理，紧急情况的判定无条件以采购人判定为准；无法明确故障原因的，须同其他硬件抢修人员一并组织抢修直至问题解决和明确故障原因；应配合做好硬件及网络设备更新、迁移、本地及异地备份容灾等工作。</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val="zh-CN"/>
        </w:rPr>
        <w:t>中标人在供货时提供的所有设备、部件均应是原装部件，原包原盒，非OEM的产品，不得以拆封件、拆机件交货。</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val="zh-CN"/>
        </w:rPr>
        <w:t>备品备件、专用工具和进口件的交货进度，如双方无特别约定，应视为与主货物的交货进度一致。</w:t>
      </w:r>
    </w:p>
    <w:p>
      <w:pPr>
        <w:pStyle w:val="3"/>
        <w:widowControl/>
        <w:numPr>
          <w:ilvl w:val="0"/>
          <w:numId w:val="0"/>
        </w:numPr>
        <w:autoSpaceDE w:val="0"/>
        <w:autoSpaceDN w:val="0"/>
        <w:spacing w:line="360" w:lineRule="auto"/>
        <w:ind w:left="425" w:left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9、中标人</w:t>
      </w:r>
      <w:r>
        <w:rPr>
          <w:rFonts w:hint="eastAsia" w:ascii="微软雅黑" w:hAnsi="微软雅黑" w:eastAsia="微软雅黑" w:cs="微软雅黑"/>
          <w:sz w:val="21"/>
          <w:szCs w:val="21"/>
          <w:lang w:val="zh-CN"/>
        </w:rPr>
        <w:t>应在货物发运前对其进行满足运输距离、防潮、防震、防锈和防破损装卸等要求包装，以保证货物安全运达甲方指定地点，对提供的设备必须按招标文件要求。</w:t>
      </w:r>
    </w:p>
    <w:p>
      <w:pPr>
        <w:pStyle w:val="3"/>
        <w:numPr>
          <w:ilvl w:val="0"/>
          <w:numId w:val="0"/>
        </w:numPr>
        <w:spacing w:before="120" w:line="360" w:lineRule="auto"/>
        <w:ind w:left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5、</w:t>
      </w:r>
      <w:r>
        <w:rPr>
          <w:rFonts w:hint="eastAsia" w:ascii="微软雅黑" w:hAnsi="微软雅黑" w:eastAsia="微软雅黑" w:cs="微软雅黑"/>
          <w:b/>
          <w:bCs/>
          <w:sz w:val="21"/>
          <w:szCs w:val="21"/>
        </w:rPr>
        <w:t>付款方式</w:t>
      </w:r>
      <w:r>
        <w:rPr>
          <w:rFonts w:hint="eastAsia" w:ascii="微软雅黑" w:hAnsi="微软雅黑" w:eastAsia="微软雅黑" w:cs="微软雅黑"/>
          <w:b/>
          <w:bCs/>
          <w:sz w:val="21"/>
          <w:szCs w:val="21"/>
          <w:lang w:val="en-US" w:eastAsia="zh-CN"/>
        </w:rPr>
        <w:t>及要求</w:t>
      </w:r>
    </w:p>
    <w:p>
      <w:pPr>
        <w:numPr>
          <w:ilvl w:val="0"/>
          <w:numId w:val="0"/>
        </w:numPr>
        <w:spacing w:line="360" w:lineRule="auto"/>
        <w:ind w:left="0" w:leftChars="0" w:firstLine="420" w:firstLineChars="200"/>
        <w:rPr>
          <w:rFonts w:hint="eastAsia" w:ascii="微软雅黑" w:hAnsi="微软雅黑" w:eastAsia="微软雅黑" w:cs="微软雅黑"/>
          <w:kern w:val="2"/>
          <w:sz w:val="21"/>
          <w:szCs w:val="21"/>
          <w:lang w:val="en-US" w:eastAsia="zh-CN" w:bidi="ar-SA"/>
        </w:rPr>
      </w:pPr>
      <w:r>
        <w:rPr>
          <w:rFonts w:hint="default" w:ascii="微软雅黑" w:hAnsi="微软雅黑" w:eastAsia="微软雅黑" w:cs="微软雅黑"/>
          <w:kern w:val="2"/>
          <w:sz w:val="21"/>
          <w:szCs w:val="21"/>
          <w:lang w:val="en-US" w:eastAsia="zh-CN" w:bidi="ar-SA"/>
        </w:rPr>
        <w:t>1．</w:t>
      </w:r>
      <w:r>
        <w:rPr>
          <w:rFonts w:hint="eastAsia" w:ascii="微软雅黑" w:hAnsi="微软雅黑" w:eastAsia="微软雅黑" w:cs="微软雅黑"/>
          <w:kern w:val="2"/>
          <w:sz w:val="21"/>
          <w:szCs w:val="21"/>
          <w:lang w:val="en-US" w:eastAsia="zh-CN" w:bidi="ar-SA"/>
        </w:rPr>
        <w:t>付款方式</w:t>
      </w:r>
    </w:p>
    <w:p>
      <w:pPr>
        <w:numPr>
          <w:ilvl w:val="0"/>
          <w:numId w:val="0"/>
        </w:numPr>
        <w:spacing w:line="360" w:lineRule="auto"/>
        <w:ind w:left="0" w:leftChars="0" w:firstLine="420" w:firstLineChars="20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要求中标公示结束后，5个自然日内签订项目合同，签订合同前乙方缴纳合同总金额 1%的履约保证金，未缴纳履约保证金的，本项目合同不生效。签订合同后甲方向乙方支付合同总金额的20%为预付款（乙方须先提交银行、保险公司等金融机构出具的预付款保函），且乙方须在10个自然日内完成项目实施并正常上线。完成项目实施后试运行1个月无异议，则可提请初验，初验合格后支付30%合同项目款，初验合格后3个月，系统运行良好并无异议，则可提请正式验收，正式综合验收合格后，按照40%合同项目款予以支付，综合验收合格满1年且无异议的付清余款（所有款项均不计息）。综合验收合格后退还履约保证金。</w:t>
      </w:r>
    </w:p>
    <w:p>
      <w:pPr>
        <w:numPr>
          <w:ilvl w:val="0"/>
          <w:numId w:val="0"/>
        </w:numPr>
        <w:spacing w:line="360" w:lineRule="auto"/>
        <w:ind w:left="0" w:leftChars="0" w:firstLine="420" w:firstLineChars="20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2.付款要求</w:t>
      </w:r>
    </w:p>
    <w:p>
      <w:pPr>
        <w:pStyle w:val="3"/>
        <w:numPr>
          <w:ilvl w:val="0"/>
          <w:numId w:val="0"/>
        </w:numPr>
        <w:spacing w:before="120" w:line="360" w:lineRule="auto"/>
        <w:ind w:leftChars="0"/>
        <w:jc w:val="left"/>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乙方在收款之前，应向甲方提供发票，甲方凭发票付款。如乙方未按约定提供发票的，甲方有权拒绝付款，直至收到乙方提交的相应发票为止，在此情况下，甲方不承担逾期付款违约责任。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微软雅黑" w:hAnsi="微软雅黑" w:eastAsia="微软雅黑" w:cs="微软雅黑"/>
          <w:b/>
          <w:bCs/>
          <w:kern w:val="2"/>
          <w:sz w:val="21"/>
          <w:szCs w:val="21"/>
          <w:lang w:val="zh-CN" w:eastAsia="zh-CN" w:bidi="ar-SA"/>
        </w:rPr>
      </w:pPr>
      <w:r>
        <w:rPr>
          <w:rFonts w:hint="eastAsia" w:ascii="微软雅黑" w:hAnsi="微软雅黑" w:eastAsia="微软雅黑" w:cs="微软雅黑"/>
          <w:b/>
          <w:bCs/>
          <w:kern w:val="2"/>
          <w:sz w:val="21"/>
          <w:szCs w:val="21"/>
          <w:lang w:val="en-US" w:eastAsia="zh-CN" w:bidi="ar-SA"/>
        </w:rPr>
        <w:t>6、保密条款</w:t>
      </w:r>
      <w:r>
        <w:rPr>
          <w:rFonts w:hint="eastAsia" w:ascii="微软雅黑" w:hAnsi="微软雅黑" w:eastAsia="微软雅黑" w:cs="微软雅黑"/>
          <w:b/>
          <w:bCs/>
          <w:kern w:val="2"/>
          <w:sz w:val="21"/>
          <w:szCs w:val="21"/>
          <w:lang w:val="zh-CN" w:eastAsia="zh-CN" w:bidi="ar-SA"/>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采购人向中标人提供的，属于采购人所有或专有的，或采购人负有保密义务的有关第三方的下列资料及所有在信息载体上需要“保密”的材料和信息，需保密材料包括但不限于：系统数据、居民基本信息、医疗健康信息数据、需求图表等知识产权、业务记录和计划、商业机密、技术资料、产品项目、产品设计信息、价格结构、成本、网络信息等非公开的、保密的或专业的信息和数据。中标人对保密信息谨慎、妥善持有，并严格保密，没有采购人事先书面同意，不得向任何第三方披露，对外宣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标人仅可为双方合作之必需，将经采购人书面同意指定的保密信息披露给采购人指定的第三方公司，并且该公司应首先以书面形式承诺保守该保密信息。中标人仅可为双方合作业务之必需，将保密信息披露给其直接或间接参与合作事项的管理人员、职员、顾问和其他雇员（统称“有关人员”），但应保证该类有关人员对保密信息严格保密。若具有权力的法庭或其他司法、行政、立法机构要求中标人披露保密信息，中标人将立即通知采购人此类要求。若中标人按上述要求必须提供保密信息，中标人将配合采购人采取合法及合理的措施，要求所提供的保密信息能得到保密的待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若中标人或有关人员违反保密义务，中标人须承担全部无限责任（包括法律责任），并赔偿采购人由此造成的全部损失。中标人没有得到采购人的书面同意，不得将其在本合同项下的保密权利和义务转让给第三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除采购人以书面形式明确表达外，采购人向中标人披露保密信息并不构成采购人向中标人转让或授予中标人享有采购人对其专利、技术秘密或其他知识产权等秘密拥有的利益。保密要求不受项目合同时间限制，无论是否合同有效期内或有效期外，中标人都必须遵守采购人的保密要求。中标人相关人员须在入场实施或运维前与采购人签订《信息安全保密协议》，在实施及运维过程中，必须遵守医院相关信息安全管理制度，保证采购人数据与网络安全。</w:t>
      </w:r>
    </w:p>
    <w:p>
      <w:pPr>
        <w:spacing w:before="120" w:line="360" w:lineRule="auto"/>
        <w:ind w:firstLine="210" w:firstLineChars="100"/>
        <w:jc w:val="left"/>
        <w:rPr>
          <w:rFonts w:hint="eastAsia" w:ascii="微软雅黑" w:hAnsi="微软雅黑" w:eastAsia="微软雅黑" w:cs="微软雅黑"/>
          <w:sz w:val="21"/>
          <w:szCs w:val="21"/>
        </w:rPr>
      </w:pPr>
    </w:p>
    <w:p>
      <w:pPr>
        <w:spacing w:before="120" w:line="360" w:lineRule="auto"/>
        <w:ind w:firstLine="210" w:firstLineChars="100"/>
        <w:jc w:val="left"/>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E0B8E"/>
    <w:multiLevelType w:val="multilevel"/>
    <w:tmpl w:val="03DE0B8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9FF31F8"/>
    <w:multiLevelType w:val="multilevel"/>
    <w:tmpl w:val="09FF31F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EC74EFC"/>
    <w:multiLevelType w:val="singleLevel"/>
    <w:tmpl w:val="6EC74EFC"/>
    <w:lvl w:ilvl="0" w:tentative="0">
      <w:start w:val="1"/>
      <w:numFmt w:val="decimal"/>
      <w:lvlText w:val="%1."/>
      <w:lvlJc w:val="left"/>
      <w:pPr>
        <w:ind w:left="425" w:hanging="425"/>
      </w:pPr>
      <w:rPr>
        <w:rFonts w:hint="default"/>
      </w:rPr>
    </w:lvl>
  </w:abstractNum>
  <w:abstractNum w:abstractNumId="3">
    <w:nsid w:val="6EDDCF0E"/>
    <w:multiLevelType w:val="singleLevel"/>
    <w:tmpl w:val="6EDDCF0E"/>
    <w:lvl w:ilvl="0" w:tentative="0">
      <w:start w:val="1"/>
      <w:numFmt w:val="decimal"/>
      <w:lvlText w:val="%1)"/>
      <w:lvlJc w:val="left"/>
      <w:pPr>
        <w:ind w:left="425" w:hanging="425"/>
      </w:pPr>
      <w:rPr>
        <w:rFonts w:hint="default"/>
      </w:rPr>
    </w:lvl>
  </w:abstractNum>
  <w:abstractNum w:abstractNumId="4">
    <w:nsid w:val="7B651FEB"/>
    <w:multiLevelType w:val="multilevel"/>
    <w:tmpl w:val="7B651FEB"/>
    <w:lvl w:ilvl="0" w:tentative="0">
      <w:start w:val="1"/>
      <w:numFmt w:val="decimal"/>
      <w:lvlText w:val="%1"/>
      <w:lvlJc w:val="left"/>
      <w:pPr>
        <w:ind w:left="425" w:hanging="425"/>
      </w:pPr>
    </w:lvl>
    <w:lvl w:ilvl="1" w:tentative="0">
      <w:start w:val="1"/>
      <w:numFmt w:val="decimal"/>
      <w:lvlText w:val="%1.%2"/>
      <w:lvlJc w:val="left"/>
      <w:pPr>
        <w:ind w:left="992" w:hanging="567"/>
      </w:pPr>
      <w:rPr>
        <w:b w:val="0"/>
        <w:bCs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mVjNWMwYTA3ODVhNTliZGU5YWQxMzA4MmVlOWIifQ=="/>
  </w:docVars>
  <w:rsids>
    <w:rsidRoot w:val="00782136"/>
    <w:rsid w:val="00015152"/>
    <w:rsid w:val="00040F06"/>
    <w:rsid w:val="000F4C23"/>
    <w:rsid w:val="0016460F"/>
    <w:rsid w:val="001B4D10"/>
    <w:rsid w:val="001B5828"/>
    <w:rsid w:val="002663F9"/>
    <w:rsid w:val="00341EFC"/>
    <w:rsid w:val="004C48B0"/>
    <w:rsid w:val="004D4607"/>
    <w:rsid w:val="00697FE1"/>
    <w:rsid w:val="00736BAF"/>
    <w:rsid w:val="007820F4"/>
    <w:rsid w:val="00782136"/>
    <w:rsid w:val="008D1D77"/>
    <w:rsid w:val="00955FA9"/>
    <w:rsid w:val="00B87940"/>
    <w:rsid w:val="00C722DC"/>
    <w:rsid w:val="00C92D47"/>
    <w:rsid w:val="00CA7986"/>
    <w:rsid w:val="00E33945"/>
    <w:rsid w:val="00FB08F0"/>
    <w:rsid w:val="0E903DF5"/>
    <w:rsid w:val="101B5ADA"/>
    <w:rsid w:val="21B46E11"/>
    <w:rsid w:val="29D3129C"/>
    <w:rsid w:val="2CB466E5"/>
    <w:rsid w:val="35C66C86"/>
    <w:rsid w:val="40D25B88"/>
    <w:rsid w:val="41884BB6"/>
    <w:rsid w:val="45EA6B16"/>
    <w:rsid w:val="47DB62BB"/>
    <w:rsid w:val="5AC7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段落"/>
    <w:basedOn w:val="3"/>
    <w:qFormat/>
    <w:uiPriority w:val="0"/>
    <w:pPr>
      <w:ind w:firstLine="200"/>
    </w:pPr>
    <w:rPr>
      <w:rFonts w:ascii="Verdana" w:hAnsi="Verdana"/>
      <w:color w:val="000000"/>
      <w:shd w:val="clear" w:color="auto" w:fill="FFFFFF"/>
    </w:rPr>
  </w:style>
  <w:style w:type="paragraph" w:styleId="3">
    <w:name w:val="List Paragraph"/>
    <w:basedOn w:val="1"/>
    <w:qFormat/>
    <w:uiPriority w:val="34"/>
    <w:pPr>
      <w:ind w:firstLine="420" w:firstLineChars="200"/>
    </w:pPr>
  </w:style>
  <w:style w:type="paragraph" w:styleId="5">
    <w:name w:val="Body Text"/>
    <w:basedOn w:val="1"/>
    <w:next w:val="6"/>
    <w:qFormat/>
    <w:uiPriority w:val="99"/>
    <w:rPr>
      <w:rFonts w:ascii="Times New Roman" w:hAnsi="Times New Roman" w:eastAsia="宋体" w:cs="Times New Roman"/>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customStyle="1" w:styleId="13">
    <w:name w:val="*正文"/>
    <w:basedOn w:val="1"/>
    <w:qFormat/>
    <w:uiPriority w:val="0"/>
    <w:pPr>
      <w:spacing w:beforeLines="50" w:afterLines="50" w:line="360" w:lineRule="auto"/>
      <w:ind w:firstLine="480" w:firstLineChars="200"/>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1895</Words>
  <Characters>1954</Characters>
  <Lines>12</Lines>
  <Paragraphs>3</Paragraphs>
  <TotalTime>0</TotalTime>
  <ScaleCrop>false</ScaleCrop>
  <LinksUpToDate>false</LinksUpToDate>
  <CharactersWithSpaces>1957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2022-10-15T03:58:00Z</dcterms:created>
  <dc:creator>韩 晶晶</dc:creator>
  <cp:lastModifiedBy>Administrator</cp:lastModifiedBy>
  <dcterms:modified xsi:type="dcterms:W3CDTF">2024-09-25T01:57:04Z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C8F41CBD1A9B41E2ADE88AED7FF7AC60_12</vt:lpwstr>
  </property>
</Properties>
</file>