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color w:val="auto"/>
          <w:sz w:val="48"/>
          <w:szCs w:val="48"/>
          <w:highlight w:val="none"/>
          <w:u w:val="single"/>
        </w:rPr>
      </w:pPr>
    </w:p>
    <w:p>
      <w:pPr>
        <w:pStyle w:val="6"/>
        <w:ind w:firstLine="0"/>
        <w:jc w:val="center"/>
        <w:rPr>
          <w:rFonts w:hint="default" w:asciiTheme="minorEastAsia" w:hAnsiTheme="minorEastAsia" w:eastAsiaTheme="minorEastAsia" w:cstheme="minorEastAsia"/>
          <w:b/>
          <w:bCs/>
          <w:color w:val="auto"/>
          <w:sz w:val="44"/>
          <w:szCs w:val="44"/>
          <w:highlight w:val="none"/>
          <w:lang w:val="en-US" w:eastAsia="zh-CN"/>
        </w:rPr>
      </w:pPr>
      <w:r>
        <w:rPr>
          <w:rFonts w:hint="eastAsia" w:asciiTheme="minorEastAsia" w:hAnsiTheme="minorEastAsia" w:eastAsiaTheme="minorEastAsia" w:cstheme="minorEastAsia"/>
          <w:b/>
          <w:bCs/>
          <w:color w:val="auto"/>
          <w:sz w:val="44"/>
          <w:szCs w:val="44"/>
          <w:highlight w:val="none"/>
        </w:rPr>
        <w:t>绍兴市上虞</w:t>
      </w:r>
      <w:r>
        <w:rPr>
          <w:rFonts w:hint="eastAsia" w:asciiTheme="minorEastAsia" w:hAnsiTheme="minorEastAsia" w:eastAsiaTheme="minorEastAsia" w:cstheme="minorEastAsia"/>
          <w:b/>
          <w:bCs/>
          <w:color w:val="auto"/>
          <w:sz w:val="44"/>
          <w:szCs w:val="44"/>
          <w:highlight w:val="none"/>
          <w:lang w:val="en-US" w:eastAsia="zh-CN"/>
        </w:rPr>
        <w:t>妇幼保健院</w:t>
      </w:r>
    </w:p>
    <w:p>
      <w:pPr>
        <w:pStyle w:val="6"/>
        <w:ind w:firstLine="0"/>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rPr>
        <w:t>信息安全设备项目</w:t>
      </w:r>
    </w:p>
    <w:p>
      <w:pPr>
        <w:pStyle w:val="6"/>
        <w:ind w:firstLine="0"/>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eastAsia="zh-CN"/>
        </w:rPr>
        <w:t>在线询价文件</w:t>
      </w:r>
    </w:p>
    <w:p>
      <w:pPr>
        <w:snapToGrid w:val="0"/>
        <w:spacing w:line="360" w:lineRule="auto"/>
        <w:ind w:firstLine="2301" w:firstLineChars="767"/>
        <w:jc w:val="left"/>
        <w:rPr>
          <w:rFonts w:asciiTheme="minorEastAsia" w:hAnsiTheme="minorEastAsia" w:eastAsiaTheme="minorEastAsia" w:cstheme="minorEastAsia"/>
          <w:color w:val="auto"/>
          <w:sz w:val="30"/>
          <w:szCs w:val="30"/>
          <w:highlight w:val="none"/>
        </w:rPr>
      </w:pPr>
    </w:p>
    <w:p>
      <w:pPr>
        <w:pStyle w:val="31"/>
        <w:rPr>
          <w:color w:val="auto"/>
          <w:highlight w:val="none"/>
        </w:rPr>
      </w:pPr>
    </w:p>
    <w:p>
      <w:pPr>
        <w:spacing w:line="360" w:lineRule="auto"/>
        <w:rPr>
          <w:rFonts w:asciiTheme="minorEastAsia" w:hAnsiTheme="minorEastAsia" w:eastAsiaTheme="minorEastAsia" w:cstheme="minorEastAsia"/>
          <w:color w:val="auto"/>
          <w:sz w:val="28"/>
          <w:szCs w:val="28"/>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pStyle w:val="29"/>
        <w:rPr>
          <w:rFonts w:asciiTheme="minorEastAsia" w:hAnsiTheme="minorEastAsia" w:eastAsiaTheme="minorEastAsia" w:cstheme="minorEastAsia"/>
          <w:color w:val="auto"/>
          <w:sz w:val="24"/>
          <w:szCs w:val="24"/>
          <w:highlight w:val="none"/>
        </w:rPr>
      </w:pPr>
    </w:p>
    <w:p>
      <w:pPr>
        <w:pStyle w:val="29"/>
        <w:rPr>
          <w:rFonts w:asciiTheme="minorEastAsia" w:hAnsiTheme="minorEastAsia" w:eastAsiaTheme="minorEastAsia" w:cstheme="minorEastAsia"/>
          <w:color w:val="auto"/>
          <w:sz w:val="24"/>
          <w:szCs w:val="24"/>
          <w:highlight w:val="none"/>
        </w:rPr>
      </w:pPr>
    </w:p>
    <w:p>
      <w:pPr>
        <w:pStyle w:val="29"/>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pStyle w:val="3"/>
        <w:rPr>
          <w:rFonts w:asciiTheme="minorEastAsia" w:hAnsiTheme="minorEastAsia" w:eastAsiaTheme="minorEastAsia" w:cstheme="minorEastAsia"/>
          <w:color w:val="auto"/>
          <w:sz w:val="24"/>
          <w:szCs w:val="24"/>
          <w:highlight w:val="none"/>
        </w:rPr>
      </w:pPr>
    </w:p>
    <w:p>
      <w:pPr>
        <w:rPr>
          <w:rFonts w:asciiTheme="minorEastAsia" w:hAnsiTheme="minorEastAsia" w:eastAsiaTheme="minorEastAsia" w:cstheme="minorEastAsia"/>
          <w:color w:val="auto"/>
          <w:sz w:val="24"/>
          <w:szCs w:val="24"/>
          <w:highlight w:val="none"/>
        </w:rPr>
      </w:pPr>
    </w:p>
    <w:p>
      <w:pPr>
        <w:pStyle w:val="3"/>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color w:val="auto"/>
          <w:sz w:val="24"/>
          <w:szCs w:val="24"/>
          <w:highlight w:val="none"/>
        </w:rPr>
      </w:pPr>
    </w:p>
    <w:p>
      <w:pPr>
        <w:snapToGrid w:val="0"/>
        <w:spacing w:line="360" w:lineRule="auto"/>
        <w:jc w:val="center"/>
        <w:rPr>
          <w:rFonts w:hint="default" w:asciiTheme="minorEastAsia" w:hAnsiTheme="minorEastAsia" w:eastAsiaTheme="minorEastAsia" w:cstheme="minorEastAsia"/>
          <w:b/>
          <w:bCs/>
          <w:color w:val="auto"/>
          <w:sz w:val="44"/>
          <w:szCs w:val="44"/>
          <w:highlight w:val="none"/>
          <w:lang w:val="en-US" w:eastAsia="zh-CN" w:bidi="ar-SA"/>
        </w:rPr>
      </w:pPr>
      <w:r>
        <w:rPr>
          <w:rFonts w:hint="eastAsia" w:asciiTheme="minorEastAsia" w:hAnsiTheme="minorEastAsia" w:eastAsiaTheme="minorEastAsia" w:cstheme="minorEastAsia"/>
          <w:b/>
          <w:bCs/>
          <w:color w:val="auto"/>
          <w:sz w:val="44"/>
          <w:szCs w:val="44"/>
          <w:highlight w:val="none"/>
          <w:lang w:val="en-US" w:eastAsia="zh-CN" w:bidi="ar-SA"/>
        </w:rPr>
        <w:t>采购人：绍兴市上虞妇幼保健院</w:t>
      </w:r>
    </w:p>
    <w:p>
      <w:pPr>
        <w:snapToGrid w:val="0"/>
        <w:spacing w:line="360" w:lineRule="auto"/>
        <w:jc w:val="center"/>
        <w:rPr>
          <w:rFonts w:hint="default" w:asciiTheme="minorEastAsia" w:hAnsiTheme="minorEastAsia" w:eastAsiaTheme="minorEastAsia" w:cstheme="minorEastAsia"/>
          <w:color w:val="auto"/>
          <w:sz w:val="30"/>
          <w:szCs w:val="30"/>
          <w:highlight w:val="none"/>
          <w:lang w:val="en-US"/>
        </w:rPr>
        <w:sectPr>
          <w:pgSz w:w="11906" w:h="16838"/>
          <w:pgMar w:top="1440" w:right="1506" w:bottom="1440" w:left="1800" w:header="851" w:footer="992" w:gutter="0"/>
          <w:cols w:space="425" w:num="1"/>
          <w:docGrid w:type="lines" w:linePitch="312" w:charSpace="0"/>
        </w:sectPr>
      </w:pPr>
      <w:r>
        <w:rPr>
          <w:rFonts w:hint="eastAsia" w:asciiTheme="minorEastAsia" w:hAnsiTheme="minorEastAsia" w:eastAsiaTheme="minorEastAsia" w:cstheme="minorEastAsia"/>
          <w:b/>
          <w:bCs/>
          <w:color w:val="auto"/>
          <w:sz w:val="44"/>
          <w:szCs w:val="44"/>
          <w:highlight w:val="none"/>
          <w:lang w:val="en-US" w:eastAsia="zh-CN" w:bidi="ar-SA"/>
        </w:rPr>
        <w:t>二0二四年三月</w:t>
      </w:r>
    </w:p>
    <w:p>
      <w:pPr>
        <w:pStyle w:val="2"/>
        <w:jc w:val="center"/>
        <w:rPr>
          <w:rFonts w:hint="eastAsia" w:asciiTheme="minorEastAsia" w:hAnsiTheme="minorEastAsia" w:eastAsiaTheme="minorEastAsia" w:cstheme="minorEastAsia"/>
          <w:color w:val="auto"/>
          <w:sz w:val="36"/>
          <w:szCs w:val="36"/>
          <w:highlight w:val="none"/>
        </w:rPr>
      </w:pPr>
      <w:bookmarkStart w:id="0" w:name="_Toc115520502"/>
      <w:bookmarkStart w:id="1" w:name="_Toc32199"/>
      <w:bookmarkStart w:id="2" w:name="_Toc31034"/>
      <w:bookmarkStart w:id="3" w:name="_Toc91899870"/>
      <w:bookmarkStart w:id="4" w:name="第二部分"/>
      <w:r>
        <w:rPr>
          <w:rFonts w:hint="eastAsia" w:asciiTheme="minorEastAsia" w:hAnsiTheme="minorEastAsia" w:eastAsiaTheme="minorEastAsia" w:cstheme="minorEastAsia"/>
          <w:color w:val="auto"/>
          <w:sz w:val="36"/>
          <w:szCs w:val="36"/>
          <w:highlight w:val="none"/>
        </w:rPr>
        <w:t>第一部分</w:t>
      </w:r>
      <w:r>
        <w:rPr>
          <w:rFonts w:hint="eastAsia" w:asciiTheme="minorEastAsia" w:hAnsiTheme="minorEastAsia" w:eastAsiaTheme="minorEastAsia" w:cstheme="minorEastAsia"/>
          <w:color w:val="auto"/>
          <w:sz w:val="36"/>
          <w:szCs w:val="36"/>
          <w:highlight w:val="none"/>
          <w:lang w:eastAsia="zh-CN"/>
        </w:rPr>
        <w:t>在线询价</w:t>
      </w:r>
      <w:r>
        <w:rPr>
          <w:rFonts w:hint="eastAsia" w:asciiTheme="minorEastAsia" w:hAnsiTheme="minorEastAsia" w:eastAsiaTheme="minorEastAsia" w:cstheme="minorEastAsia"/>
          <w:color w:val="auto"/>
          <w:sz w:val="36"/>
          <w:szCs w:val="36"/>
          <w:highlight w:val="none"/>
        </w:rPr>
        <w:t>公告</w:t>
      </w:r>
      <w:bookmarkEnd w:id="0"/>
      <w:bookmarkEnd w:id="1"/>
      <w:bookmarkEnd w:id="2"/>
    </w:p>
    <w:p>
      <w:pPr>
        <w:adjustRightInd w:val="0"/>
        <w:spacing w:line="360" w:lineRule="auto"/>
        <w:jc w:val="center"/>
      </w:pPr>
      <w:r>
        <w:rPr>
          <w:rFonts w:hint="eastAsia" w:asciiTheme="minorEastAsia" w:hAnsiTheme="minorEastAsia" w:eastAsiaTheme="minorEastAsia" w:cstheme="minorEastAsia"/>
          <w:color w:val="auto"/>
          <w:sz w:val="28"/>
          <w:szCs w:val="28"/>
          <w:highlight w:val="none"/>
        </w:rPr>
        <w:t>绍兴市上虞</w:t>
      </w:r>
      <w:r>
        <w:rPr>
          <w:rFonts w:hint="eastAsia" w:asciiTheme="minorEastAsia" w:hAnsiTheme="minorEastAsia" w:eastAsiaTheme="minorEastAsia" w:cstheme="minorEastAsia"/>
          <w:color w:val="auto"/>
          <w:sz w:val="28"/>
          <w:szCs w:val="28"/>
          <w:highlight w:val="none"/>
          <w:lang w:val="en-US" w:eastAsia="zh-CN"/>
        </w:rPr>
        <w:t>妇幼保健院信息安全设备项目</w:t>
      </w:r>
      <w:r>
        <w:rPr>
          <w:rFonts w:hint="eastAsia" w:asciiTheme="minorEastAsia" w:hAnsiTheme="minorEastAsia" w:eastAsiaTheme="minorEastAsia" w:cstheme="minorEastAsia"/>
          <w:color w:val="auto"/>
          <w:sz w:val="28"/>
          <w:szCs w:val="28"/>
          <w:highlight w:val="none"/>
        </w:rPr>
        <w:t>采购的</w:t>
      </w:r>
      <w:r>
        <w:rPr>
          <w:rFonts w:hint="eastAsia" w:asciiTheme="minorEastAsia" w:hAnsiTheme="minorEastAsia" w:eastAsiaTheme="minorEastAsia" w:cstheme="minorEastAsia"/>
          <w:color w:val="auto"/>
          <w:sz w:val="28"/>
          <w:szCs w:val="28"/>
          <w:highlight w:val="none"/>
          <w:lang w:eastAsia="zh-CN"/>
        </w:rPr>
        <w:t>在线询价</w:t>
      </w:r>
      <w:r>
        <w:rPr>
          <w:rFonts w:hint="eastAsia" w:asciiTheme="minorEastAsia" w:hAnsiTheme="minorEastAsia" w:eastAsiaTheme="minorEastAsia" w:cstheme="minorEastAsia"/>
          <w:color w:val="auto"/>
          <w:sz w:val="28"/>
          <w:szCs w:val="28"/>
          <w:highlight w:val="none"/>
        </w:rPr>
        <w:t>公告</w:t>
      </w:r>
    </w:p>
    <w:p>
      <w:pPr>
        <w:adjustRightInd w:val="0"/>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w:t>
      </w:r>
      <w:r>
        <w:rPr>
          <w:rFonts w:hint="eastAsia" w:asciiTheme="minorEastAsia" w:hAnsiTheme="minorEastAsia" w:eastAsiaTheme="minorEastAsia" w:cstheme="minorEastAsia"/>
          <w:color w:val="auto"/>
          <w:sz w:val="24"/>
          <w:szCs w:val="24"/>
          <w:highlight w:val="none"/>
          <w:lang w:val="en-US" w:eastAsia="zh-CN"/>
        </w:rPr>
        <w:t>妇幼保健院信息安全设备</w:t>
      </w:r>
      <w:r>
        <w:rPr>
          <w:rFonts w:hint="eastAsia" w:asciiTheme="minorEastAsia" w:hAnsiTheme="minorEastAsia" w:eastAsiaTheme="minorEastAsia" w:cstheme="minorEastAsia"/>
          <w:color w:val="auto"/>
          <w:sz w:val="24"/>
          <w:szCs w:val="24"/>
          <w:highlight w:val="none"/>
          <w:lang w:eastAsia="zh-CN"/>
        </w:rPr>
        <w:t>采</w:t>
      </w:r>
      <w:r>
        <w:rPr>
          <w:rFonts w:hint="eastAsia" w:asciiTheme="minorEastAsia" w:hAnsiTheme="minorEastAsia" w:eastAsiaTheme="minorEastAsia" w:cstheme="minorEastAsia"/>
          <w:color w:val="auto"/>
          <w:sz w:val="24"/>
          <w:szCs w:val="24"/>
          <w:highlight w:val="none"/>
        </w:rPr>
        <w:t>购项目进行</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采购，欢迎国内合格的供应商参加本次采购活动。</w:t>
      </w:r>
    </w:p>
    <w:p>
      <w:pPr>
        <w:adjustRightInd w:val="0"/>
        <w:spacing w:line="360" w:lineRule="auto"/>
        <w:ind w:firstLine="480" w:firstLineChars="200"/>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一．采购组织类型：</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ind w:firstLine="480" w:firstLineChars="200"/>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二．项目概况:</w:t>
      </w:r>
    </w:p>
    <w:tbl>
      <w:tblPr>
        <w:tblStyle w:val="23"/>
        <w:tblW w:w="9607"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558"/>
        <w:gridCol w:w="2552"/>
        <w:gridCol w:w="709"/>
        <w:gridCol w:w="709"/>
        <w:gridCol w:w="1246"/>
        <w:gridCol w:w="2439"/>
        <w:gridCol w:w="1394"/>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558"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552"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c>
        <w:tc>
          <w:tcPr>
            <w:tcW w:w="709"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709"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w:t>
            </w:r>
          </w:p>
        </w:tc>
        <w:tc>
          <w:tcPr>
            <w:tcW w:w="1246"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预算金额(万元)</w:t>
            </w:r>
          </w:p>
        </w:tc>
        <w:tc>
          <w:tcPr>
            <w:tcW w:w="2439"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简要规格描述或标项基本概况介绍</w:t>
            </w:r>
          </w:p>
        </w:tc>
        <w:tc>
          <w:tcPr>
            <w:tcW w:w="1394"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最高限价(万元)</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093" w:hRule="atLeast"/>
          <w:jc w:val="center"/>
        </w:trPr>
        <w:tc>
          <w:tcPr>
            <w:tcW w:w="558" w:type="dxa"/>
            <w:tcBorders>
              <w:bottom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552" w:type="dxa"/>
            <w:tcBorders>
              <w:bottom w:val="single" w:color="000000" w:sz="4" w:space="0"/>
            </w:tcBorders>
            <w:vAlign w:val="center"/>
          </w:tcPr>
          <w:p>
            <w:pPr>
              <w:adjustRightInd w:val="0"/>
              <w:jc w:val="center"/>
              <w:rPr>
                <w:rFonts w:hint="eastAsia" w:asciiTheme="minorEastAsia" w:hAnsiTheme="minorEastAsia" w:eastAsiaTheme="minorEastAsia" w:cstheme="minorEastAsia"/>
                <w:color w:val="auto"/>
                <w:sz w:val="24"/>
                <w:szCs w:val="24"/>
                <w:highlight w:val="none"/>
                <w:lang w:eastAsia="zh-CN"/>
              </w:rPr>
            </w:pPr>
            <w:r>
              <w:rPr>
                <w:rFonts w:hint="eastAsia" w:ascii="宋体" w:hAnsi="宋体" w:eastAsia="宋体" w:cs="Times New Roman"/>
                <w:color w:val="000000"/>
                <w:sz w:val="24"/>
                <w:lang w:val="en-US" w:eastAsia="zh-CN" w:bidi="ar-SA"/>
              </w:rPr>
              <w:t>绍兴市上虞妇幼保健院信息安全设备采购项目</w:t>
            </w:r>
          </w:p>
        </w:tc>
        <w:tc>
          <w:tcPr>
            <w:tcW w:w="709" w:type="dxa"/>
            <w:tcBorders>
              <w:bottom w:val="single" w:color="000000" w:sz="4" w:space="0"/>
            </w:tcBorders>
            <w:vAlign w:val="center"/>
          </w:tcPr>
          <w:p>
            <w:pPr>
              <w:adjustRightInd w:val="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709" w:type="dxa"/>
            <w:tcBorders>
              <w:bottom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w:t>
            </w:r>
          </w:p>
        </w:tc>
        <w:tc>
          <w:tcPr>
            <w:tcW w:w="1246" w:type="dxa"/>
            <w:tcBorders>
              <w:bottom w:val="single" w:color="000000" w:sz="4" w:space="0"/>
            </w:tcBorders>
            <w:vAlign w:val="center"/>
          </w:tcPr>
          <w:p>
            <w:pPr>
              <w:widowControl/>
              <w:spacing w:before="100" w:after="10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24.8</w:t>
            </w:r>
          </w:p>
        </w:tc>
        <w:tc>
          <w:tcPr>
            <w:tcW w:w="2439" w:type="dxa"/>
            <w:tcBorders>
              <w:bottom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详见参数</w:t>
            </w:r>
          </w:p>
        </w:tc>
        <w:tc>
          <w:tcPr>
            <w:tcW w:w="1394" w:type="dxa"/>
            <w:tcBorders>
              <w:bottom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24.8</w:t>
            </w:r>
          </w:p>
        </w:tc>
      </w:tr>
    </w:tbl>
    <w:p>
      <w:pPr>
        <w:adjustRightInd w:val="0"/>
        <w:spacing w:line="360" w:lineRule="auto"/>
        <w:ind w:firstLine="480" w:firstLineChars="200"/>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．合格供应商资格要求:</w:t>
      </w:r>
    </w:p>
    <w:p>
      <w:pPr>
        <w:numPr>
          <w:ilvl w:val="0"/>
          <w:numId w:val="2"/>
        </w:numPr>
        <w:wordWrap w:val="0"/>
        <w:adjustRightInd w:val="0"/>
        <w:spacing w:line="360" w:lineRule="auto"/>
        <w:ind w:firstLine="480" w:firstLineChars="200"/>
        <w:outlineLvl w:val="2"/>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符合政府采购法第二十二条，且未被“信用中国”（www.creditchina.gov.cn）、中国政府采购网（www.ccgp.gov.cn）列入失信被执行人、重大税收违法案件当事人名单、政府采购严重违法失信行为记录名单；</w:t>
      </w:r>
    </w:p>
    <w:p>
      <w:pPr>
        <w:numPr>
          <w:ilvl w:val="0"/>
          <w:numId w:val="2"/>
        </w:numPr>
        <w:adjustRightInd w:val="0"/>
        <w:spacing w:line="360" w:lineRule="auto"/>
        <w:ind w:firstLine="480" w:firstLineChars="200"/>
        <w:outlineLvl w:val="2"/>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落实政府采购政策需满足的资格要求：供应商为中小企业/小微企业</w:t>
      </w:r>
      <w:r>
        <w:rPr>
          <w:rFonts w:hint="eastAsia" w:asciiTheme="minorEastAsia" w:hAnsiTheme="minorEastAsia" w:eastAsiaTheme="minorEastAsia" w:cstheme="minorEastAsia"/>
          <w:color w:val="auto"/>
          <w:sz w:val="24"/>
          <w:szCs w:val="24"/>
          <w:highlight w:val="none"/>
        </w:rPr>
        <w:t>；</w:t>
      </w:r>
    </w:p>
    <w:p>
      <w:pPr>
        <w:numPr>
          <w:ilvl w:val="0"/>
          <w:numId w:val="2"/>
        </w:numPr>
        <w:adjustRightInd w:val="0"/>
        <w:spacing w:line="360" w:lineRule="auto"/>
        <w:ind w:firstLine="480" w:firstLineChars="200"/>
        <w:outlineLvl w:val="2"/>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本项目不接受联合体。</w:t>
      </w:r>
    </w:p>
    <w:p>
      <w:pPr>
        <w:adjustRightInd w:val="0"/>
        <w:spacing w:line="360" w:lineRule="auto"/>
        <w:ind w:firstLine="480" w:firstLineChars="200"/>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rPr>
        <w:t>．公告期限：3个工作日</w:t>
      </w:r>
    </w:p>
    <w:p>
      <w:pPr>
        <w:adjustRightInd w:val="0"/>
        <w:spacing w:line="360" w:lineRule="auto"/>
        <w:ind w:firstLine="480" w:firstLineChars="200"/>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rPr>
        <w:t>．联系方式：</w:t>
      </w:r>
    </w:p>
    <w:p>
      <w:pPr>
        <w:adjustRightInd w:val="0"/>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1．采购人名称：</w:t>
      </w:r>
      <w:r>
        <w:rPr>
          <w:rFonts w:hint="eastAsia" w:ascii="宋体" w:hAnsi="宋体" w:cs="宋体" w:eastAsiaTheme="minorEastAsia"/>
          <w:color w:val="auto"/>
          <w:sz w:val="24"/>
          <w:highlight w:val="none"/>
          <w:lang w:eastAsia="zh-CN"/>
        </w:rPr>
        <w:t>绍兴市上虞</w:t>
      </w:r>
      <w:r>
        <w:rPr>
          <w:rFonts w:hint="eastAsia" w:ascii="宋体" w:hAnsi="宋体" w:cs="宋体" w:eastAsiaTheme="minorEastAsia"/>
          <w:color w:val="auto"/>
          <w:sz w:val="24"/>
          <w:highlight w:val="none"/>
          <w:lang w:val="en-US" w:eastAsia="zh-CN"/>
        </w:rPr>
        <w:t>妇幼保健医院</w:t>
      </w:r>
    </w:p>
    <w:p>
      <w:pPr>
        <w:adjustRightInd w:val="0"/>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项目联系人（询问）：</w:t>
      </w:r>
      <w:r>
        <w:rPr>
          <w:rFonts w:hint="eastAsia" w:asciiTheme="minorEastAsia" w:hAnsiTheme="minorEastAsia" w:eastAsiaTheme="minorEastAsia" w:cstheme="minorEastAsia"/>
          <w:color w:val="auto"/>
          <w:sz w:val="24"/>
          <w:szCs w:val="24"/>
          <w:highlight w:val="none"/>
          <w:lang w:val="en-US" w:eastAsia="zh-CN"/>
        </w:rPr>
        <w:t>梁素萍</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项目联系方式（询问）：</w:t>
      </w:r>
      <w:r>
        <w:rPr>
          <w:rFonts w:hint="eastAsia" w:ascii="宋体" w:hAnsi="宋体" w:eastAsia="宋体" w:cs="宋体"/>
          <w:spacing w:val="2"/>
          <w:sz w:val="21"/>
          <w:szCs w:val="21"/>
          <w:lang w:val="en-US" w:eastAsia="zh-CN"/>
        </w:rPr>
        <w:t>0575-81227256</w:t>
      </w:r>
    </w:p>
    <w:p>
      <w:pPr>
        <w:adjustRightInd w:val="0"/>
        <w:spacing w:line="360" w:lineRule="auto"/>
        <w:ind w:firstLine="480" w:firstLineChars="200"/>
        <w:rPr>
          <w:rFonts w:hint="default" w:eastAsia="宋体"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地址：</w:t>
      </w:r>
      <w:r>
        <w:rPr>
          <w:rFonts w:hint="eastAsia" w:ascii="宋体" w:hAnsi="宋体" w:cs="宋体"/>
          <w:color w:val="auto"/>
          <w:sz w:val="24"/>
          <w:highlight w:val="none"/>
        </w:rPr>
        <w:t>绍兴市上虞区</w:t>
      </w:r>
      <w:r>
        <w:rPr>
          <w:rFonts w:hint="eastAsia" w:ascii="宋体" w:hAnsi="宋体" w:cs="宋体"/>
          <w:color w:val="auto"/>
          <w:sz w:val="24"/>
          <w:highlight w:val="none"/>
          <w:lang w:val="en-US" w:eastAsia="zh-CN"/>
        </w:rPr>
        <w:t>百官街道半山路35号</w:t>
      </w:r>
    </w:p>
    <w:p>
      <w:pPr>
        <w:spacing w:line="360" w:lineRule="auto"/>
        <w:jc w:val="center"/>
        <w:outlineLvl w:val="0"/>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br w:type="page"/>
      </w:r>
      <w:bookmarkStart w:id="5" w:name="_Toc29834"/>
      <w:bookmarkStart w:id="6" w:name="_Toc115520503"/>
      <w:bookmarkStart w:id="7" w:name="_Toc546"/>
      <w:r>
        <w:rPr>
          <w:rStyle w:val="35"/>
          <w:rFonts w:hint="eastAsia" w:asciiTheme="minorEastAsia" w:hAnsiTheme="minorEastAsia" w:eastAsiaTheme="minorEastAsia" w:cstheme="minorEastAsia"/>
          <w:color w:val="auto"/>
          <w:sz w:val="36"/>
          <w:szCs w:val="36"/>
          <w:highlight w:val="none"/>
        </w:rPr>
        <w:t>第二部分</w:t>
      </w:r>
      <w:bookmarkEnd w:id="3"/>
      <w:bookmarkEnd w:id="4"/>
      <w:r>
        <w:rPr>
          <w:rStyle w:val="35"/>
          <w:rFonts w:hint="eastAsia" w:asciiTheme="minorEastAsia" w:hAnsiTheme="minorEastAsia" w:eastAsiaTheme="minorEastAsia" w:cstheme="minorEastAsia"/>
          <w:color w:val="auto"/>
          <w:sz w:val="36"/>
          <w:szCs w:val="36"/>
          <w:highlight w:val="none"/>
        </w:rPr>
        <w:t>供应商须知</w:t>
      </w:r>
      <w:bookmarkEnd w:id="5"/>
      <w:bookmarkEnd w:id="6"/>
      <w:bookmarkEnd w:id="7"/>
    </w:p>
    <w:p>
      <w:pPr>
        <w:widowControl/>
        <w:adjustRightInd w:val="0"/>
        <w:snapToGrid w:val="0"/>
        <w:spacing w:line="360" w:lineRule="auto"/>
        <w:jc w:val="center"/>
        <w:rPr>
          <w:rFonts w:asciiTheme="minorEastAsia" w:hAnsiTheme="minorEastAsia" w:eastAsiaTheme="minorEastAsia" w:cstheme="minorEastAsia"/>
          <w:b/>
          <w:bCs/>
          <w:snapToGrid w:val="0"/>
          <w:color w:val="auto"/>
          <w:sz w:val="32"/>
          <w:szCs w:val="32"/>
          <w:highlight w:val="none"/>
        </w:rPr>
      </w:pPr>
      <w:r>
        <w:rPr>
          <w:rFonts w:hint="eastAsia" w:asciiTheme="minorEastAsia" w:hAnsiTheme="minorEastAsia" w:eastAsiaTheme="minorEastAsia" w:cstheme="minorEastAsia"/>
          <w:b/>
          <w:bCs/>
          <w:snapToGrid w:val="0"/>
          <w:color w:val="auto"/>
          <w:sz w:val="30"/>
          <w:szCs w:val="30"/>
          <w:highlight w:val="none"/>
        </w:rPr>
        <w:t>供应商须知前附表</w:t>
      </w:r>
    </w:p>
    <w:tbl>
      <w:tblPr>
        <w:tblStyle w:val="23"/>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7"/>
        <w:gridCol w:w="65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67" w:hRule="atLeast"/>
          <w:tblHeader/>
          <w:jc w:val="center"/>
        </w:trPr>
        <w:tc>
          <w:tcPr>
            <w:tcW w:w="648" w:type="dxa"/>
            <w:tcBorders>
              <w:top w:val="double" w:color="auto" w:sz="4" w:space="0"/>
            </w:tcBorders>
            <w:vAlign w:val="center"/>
          </w:tcPr>
          <w:p>
            <w:pPr>
              <w:snapToGrid w:val="0"/>
              <w:jc w:val="center"/>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rPr>
              <w:t>序号</w:t>
            </w:r>
          </w:p>
        </w:tc>
        <w:tc>
          <w:tcPr>
            <w:tcW w:w="1907" w:type="dxa"/>
            <w:tcBorders>
              <w:top w:val="double" w:color="auto" w:sz="4" w:space="0"/>
            </w:tcBorders>
            <w:vAlign w:val="center"/>
          </w:tcPr>
          <w:p>
            <w:pPr>
              <w:snapToGrid w:val="0"/>
              <w:jc w:val="center"/>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rPr>
              <w:t>项目</w:t>
            </w:r>
          </w:p>
        </w:tc>
        <w:tc>
          <w:tcPr>
            <w:tcW w:w="6575" w:type="dxa"/>
            <w:tcBorders>
              <w:top w:val="double" w:color="auto" w:sz="4" w:space="0"/>
            </w:tcBorders>
            <w:vAlign w:val="center"/>
          </w:tcPr>
          <w:p>
            <w:pPr>
              <w:snapToGrid w:val="0"/>
              <w:jc w:val="center"/>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1</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项目名称</w:t>
            </w:r>
          </w:p>
        </w:tc>
        <w:tc>
          <w:tcPr>
            <w:tcW w:w="6575" w:type="dxa"/>
            <w:vAlign w:val="center"/>
          </w:tcPr>
          <w:p>
            <w:pPr>
              <w:snapToGrid w:val="0"/>
              <w:rPr>
                <w:rFonts w:asciiTheme="minorEastAsia" w:hAnsiTheme="minorEastAsia" w:eastAsiaTheme="minorEastAsia" w:cstheme="minorEastAsia"/>
                <w:snapToGrid w:val="0"/>
                <w:color w:val="auto"/>
                <w:highlight w:val="none"/>
              </w:rPr>
            </w:pPr>
            <w:r>
              <w:rPr>
                <w:rFonts w:hint="eastAsia" w:ascii="宋体" w:hAnsi="宋体" w:eastAsia="宋体" w:cs="Times New Roman"/>
                <w:color w:val="000000"/>
                <w:sz w:val="22"/>
                <w:szCs w:val="18"/>
                <w:lang w:val="en-US" w:eastAsia="zh-CN" w:bidi="ar-SA"/>
              </w:rPr>
              <w:t>绍兴市上虞妇幼保健院信息安全设备采购项目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2</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项目实施时间</w:t>
            </w:r>
          </w:p>
        </w:tc>
        <w:tc>
          <w:tcPr>
            <w:tcW w:w="6575" w:type="dxa"/>
            <w:vAlign w:val="center"/>
          </w:tcPr>
          <w:p>
            <w:pPr>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snapToGrid w:val="0"/>
                <w:color w:val="auto"/>
                <w:highlight w:val="none"/>
              </w:rPr>
              <w:t>要求中标公示结束后，</w:t>
            </w:r>
            <w:r>
              <w:rPr>
                <w:rFonts w:hint="eastAsia" w:asciiTheme="minorEastAsia" w:hAnsiTheme="minorEastAsia" w:eastAsiaTheme="minorEastAsia" w:cstheme="minorEastAsia"/>
                <w:b/>
                <w:bCs/>
                <w:snapToGrid w:val="0"/>
                <w:color w:val="auto"/>
                <w:highlight w:val="none"/>
                <w:lang w:val="en-US" w:eastAsia="zh-CN"/>
              </w:rPr>
              <w:t>7</w:t>
            </w:r>
            <w:r>
              <w:rPr>
                <w:rFonts w:hint="eastAsia" w:asciiTheme="minorEastAsia" w:hAnsiTheme="minorEastAsia" w:eastAsiaTheme="minorEastAsia" w:cstheme="minorEastAsia"/>
                <w:b/>
                <w:bCs/>
                <w:snapToGrid w:val="0"/>
                <w:color w:val="auto"/>
                <w:highlight w:val="none"/>
              </w:rPr>
              <w:t>天内签订项目合同，签订合同后</w:t>
            </w:r>
            <w:r>
              <w:rPr>
                <w:rFonts w:hint="eastAsia" w:asciiTheme="minorEastAsia" w:hAnsiTheme="minorEastAsia" w:eastAsiaTheme="minorEastAsia" w:cstheme="minorEastAsia"/>
                <w:b/>
                <w:bCs/>
                <w:snapToGrid w:val="0"/>
                <w:color w:val="auto"/>
                <w:highlight w:val="none"/>
                <w:lang w:val="en-US" w:eastAsia="zh-CN"/>
              </w:rPr>
              <w:t>一个月内</w:t>
            </w:r>
            <w:r>
              <w:rPr>
                <w:rFonts w:hint="eastAsia" w:asciiTheme="minorEastAsia" w:hAnsiTheme="minorEastAsia" w:eastAsiaTheme="minorEastAsia" w:cstheme="minorEastAsia"/>
                <w:b/>
                <w:bCs/>
                <w:snapToGrid w:val="0"/>
                <w:color w:val="auto"/>
                <w:highlight w:val="none"/>
              </w:rPr>
              <w:t>完成项目实施</w:t>
            </w:r>
            <w:r>
              <w:rPr>
                <w:rFonts w:asciiTheme="minorEastAsia" w:hAnsiTheme="minorEastAsia" w:eastAsiaTheme="minorEastAsia" w:cstheme="minorEastAsia"/>
                <w:b/>
                <w:bCs/>
                <w:snapToGrid w:val="0"/>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3</w:t>
            </w:r>
          </w:p>
        </w:tc>
        <w:tc>
          <w:tcPr>
            <w:tcW w:w="1907" w:type="dxa"/>
            <w:vAlign w:val="center"/>
          </w:tcPr>
          <w:p>
            <w:pPr>
              <w:snapToGrid w:val="0"/>
              <w:jc w:val="center"/>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rPr>
              <w:t>最高限价</w:t>
            </w:r>
          </w:p>
        </w:tc>
        <w:tc>
          <w:tcPr>
            <w:tcW w:w="6575" w:type="dxa"/>
            <w:vAlign w:val="center"/>
          </w:tcPr>
          <w:p>
            <w:pPr>
              <w:snapToGrid w:val="0"/>
              <w:ind w:firstLine="400" w:firstLineChars="200"/>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color w:val="auto"/>
                <w:highlight w:val="none"/>
              </w:rPr>
              <w:t>本项目最高限价人民币</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24.8</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5</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询问</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供应商对政府采购活动事项有疑问的，可以向采购机构提出询问，采购人应当在3个工作日内对供应商依法提出的询问作出答复，但答复的内容不得涉及商业秘密。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6</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文件的澄清与修改</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采购单位可以对已发出的</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文件进行必要澄清或者修改，澄清或者修改的内容可能影响响应文件编制的，应当在提交首次响应文件截至时间至少三个工作日前，在</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公告发布的媒体上发布更正公告。本项目</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文件和补充（答疑、澄清）、修改文件等请自行登录浙江政府采购网网站查看。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7</w:t>
            </w:r>
          </w:p>
        </w:tc>
        <w:tc>
          <w:tcPr>
            <w:tcW w:w="1907" w:type="dxa"/>
            <w:vAlign w:val="center"/>
          </w:tcPr>
          <w:p>
            <w:pPr>
              <w:snapToGrid w:val="0"/>
              <w:jc w:val="center"/>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lang w:eastAsia="zh-CN"/>
              </w:rPr>
              <w:t>在线询价</w:t>
            </w:r>
            <w:r>
              <w:rPr>
                <w:rFonts w:hint="eastAsia" w:asciiTheme="minorEastAsia" w:hAnsiTheme="minorEastAsia" w:eastAsiaTheme="minorEastAsia" w:cstheme="minorEastAsia"/>
                <w:b/>
                <w:bCs/>
                <w:snapToGrid w:val="0"/>
                <w:color w:val="auto"/>
                <w:highlight w:val="none"/>
              </w:rPr>
              <w:t>响应文件组成</w:t>
            </w:r>
          </w:p>
        </w:tc>
        <w:tc>
          <w:tcPr>
            <w:tcW w:w="6575" w:type="dxa"/>
            <w:vAlign w:val="center"/>
          </w:tcPr>
          <w:p>
            <w:pPr>
              <w:snapToGrid w:val="0"/>
              <w:ind w:firstLine="402" w:firstLineChars="200"/>
              <w:rPr>
                <w:rFonts w:asciiTheme="minorEastAsia" w:hAnsiTheme="minorEastAsia" w:eastAsiaTheme="minorEastAsia" w:cstheme="minorEastAsia"/>
                <w:b/>
                <w:bCs/>
                <w:snapToGrid w:val="0"/>
                <w:color w:val="auto"/>
                <w:highlight w:val="none"/>
              </w:rPr>
            </w:pPr>
            <w:r>
              <w:rPr>
                <w:rFonts w:hint="eastAsia" w:asciiTheme="minorEastAsia" w:hAnsiTheme="minorEastAsia" w:eastAsiaTheme="minorEastAsia" w:cstheme="minorEastAsia"/>
                <w:b/>
                <w:bCs/>
                <w:snapToGrid w:val="0"/>
                <w:color w:val="auto"/>
                <w:highlight w:val="none"/>
              </w:rPr>
              <w:t>在线报价及附件组成。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8</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评标办法</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最低评标价法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9</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响应文件递交地址及截止时间</w:t>
            </w:r>
          </w:p>
        </w:tc>
        <w:tc>
          <w:tcPr>
            <w:tcW w:w="6575" w:type="dxa"/>
            <w:vAlign w:val="center"/>
          </w:tcPr>
          <w:p>
            <w:pPr>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snapToGrid w:val="0"/>
                <w:color w:val="auto"/>
                <w:highlight w:val="none"/>
              </w:rPr>
              <w:t>详见</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10</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开标时间、地点</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开标时间：</w:t>
            </w:r>
            <w:r>
              <w:rPr>
                <w:rFonts w:hint="eastAsia" w:asciiTheme="minorEastAsia" w:hAnsiTheme="minorEastAsia" w:eastAsiaTheme="minorEastAsia" w:cstheme="minorEastAsia"/>
                <w:color w:val="auto"/>
                <w:highlight w:val="none"/>
              </w:rPr>
              <w:t>详见</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公告</w:t>
            </w:r>
          </w:p>
          <w:p>
            <w:pPr>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snapToGrid w:val="0"/>
                <w:color w:val="auto"/>
                <w:highlight w:val="none"/>
              </w:rPr>
              <w:t>开标地点：</w:t>
            </w:r>
            <w:r>
              <w:rPr>
                <w:rFonts w:hint="eastAsia" w:asciiTheme="minorEastAsia" w:hAnsiTheme="minorEastAsia" w:eastAsiaTheme="minorEastAsia" w:cstheme="minorEastAsia"/>
                <w:color w:val="auto"/>
                <w:highlight w:val="none"/>
              </w:rPr>
              <w:t>详见</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11</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响应文件有效期</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响应文件有效期为从提交响应文件的截止之日起90天。供应商的响应文件中承诺的响应文件有效期少于</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文件中载明的响应文件有效期的，</w:t>
            </w: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12</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履约保证金</w:t>
            </w:r>
          </w:p>
        </w:tc>
        <w:tc>
          <w:tcPr>
            <w:tcW w:w="6575" w:type="dxa"/>
            <w:vAlign w:val="center"/>
          </w:tcPr>
          <w:p>
            <w:pPr>
              <w:snapToGrid w:val="0"/>
              <w:ind w:firstLine="400" w:firstLineChars="200"/>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本项目不作要求。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13</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lang w:eastAsia="zh-CN"/>
              </w:rPr>
              <w:t>在线询价</w:t>
            </w:r>
            <w:r>
              <w:rPr>
                <w:rFonts w:hint="eastAsia" w:asciiTheme="minorEastAsia" w:hAnsiTheme="minorEastAsia" w:eastAsiaTheme="minorEastAsia" w:cstheme="minorEastAsia"/>
                <w:snapToGrid w:val="0"/>
                <w:color w:val="auto"/>
                <w:highlight w:val="none"/>
              </w:rPr>
              <w:t>公告及成交结果公告发布媒体</w:t>
            </w:r>
          </w:p>
        </w:tc>
        <w:tc>
          <w:tcPr>
            <w:tcW w:w="6575" w:type="dxa"/>
            <w:vAlign w:val="center"/>
          </w:tcPr>
          <w:p>
            <w:pPr>
              <w:pStyle w:val="14"/>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浙江省政府采购网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14</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质疑</w:t>
            </w:r>
          </w:p>
        </w:tc>
        <w:tc>
          <w:tcPr>
            <w:tcW w:w="6575" w:type="dxa"/>
            <w:vAlign w:val="center"/>
          </w:tcPr>
          <w:p>
            <w:pPr>
              <w:ind w:firstLine="40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根据《中华人民共和国政府采购法》第五十二条、《中华人民共和国政府采购法实施条例》第五十三条、《浙江省政府采购供应商质疑处理办法》的规定：</w:t>
            </w:r>
          </w:p>
          <w:p>
            <w:pPr>
              <w:ind w:firstLine="40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供应商认为</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文件使自己的权益受到损害的，可以在</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文件公告期限届满之日起7个工作日内，以书面形式向采购人提出质疑。供应商在法定质疑期内应一次性提出针对同一采购程序环节的质疑。否则质疑将不予受理。</w:t>
            </w:r>
          </w:p>
          <w:p>
            <w:pPr>
              <w:ind w:firstLine="40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供应商如认为采购过程使自身的合法权益受到损害的，应于各采购程序环节结束之日起七个工作日内以书面形式向采购机构提出质疑；</w:t>
            </w:r>
          </w:p>
          <w:p>
            <w:pPr>
              <w:snapToGrid w:val="0"/>
              <w:ind w:firstLine="400" w:firstLineChars="200"/>
              <w:jc w:val="left"/>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color w:val="auto"/>
                <w:highlight w:val="none"/>
              </w:rPr>
              <w:t>供应商如认为中标结果使自身的合法权益受到损害的，应于中标或者成交结果公告期限届满之日起七个工作日内以书面形式向采购机构提出质疑</w:t>
            </w:r>
            <w:r>
              <w:rPr>
                <w:rFonts w:hint="eastAsia" w:asciiTheme="minorEastAsia" w:hAnsiTheme="minorEastAsia" w:eastAsiaTheme="minorEastAsia" w:cstheme="minorEastAsia"/>
                <w:snapToGrid w:val="0"/>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15</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投诉</w:t>
            </w:r>
          </w:p>
        </w:tc>
        <w:tc>
          <w:tcPr>
            <w:tcW w:w="6575" w:type="dxa"/>
            <w:vAlign w:val="center"/>
          </w:tcPr>
          <w:p>
            <w:pPr>
              <w:snapToGrid w:val="0"/>
              <w:ind w:firstLine="400" w:firstLineChars="200"/>
              <w:jc w:val="left"/>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根据《政府采购法》第五十五条的规定，质疑供应商对采购人的答复不满意或者采购人未在规定的时间内作出答复的，可以在答复期满后十五个工作日内向同级政府采购监督管理部门投诉。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16</w:t>
            </w:r>
          </w:p>
        </w:tc>
        <w:tc>
          <w:tcPr>
            <w:tcW w:w="1907" w:type="dxa"/>
            <w:vAlign w:val="center"/>
          </w:tcPr>
          <w:p>
            <w:pPr>
              <w:snapToGrid w:val="0"/>
              <w:jc w:val="center"/>
              <w:rPr>
                <w:rFonts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highlight w:val="none"/>
              </w:rPr>
              <w:t>特别说明</w:t>
            </w:r>
          </w:p>
        </w:tc>
        <w:tc>
          <w:tcPr>
            <w:tcW w:w="6575" w:type="dxa"/>
            <w:vAlign w:val="center"/>
          </w:tcPr>
          <w:p>
            <w:pPr>
              <w:pStyle w:val="14"/>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供应商应无条件的、认真仔细的阅读本</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文件及其澄清答疑、修改答复的补充文件，严格按照</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文件及补充文件的规定和要求编制响应文件。在编制响应文件过程中，应严格遵循实事求是、诚信投标的原则，针对</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文件中的采购需求、合同条款等各项内容进行确认，如有偏离，应如实填写响应偏离表。</w:t>
            </w:r>
          </w:p>
          <w:p>
            <w:pPr>
              <w:pStyle w:val="14"/>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该项目结果公告期间，供应商不得通过非正当途径、更不得通过非正当手段获取法律法规规定评标委员会（包括其他相关人员）应当保密的相关内容。即便由此获得资料并作为向采购人或监督管理部门提出异（质）疑或投诉或法院起诉的理由，均属于非法索取的依据。</w:t>
            </w:r>
          </w:p>
          <w:p>
            <w:pPr>
              <w:pStyle w:val="14"/>
              <w:snapToGrid w:val="0"/>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质疑、投诉人未按前列进行质疑、投诉（申诉），均属于扰乱政府采购市场不良行为。</w:t>
            </w:r>
          </w:p>
          <w:p>
            <w:pPr>
              <w:pStyle w:val="14"/>
              <w:snapToGrid w:val="0"/>
              <w:ind w:firstLine="400"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19</w:t>
            </w:r>
          </w:p>
        </w:tc>
        <w:tc>
          <w:tcPr>
            <w:tcW w:w="1907" w:type="dxa"/>
            <w:vAlign w:val="center"/>
          </w:tcPr>
          <w:p>
            <w:pPr>
              <w:snapToGrid w:val="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是否允许分包</w:t>
            </w:r>
          </w:p>
        </w:tc>
        <w:tc>
          <w:tcPr>
            <w:tcW w:w="6575" w:type="dxa"/>
            <w:vAlign w:val="center"/>
          </w:tcPr>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w:t>
            </w:r>
            <w:r>
              <w:rPr>
                <w:rFonts w:hint="eastAsia" w:asciiTheme="minorEastAsia" w:hAnsiTheme="minorEastAsia" w:eastAsiaTheme="minorEastAsia" w:cstheme="minorEastAsia"/>
                <w:color w:val="auto"/>
                <w:highlight w:val="none"/>
                <w:u w:val="single"/>
              </w:rPr>
              <w:t>不允许</w:t>
            </w:r>
            <w:r>
              <w:rPr>
                <w:rFonts w:hint="eastAsia" w:asciiTheme="minorEastAsia" w:hAnsiTheme="minorEastAsia" w:eastAsiaTheme="minorEastAsia" w:cstheme="minorEastAsia"/>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20</w:t>
            </w:r>
          </w:p>
        </w:tc>
        <w:tc>
          <w:tcPr>
            <w:tcW w:w="1907" w:type="dxa"/>
            <w:tcBorders>
              <w:top w:val="single" w:color="auto" w:sz="4" w:space="0"/>
            </w:tcBorders>
            <w:vAlign w:val="center"/>
          </w:tcPr>
          <w:p>
            <w:pPr>
              <w:snapToGrid w:val="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是否提供演示</w:t>
            </w:r>
          </w:p>
        </w:tc>
        <w:tc>
          <w:tcPr>
            <w:tcW w:w="6575" w:type="dxa"/>
            <w:tcBorders>
              <w:top w:val="single" w:color="auto" w:sz="4" w:space="0"/>
            </w:tcBorders>
            <w:vAlign w:val="center"/>
          </w:tcPr>
          <w:p>
            <w:pPr>
              <w:ind w:firstLine="400"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本项目</w:t>
            </w:r>
            <w:r>
              <w:rPr>
                <w:rFonts w:hint="eastAsia" w:asciiTheme="minorEastAsia" w:hAnsiTheme="minorEastAsia" w:eastAsiaTheme="minorEastAsia" w:cstheme="minorEastAsia"/>
                <w:color w:val="auto"/>
                <w:highlight w:val="none"/>
                <w:u w:val="single"/>
              </w:rPr>
              <w:t>不允许</w:t>
            </w:r>
            <w:r>
              <w:rPr>
                <w:rFonts w:hint="eastAsia" w:asciiTheme="minorEastAsia" w:hAnsiTheme="minorEastAsia" w:eastAsiaTheme="minorEastAsia" w:cstheme="minorEastAsia"/>
                <w:color w:val="auto"/>
                <w:highlight w:val="none"/>
              </w:rPr>
              <w:t>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21</w:t>
            </w:r>
          </w:p>
        </w:tc>
        <w:tc>
          <w:tcPr>
            <w:tcW w:w="1907" w:type="dxa"/>
            <w:vAlign w:val="center"/>
          </w:tcPr>
          <w:p>
            <w:pPr>
              <w:snapToGrid w:val="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供应商信用信息查询渠道及截止时点、信用信息查询记录和证据留存的具体方式、信用信息的使用规则</w:t>
            </w:r>
          </w:p>
        </w:tc>
        <w:tc>
          <w:tcPr>
            <w:tcW w:w="6575" w:type="dxa"/>
            <w:vAlign w:val="center"/>
          </w:tcPr>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1、查询渠道：信用中国（网址：http://www.creditchina.gov.cn）、中国政府采购网(网址：http://www.ccgp.gov.cn）。</w:t>
            </w:r>
          </w:p>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2、截止时点：开标后评标前。</w:t>
            </w:r>
          </w:p>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3、信用信息查询记录和证据留存的具体方式：由采购组织机构在规定查询时间内打印信用信息查询记录并归入项目档案。</w:t>
            </w:r>
          </w:p>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22</w:t>
            </w:r>
          </w:p>
        </w:tc>
        <w:tc>
          <w:tcPr>
            <w:tcW w:w="1907" w:type="dxa"/>
            <w:vAlign w:val="center"/>
          </w:tcPr>
          <w:p>
            <w:pPr>
              <w:snapToGrid w:val="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金融支持</w:t>
            </w:r>
          </w:p>
        </w:tc>
        <w:tc>
          <w:tcPr>
            <w:tcW w:w="6575" w:type="dxa"/>
            <w:vAlign w:val="center"/>
          </w:tcPr>
          <w:p>
            <w:pPr>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Theme="minorEastAsia" w:hAnsiTheme="minorEastAsia" w:eastAsiaTheme="minorEastAsia" w:cstheme="minorEastAsia"/>
                <w:snapToGrid w:val="0"/>
                <w:color w:val="auto"/>
                <w:highlight w:val="none"/>
              </w:rPr>
            </w:pPr>
            <w:r>
              <w:rPr>
                <w:rFonts w:asciiTheme="minorEastAsia" w:hAnsiTheme="minorEastAsia" w:eastAsiaTheme="minorEastAsia" w:cstheme="minorEastAsia"/>
                <w:snapToGrid w:val="0"/>
                <w:color w:val="auto"/>
                <w:highlight w:val="none"/>
              </w:rPr>
              <w:t>23</w:t>
            </w:r>
          </w:p>
        </w:tc>
        <w:tc>
          <w:tcPr>
            <w:tcW w:w="1907" w:type="dxa"/>
            <w:tcBorders>
              <w:bottom w:val="double" w:color="auto" w:sz="4" w:space="0"/>
            </w:tcBorders>
            <w:vAlign w:val="center"/>
          </w:tcPr>
          <w:p>
            <w:pPr>
              <w:snapToGrid w:val="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w:t>
            </w:r>
          </w:p>
        </w:tc>
        <w:tc>
          <w:tcPr>
            <w:tcW w:w="6575" w:type="dxa"/>
            <w:tcBorders>
              <w:bottom w:val="double" w:color="auto" w:sz="4" w:space="0"/>
            </w:tcBorders>
            <w:vAlign w:val="center"/>
          </w:tcPr>
          <w:p>
            <w:pPr>
              <w:ind w:firstLine="40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本</w:t>
            </w:r>
            <w:r>
              <w:rPr>
                <w:rFonts w:hint="eastAsia" w:asciiTheme="minorEastAsia" w:hAnsiTheme="minorEastAsia" w:eastAsiaTheme="minorEastAsia" w:cstheme="minorEastAsia"/>
                <w:b/>
                <w:bCs/>
                <w:color w:val="auto"/>
                <w:highlight w:val="none"/>
                <w:lang w:eastAsia="zh-CN"/>
              </w:rPr>
              <w:t>在线询价</w:t>
            </w:r>
            <w:r>
              <w:rPr>
                <w:rFonts w:hint="eastAsia" w:asciiTheme="minorEastAsia" w:hAnsiTheme="minorEastAsia" w:eastAsiaTheme="minorEastAsia" w:cstheme="minorEastAsia"/>
                <w:b/>
                <w:bCs/>
                <w:color w:val="auto"/>
                <w:highlight w:val="none"/>
              </w:rPr>
              <w:t>文件要求提供的身份证复印件皆需提供正反面，否则按不提供处理。</w:t>
            </w:r>
          </w:p>
        </w:tc>
      </w:tr>
    </w:tbl>
    <w:p>
      <w:pPr>
        <w:pStyle w:val="6"/>
        <w:spacing w:line="360" w:lineRule="auto"/>
        <w:rPr>
          <w:rFonts w:asciiTheme="minorEastAsia" w:hAnsiTheme="minorEastAsia" w:eastAsiaTheme="minorEastAsia" w:cstheme="minorEastAsia"/>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heme="minorEastAsia" w:hAnsiTheme="minorEastAsia" w:eastAsiaTheme="minorEastAsia" w:cstheme="minorEastAsia"/>
          <w:color w:val="auto"/>
          <w:sz w:val="24"/>
          <w:szCs w:val="24"/>
          <w:highlight w:val="none"/>
        </w:rPr>
        <w:t>注：以上内容如有变化将另行通知。如通知其中某一内容发生变化，其余未提及的将不作变动。</w:t>
      </w:r>
    </w:p>
    <w:p>
      <w:pPr>
        <w:pStyle w:val="3"/>
        <w:numPr>
          <w:ilvl w:val="0"/>
          <w:numId w:val="0"/>
        </w:numPr>
        <w:ind w:left="403" w:leftChars="0"/>
        <w:jc w:val="center"/>
        <w:rPr>
          <w:rFonts w:asciiTheme="minorEastAsia" w:hAnsiTheme="minorEastAsia" w:eastAsiaTheme="minorEastAsia" w:cstheme="minorEastAsia"/>
          <w:color w:val="auto"/>
          <w:highlight w:val="none"/>
        </w:rPr>
      </w:pPr>
      <w:bookmarkStart w:id="8" w:name="_Toc115520504"/>
      <w:bookmarkStart w:id="9" w:name="_Toc25187"/>
      <w:r>
        <w:rPr>
          <w:rFonts w:hint="eastAsia" w:asciiTheme="minorEastAsia" w:hAnsiTheme="minorEastAsia" w:eastAsiaTheme="minorEastAsia" w:cstheme="minorEastAsia"/>
          <w:color w:val="auto"/>
          <w:highlight w:val="none"/>
        </w:rPr>
        <w:t>总则</w:t>
      </w:r>
      <w:bookmarkEnd w:id="8"/>
      <w:bookmarkEnd w:id="9"/>
    </w:p>
    <w:p>
      <w:pPr>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本次招标工作是按照《中华人民共和国政府采购法》、《中华人民共和国政府采购法实施条例》等相关法律、组织和实施，并由政府采购管理部门指导和监督。</w:t>
      </w:r>
    </w:p>
    <w:p>
      <w:pPr>
        <w:spacing w:line="336" w:lineRule="auto"/>
        <w:ind w:firstLine="482" w:firstLineChars="200"/>
        <w:outlineLvl w:val="2"/>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1、适用范围</w:t>
      </w:r>
    </w:p>
    <w:p>
      <w:pPr>
        <w:spacing w:line="336" w:lineRule="auto"/>
        <w:ind w:firstLine="480" w:firstLineChars="200"/>
        <w:rPr>
          <w:rFonts w:hint="eastAsia" w:ascii="宋体" w:hAnsi="宋体" w:eastAsia="宋体" w:cs="Times New Roman"/>
          <w:color w:val="000000"/>
          <w:sz w:val="24"/>
          <w:u w:val="single"/>
          <w:lang w:val="en-US" w:eastAsia="zh-CN" w:bidi="ar-SA"/>
        </w:rPr>
      </w:pPr>
      <w:r>
        <w:rPr>
          <w:rFonts w:hint="eastAsia" w:asciiTheme="minorEastAsia" w:hAnsiTheme="minorEastAsia" w:eastAsiaTheme="minorEastAsia" w:cstheme="minorEastAsia"/>
          <w:color w:val="auto"/>
          <w:sz w:val="24"/>
          <w:szCs w:val="24"/>
          <w:highlight w:val="none"/>
        </w:rPr>
        <w:t>1.1本次</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工作仅适用于</w:t>
      </w:r>
      <w:r>
        <w:rPr>
          <w:rFonts w:hint="eastAsia" w:ascii="宋体" w:hAnsi="宋体" w:eastAsia="宋体" w:cs="Times New Roman"/>
          <w:color w:val="000000"/>
          <w:sz w:val="24"/>
          <w:u w:val="single"/>
          <w:lang w:val="en-US" w:eastAsia="zh-CN" w:bidi="ar-SA"/>
        </w:rPr>
        <w:t>绍兴市上虞妇幼保健院信息安全设备采购项目。</w:t>
      </w:r>
    </w:p>
    <w:p>
      <w:pPr>
        <w:pStyle w:val="10"/>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1.2本项目采购方式采用</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方式。</w:t>
      </w:r>
    </w:p>
    <w:p>
      <w:pPr>
        <w:spacing w:line="336" w:lineRule="auto"/>
        <w:ind w:firstLine="482" w:firstLineChars="200"/>
        <w:outlineLvl w:val="2"/>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2、定义</w:t>
      </w:r>
    </w:p>
    <w:p>
      <w:pPr>
        <w:spacing w:line="336" w:lineRule="auto"/>
        <w:ind w:firstLine="480" w:firstLineChars="200"/>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zh-CN"/>
        </w:rPr>
        <w:t>采购人”系指</w:t>
      </w:r>
      <w:r>
        <w:rPr>
          <w:rFonts w:hint="eastAsia" w:asciiTheme="minorEastAsia" w:hAnsiTheme="minorEastAsia" w:eastAsiaTheme="minorEastAsia" w:cstheme="minorEastAsia"/>
          <w:color w:val="auto"/>
          <w:sz w:val="24"/>
          <w:szCs w:val="24"/>
          <w:highlight w:val="none"/>
          <w:u w:val="single"/>
          <w:lang w:eastAsia="zh-CN"/>
        </w:rPr>
        <w:t>绍兴市上虞</w:t>
      </w:r>
      <w:r>
        <w:rPr>
          <w:rFonts w:hint="eastAsia" w:asciiTheme="minorEastAsia" w:hAnsiTheme="minorEastAsia" w:eastAsiaTheme="minorEastAsia" w:cstheme="minorEastAsia"/>
          <w:color w:val="auto"/>
          <w:sz w:val="24"/>
          <w:szCs w:val="24"/>
          <w:highlight w:val="none"/>
          <w:u w:val="single"/>
          <w:lang w:val="en-US" w:eastAsia="zh-CN"/>
        </w:rPr>
        <w:t>妇幼保健院</w:t>
      </w:r>
      <w:r>
        <w:rPr>
          <w:rFonts w:hint="eastAsia" w:asciiTheme="minorEastAsia" w:hAnsiTheme="minorEastAsia" w:eastAsiaTheme="minorEastAsia" w:cstheme="minorEastAsia"/>
          <w:color w:val="auto"/>
          <w:sz w:val="24"/>
          <w:szCs w:val="24"/>
          <w:highlight w:val="none"/>
        </w:rPr>
        <w:t>。</w:t>
      </w:r>
    </w:p>
    <w:p>
      <w:pPr>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供应商”系指响应本次采购，参加本次</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的供应商。</w:t>
      </w:r>
    </w:p>
    <w:p>
      <w:pPr>
        <w:spacing w:line="336" w:lineRule="auto"/>
        <w:ind w:firstLine="480" w:firstLineChars="200"/>
        <w:rPr>
          <w:rFonts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2.3</w:t>
      </w:r>
      <w:r>
        <w:rPr>
          <w:rFonts w:hint="eastAsia" w:asciiTheme="minorEastAsia" w:hAnsiTheme="minorEastAsia" w:eastAsiaTheme="minorEastAsia" w:cstheme="minorEastAsia"/>
          <w:color w:val="auto"/>
          <w:sz w:val="24"/>
          <w:szCs w:val="24"/>
          <w:highlight w:val="none"/>
          <w:lang w:val="zh-CN"/>
        </w:rPr>
        <w:t>“服务”系指</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供应商按合同规定，须承担的服务的义务</w:t>
      </w:r>
      <w:r>
        <w:rPr>
          <w:rFonts w:hint="eastAsia" w:asciiTheme="minorEastAsia" w:hAnsiTheme="minorEastAsia" w:eastAsiaTheme="minorEastAsia" w:cstheme="minorEastAsia"/>
          <w:color w:val="auto"/>
          <w:sz w:val="24"/>
          <w:szCs w:val="24"/>
          <w:highlight w:val="none"/>
          <w:lang w:val="zh-CN"/>
        </w:rPr>
        <w:t>。</w:t>
      </w:r>
    </w:p>
    <w:p>
      <w:pPr>
        <w:spacing w:line="336" w:lineRule="auto"/>
        <w:ind w:firstLine="482" w:firstLineChars="200"/>
        <w:outlineLvl w:val="2"/>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3、采购项目概况</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ab/>
      </w:r>
    </w:p>
    <w:p>
      <w:pPr>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公告相关内容，主要要求参见本文件第</w:t>
      </w:r>
      <w:r>
        <w:rPr>
          <w:rFonts w:hint="eastAsia" w:asciiTheme="minorEastAsia" w:hAnsiTheme="minorEastAsia" w:eastAsiaTheme="minorEastAsia" w:cstheme="minorEastAsia"/>
          <w:color w:val="auto"/>
          <w:sz w:val="24"/>
          <w:szCs w:val="24"/>
          <w:highlight w:val="none"/>
          <w:u w:val="single"/>
        </w:rPr>
        <w:t>三</w:t>
      </w:r>
      <w:r>
        <w:rPr>
          <w:rFonts w:hint="eastAsia" w:asciiTheme="minorEastAsia" w:hAnsiTheme="minorEastAsia" w:eastAsiaTheme="minorEastAsia" w:cstheme="minorEastAsia"/>
          <w:color w:val="auto"/>
          <w:sz w:val="24"/>
          <w:szCs w:val="24"/>
          <w:highlight w:val="none"/>
        </w:rPr>
        <w:t>部分。</w:t>
      </w:r>
    </w:p>
    <w:p>
      <w:pPr>
        <w:adjustRightInd w:val="0"/>
        <w:spacing w:line="336" w:lineRule="auto"/>
        <w:ind w:firstLine="482" w:firstLineChars="200"/>
        <w:outlineLvl w:val="2"/>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4、合格的</w:t>
      </w:r>
      <w:r>
        <w:rPr>
          <w:rFonts w:hint="eastAsia" w:asciiTheme="minorEastAsia" w:hAnsiTheme="minorEastAsia" w:eastAsiaTheme="minorEastAsia" w:cstheme="minorEastAsia"/>
          <w:b/>
          <w:bCs/>
          <w:color w:val="auto"/>
          <w:sz w:val="24"/>
          <w:szCs w:val="24"/>
          <w:highlight w:val="none"/>
          <w:lang w:eastAsia="zh-CN"/>
        </w:rPr>
        <w:t>在线询价</w:t>
      </w:r>
      <w:r>
        <w:rPr>
          <w:rFonts w:hint="eastAsia" w:asciiTheme="minorEastAsia" w:hAnsiTheme="minorEastAsia" w:eastAsiaTheme="minorEastAsia" w:cstheme="minorEastAsia"/>
          <w:b/>
          <w:bCs/>
          <w:color w:val="auto"/>
          <w:sz w:val="24"/>
          <w:szCs w:val="24"/>
          <w:highlight w:val="none"/>
        </w:rPr>
        <w:t>供应商</w:t>
      </w:r>
    </w:p>
    <w:p>
      <w:pPr>
        <w:spacing w:line="336" w:lineRule="auto"/>
        <w:ind w:firstLine="480" w:firstLineChars="200"/>
        <w:rPr>
          <w:rFonts w:asciiTheme="minorEastAsia" w:hAnsiTheme="minorEastAsia" w:eastAsiaTheme="minorEastAsia" w:cstheme="minorEastAsia"/>
          <w:color w:val="auto"/>
          <w:sz w:val="24"/>
          <w:szCs w:val="24"/>
          <w:highlight w:val="none"/>
        </w:rPr>
      </w:pPr>
      <w:bookmarkStart w:id="10" w:name="_Toc208287611"/>
      <w:bookmarkStart w:id="11" w:name="_Toc209520993"/>
      <w:bookmarkStart w:id="12" w:name="_Toc204683265"/>
      <w:bookmarkStart w:id="13" w:name="_Toc208913145"/>
      <w:bookmarkStart w:id="14" w:name="_Toc197657950"/>
      <w:bookmarkStart w:id="15" w:name="_Toc197156227"/>
      <w:bookmarkStart w:id="16" w:name="_Toc207946571"/>
      <w:bookmarkStart w:id="17" w:name="_Toc211412066"/>
      <w:bookmarkStart w:id="18" w:name="_Toc209435242"/>
      <w:bookmarkStart w:id="19" w:name="_Toc197053926"/>
      <w:bookmarkStart w:id="20" w:name="_Toc193523219"/>
      <w:bookmarkStart w:id="21" w:name="_Toc197163261"/>
      <w:bookmarkStart w:id="22" w:name="_Toc193538208"/>
      <w:bookmarkStart w:id="23" w:name="_Toc209504018"/>
      <w:r>
        <w:rPr>
          <w:rFonts w:hint="eastAsia" w:asciiTheme="minorEastAsia" w:hAnsiTheme="minorEastAsia" w:eastAsiaTheme="minorEastAsia" w:cstheme="minorEastAsia"/>
          <w:color w:val="auto"/>
          <w:sz w:val="24"/>
          <w:szCs w:val="24"/>
          <w:highlight w:val="none"/>
        </w:rPr>
        <w:t>详见</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采购公告</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供应商的资格要求规定。</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spacing w:line="336" w:lineRule="auto"/>
        <w:ind w:firstLine="482" w:firstLineChars="200"/>
        <w:outlineLvl w:val="2"/>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w:t>
      </w:r>
      <w:r>
        <w:rPr>
          <w:rFonts w:hint="eastAsia" w:asciiTheme="minorEastAsia" w:hAnsiTheme="minorEastAsia" w:eastAsiaTheme="minorEastAsia" w:cstheme="minorEastAsia"/>
          <w:b/>
          <w:bCs/>
          <w:color w:val="auto"/>
          <w:sz w:val="24"/>
          <w:szCs w:val="24"/>
          <w:highlight w:val="none"/>
          <w:lang w:eastAsia="zh-CN"/>
        </w:rPr>
        <w:t>在线询价</w:t>
      </w:r>
      <w:r>
        <w:rPr>
          <w:rFonts w:hint="eastAsia" w:asciiTheme="minorEastAsia" w:hAnsiTheme="minorEastAsia" w:eastAsiaTheme="minorEastAsia" w:cstheme="minorEastAsia"/>
          <w:b/>
          <w:bCs/>
          <w:color w:val="auto"/>
          <w:sz w:val="24"/>
          <w:szCs w:val="24"/>
          <w:highlight w:val="none"/>
        </w:rPr>
        <w:t>费用</w:t>
      </w:r>
    </w:p>
    <w:p>
      <w:pPr>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供应商应承担其参加</w:t>
      </w:r>
      <w:r>
        <w:rPr>
          <w:rFonts w:hint="eastAsia" w:asciiTheme="minorEastAsia" w:hAnsiTheme="minorEastAsia" w:eastAsiaTheme="minorEastAsia" w:cstheme="minorEastAsia"/>
          <w:color w:val="auto"/>
          <w:sz w:val="24"/>
          <w:szCs w:val="24"/>
          <w:highlight w:val="none"/>
          <w:lang w:eastAsia="zh-CN"/>
        </w:rPr>
        <w:t>在线询价</w:t>
      </w:r>
      <w:r>
        <w:rPr>
          <w:rFonts w:hint="eastAsia" w:asciiTheme="minorEastAsia" w:hAnsiTheme="minorEastAsia" w:eastAsiaTheme="minorEastAsia" w:cstheme="minorEastAsia"/>
          <w:color w:val="auto"/>
          <w:sz w:val="24"/>
          <w:szCs w:val="24"/>
          <w:highlight w:val="none"/>
        </w:rPr>
        <w:t>所涉及的一切费用，不管结果如何，采购人对上述费用不负任何责任。</w:t>
      </w:r>
    </w:p>
    <w:p>
      <w:pPr>
        <w:pStyle w:val="14"/>
        <w:spacing w:line="336" w:lineRule="auto"/>
        <w:ind w:firstLine="482" w:firstLineChars="200"/>
        <w:outlineLvl w:val="2"/>
        <w:rPr>
          <w:rFonts w:asciiTheme="minorEastAsia" w:hAnsiTheme="minorEastAsia" w:eastAsiaTheme="minorEastAsia" w:cstheme="minorEastAsia"/>
          <w:b/>
          <w:bCs/>
          <w:color w:val="auto"/>
          <w:sz w:val="24"/>
          <w:szCs w:val="24"/>
          <w:highlight w:val="none"/>
          <w:u w:val="single"/>
        </w:rPr>
      </w:pPr>
      <w:r>
        <w:rPr>
          <w:rFonts w:hint="eastAsia" w:asciiTheme="minorEastAsia" w:hAnsiTheme="minorEastAsia" w:eastAsiaTheme="minorEastAsia" w:cstheme="minorEastAsia"/>
          <w:b/>
          <w:bCs/>
          <w:color w:val="auto"/>
          <w:sz w:val="24"/>
          <w:szCs w:val="24"/>
          <w:highlight w:val="none"/>
          <w:lang w:val="en-US" w:eastAsia="zh-CN"/>
        </w:rPr>
        <w:t>6</w:t>
      </w:r>
      <w:r>
        <w:rPr>
          <w:rFonts w:hint="eastAsia" w:asciiTheme="minorEastAsia" w:hAnsiTheme="minorEastAsia" w:eastAsiaTheme="minorEastAsia" w:cstheme="minorEastAsia"/>
          <w:b/>
          <w:bCs/>
          <w:color w:val="auto"/>
          <w:sz w:val="24"/>
          <w:szCs w:val="24"/>
          <w:highlight w:val="none"/>
        </w:rPr>
        <w:t>、响应文件的组成</w:t>
      </w:r>
    </w:p>
    <w:p>
      <w:pPr>
        <w:pStyle w:val="51"/>
        <w:tabs>
          <w:tab w:val="left" w:pos="0"/>
        </w:tabs>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响应文件应当包括以下主要内容：在线报价、附件。</w:t>
      </w:r>
    </w:p>
    <w:p>
      <w:pPr>
        <w:pStyle w:val="51"/>
        <w:numPr>
          <w:ilvl w:val="0"/>
          <w:numId w:val="0"/>
        </w:numPr>
        <w:tabs>
          <w:tab w:val="left" w:pos="8631"/>
        </w:tabs>
        <w:spacing w:before="0" w:line="336" w:lineRule="auto"/>
        <w:ind w:firstLine="48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6.1</w:t>
      </w:r>
      <w:r>
        <w:rPr>
          <w:rFonts w:hint="eastAsia" w:asciiTheme="minorEastAsia" w:hAnsiTheme="minorEastAsia" w:eastAsiaTheme="minorEastAsia" w:cstheme="minorEastAsia"/>
          <w:b/>
          <w:bCs/>
          <w:color w:val="auto"/>
          <w:highlight w:val="none"/>
        </w:rPr>
        <w:t>在线报价：在政采云完成报价填写。</w:t>
      </w:r>
    </w:p>
    <w:p>
      <w:pPr>
        <w:pStyle w:val="51"/>
        <w:numPr>
          <w:ilvl w:val="0"/>
          <w:numId w:val="0"/>
        </w:numPr>
        <w:tabs>
          <w:tab w:val="left" w:pos="8631"/>
        </w:tabs>
        <w:spacing w:before="0" w:line="336" w:lineRule="auto"/>
        <w:ind w:firstLine="48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6.2</w:t>
      </w:r>
      <w:r>
        <w:rPr>
          <w:rFonts w:hint="eastAsia" w:asciiTheme="minorEastAsia" w:hAnsiTheme="minorEastAsia" w:eastAsiaTheme="minorEastAsia" w:cstheme="minorEastAsia"/>
          <w:b/>
          <w:bCs/>
          <w:color w:val="auto"/>
          <w:highlight w:val="none"/>
        </w:rPr>
        <w:t>附件，需要供应商提供以下项所列的技术文件：</w:t>
      </w:r>
    </w:p>
    <w:p>
      <w:pPr>
        <w:pStyle w:val="51"/>
        <w:numPr>
          <w:ilvl w:val="0"/>
          <w:numId w:val="3"/>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法定代表人授权书（格式见附件）；</w:t>
      </w:r>
      <w:r>
        <w:rPr>
          <w:rFonts w:asciiTheme="minorEastAsia" w:hAnsiTheme="minorEastAsia" w:eastAsiaTheme="minorEastAsia" w:cstheme="minorEastAsia"/>
          <w:color w:val="auto"/>
          <w:highlight w:val="none"/>
        </w:rPr>
        <w:t xml:space="preserve"> </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营业执照</w:t>
      </w:r>
    </w:p>
    <w:p>
      <w:pPr>
        <w:pStyle w:val="51"/>
        <w:numPr>
          <w:ilvl w:val="0"/>
          <w:numId w:val="3"/>
        </w:numPr>
        <w:spacing w:before="0" w:line="336" w:lineRule="auto"/>
        <w:ind w:firstLine="480"/>
        <w:rPr>
          <w:rFonts w:asciiTheme="minorEastAsia" w:hAnsiTheme="minorEastAsia" w:eastAsiaTheme="minorEastAsia" w:cstheme="minorEastAsia"/>
          <w:color w:val="0000FF"/>
          <w:highlight w:val="none"/>
        </w:rPr>
      </w:pPr>
      <w:r>
        <w:rPr>
          <w:rFonts w:hint="eastAsia" w:asciiTheme="minorEastAsia" w:hAnsiTheme="minorEastAsia" w:eastAsiaTheme="minorEastAsia" w:cstheme="minorEastAsia"/>
          <w:color w:val="0000FF"/>
          <w:highlight w:val="none"/>
          <w:lang w:val="en-US" w:eastAsia="zh-CN"/>
        </w:rPr>
        <w:t>中小（微）企业声明函</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具有履行合同所必需的产品和专业技术能力的承诺函</w:t>
      </w:r>
    </w:p>
    <w:p>
      <w:pPr>
        <w:pStyle w:val="51"/>
        <w:numPr>
          <w:ilvl w:val="0"/>
          <w:numId w:val="3"/>
        </w:numPr>
        <w:spacing w:before="0"/>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投标人承诺函；</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废标项证明材料（即“★”的证明材料）</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技术响应及建议表（格式见附件）；</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项目实施方案；</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售后服务方案；</w:t>
      </w:r>
    </w:p>
    <w:p>
      <w:pPr>
        <w:pStyle w:val="51"/>
        <w:numPr>
          <w:ilvl w:val="0"/>
          <w:numId w:val="3"/>
        </w:numPr>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供应商认为需要的其他文件资料。 </w:t>
      </w:r>
    </w:p>
    <w:p>
      <w:pPr>
        <w:pStyle w:val="51"/>
        <w:spacing w:before="0" w:line="336" w:lineRule="auto"/>
        <w:outlineLvl w:val="2"/>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7、</w:t>
      </w:r>
      <w:r>
        <w:rPr>
          <w:rFonts w:hint="eastAsia" w:asciiTheme="minorEastAsia" w:hAnsiTheme="minorEastAsia" w:eastAsiaTheme="minorEastAsia" w:cstheme="minorEastAsia"/>
          <w:b/>
          <w:bCs/>
          <w:color w:val="auto"/>
          <w:highlight w:val="none"/>
        </w:rPr>
        <w:t>响应文件有效期</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1 响应文件未在</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响应截止时间前完成传输的或者未按时解密的，视为放弃；响应文件解密失败后未提供备份文件或者备份文件也出现异常情况的，亦视为放弃。</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.2 响应文件上传后，自</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响应截止日期起，在前附表所列的</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响应文件有效期内有效。</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.3 在原定有效期满之前，如果出现特殊情况，采购代理机构可以以书面形式向</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供应商提出延长</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有效期的要求，</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供应商对此须以书面形式予以答复。</w:t>
      </w:r>
    </w:p>
    <w:p>
      <w:pPr>
        <w:pStyle w:val="51"/>
        <w:spacing w:before="0" w:line="336" w:lineRule="auto"/>
        <w:ind w:left="400" w:leftChars="200" w:firstLine="0" w:firstLineChars="0"/>
        <w:outlineLvl w:val="2"/>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8、</w:t>
      </w:r>
      <w:r>
        <w:rPr>
          <w:rFonts w:hint="eastAsia" w:asciiTheme="minorEastAsia" w:hAnsiTheme="minorEastAsia" w:eastAsiaTheme="minorEastAsia" w:cstheme="minorEastAsia"/>
          <w:b/>
          <w:bCs/>
          <w:color w:val="auto"/>
          <w:highlight w:val="none"/>
        </w:rPr>
        <w:t>供应商如有下列情况之一者列入不良行为记录：</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.1 供应商在</w:t>
      </w:r>
      <w:r>
        <w:rPr>
          <w:rFonts w:hint="eastAsia" w:asciiTheme="minorEastAsia" w:hAnsiTheme="minorEastAsia" w:eastAsiaTheme="minorEastAsia" w:cstheme="minorEastAsia"/>
          <w:color w:val="auto"/>
          <w:kern w:val="2"/>
          <w:sz w:val="24"/>
          <w:szCs w:val="24"/>
          <w:highlight w:val="none"/>
          <w:lang w:eastAsia="zh-CN"/>
        </w:rPr>
        <w:t>在线询价</w:t>
      </w:r>
      <w:r>
        <w:rPr>
          <w:rFonts w:hint="eastAsia" w:asciiTheme="minorEastAsia" w:hAnsiTheme="minorEastAsia" w:eastAsiaTheme="minorEastAsia" w:cstheme="minorEastAsia"/>
          <w:color w:val="auto"/>
          <w:kern w:val="2"/>
          <w:sz w:val="24"/>
          <w:szCs w:val="24"/>
          <w:highlight w:val="none"/>
        </w:rPr>
        <w:t>响应文件有效期内撤回投标的；</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.2 供应商或中标候选人放弃中标或中标候选人资格的；</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.3 擅自修改或拒绝接受已经确认的条款；</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.4 成交供应商未按规定与采购人签订合同；</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.5 未按规定提供履约保证金；</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.6 供应商采取提供虚假资料等不正当手段的；</w:t>
      </w:r>
    </w:p>
    <w:p>
      <w:pPr>
        <w:adjustRightInd w:val="0"/>
        <w:spacing w:line="360" w:lineRule="auto"/>
        <w:ind w:left="400" w:leftChars="200"/>
        <w:rPr>
          <w:rFonts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8</w:t>
      </w:r>
      <w:r>
        <w:rPr>
          <w:rFonts w:hint="eastAsia" w:asciiTheme="minorEastAsia" w:hAnsiTheme="minorEastAsia" w:eastAsiaTheme="minorEastAsia" w:cstheme="minorEastAsia"/>
          <w:color w:val="auto"/>
          <w:kern w:val="2"/>
          <w:sz w:val="24"/>
          <w:szCs w:val="24"/>
          <w:highlight w:val="none"/>
        </w:rPr>
        <w:t>.7 供应商在投标过程中串通投标的。</w:t>
      </w:r>
    </w:p>
    <w:p>
      <w:pPr>
        <w:pStyle w:val="51"/>
        <w:spacing w:before="0" w:line="336" w:lineRule="auto"/>
        <w:ind w:firstLine="482"/>
        <w:outlineLvl w:val="2"/>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9</w:t>
      </w:r>
      <w:r>
        <w:rPr>
          <w:rFonts w:hint="eastAsia" w:asciiTheme="minorEastAsia" w:hAnsiTheme="minorEastAsia" w:eastAsiaTheme="minorEastAsia" w:cstheme="minorEastAsia"/>
          <w:b/>
          <w:bCs/>
          <w:color w:val="auto"/>
          <w:highlight w:val="none"/>
          <w:lang w:eastAsia="zh-CN"/>
        </w:rPr>
        <w:t>、</w:t>
      </w:r>
      <w:r>
        <w:rPr>
          <w:rFonts w:hint="eastAsia" w:asciiTheme="minorEastAsia" w:hAnsiTheme="minorEastAsia" w:eastAsiaTheme="minorEastAsia" w:cstheme="minorEastAsia"/>
          <w:b/>
          <w:bCs/>
          <w:color w:val="auto"/>
          <w:highlight w:val="none"/>
        </w:rPr>
        <w:t>响应文件的编制和签署</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.1 按</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文件要求提供各种文件，响应文件分为在线报价和附件两部分。</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.2 响应文件须按附件格式要求进行电子签章，供应商应写全称。（电子</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响应文件中所须加盖公章部分均应采用电子签章）</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.3 全套响应文件应无涂改和行间插字，除非这些删改是根据采购代理机构要求进行，或者是供应商造成的必须修改的错误。所修改处应由法定代表人或其授权代表签字盖章予以确认。</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.4 由于字迹模糊或表达不清引起的后果由供应商负责。</w:t>
      </w:r>
    </w:p>
    <w:p>
      <w:pPr>
        <w:pStyle w:val="51"/>
        <w:spacing w:before="0" w:line="336" w:lineRule="auto"/>
        <w:ind w:firstLine="482"/>
        <w:outlineLvl w:val="2"/>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10</w:t>
      </w:r>
      <w:r>
        <w:rPr>
          <w:rFonts w:hint="eastAsia" w:asciiTheme="minorEastAsia" w:hAnsiTheme="minorEastAsia" w:eastAsiaTheme="minorEastAsia" w:cstheme="minorEastAsia"/>
          <w:b/>
          <w:bCs/>
          <w:color w:val="auto"/>
          <w:highlight w:val="none"/>
          <w:lang w:eastAsia="zh-CN"/>
        </w:rPr>
        <w:t>、</w:t>
      </w:r>
      <w:r>
        <w:rPr>
          <w:rFonts w:hint="eastAsia" w:asciiTheme="minorEastAsia" w:hAnsiTheme="minorEastAsia" w:eastAsiaTheme="minorEastAsia" w:cstheme="minorEastAsia"/>
          <w:b/>
          <w:bCs/>
          <w:color w:val="auto"/>
          <w:highlight w:val="none"/>
        </w:rPr>
        <w:t>响应文件的形式</w:t>
      </w:r>
    </w:p>
    <w:p>
      <w:pPr>
        <w:pStyle w:val="51"/>
        <w:spacing w:before="0" w:line="336" w:lineRule="auto"/>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响应文件为电子</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响应文件，电子</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响应文件按“政采云供应商项目采购-电子招投标操作指南”及本</w:t>
      </w:r>
      <w:r>
        <w:rPr>
          <w:rFonts w:hint="eastAsia" w:asciiTheme="minorEastAsia" w:hAnsiTheme="minorEastAsia" w:eastAsiaTheme="minorEastAsia" w:cstheme="minorEastAsia"/>
          <w:color w:val="auto"/>
          <w:highlight w:val="none"/>
          <w:lang w:eastAsia="zh-CN"/>
        </w:rPr>
        <w:t>在线询价</w:t>
      </w:r>
      <w:r>
        <w:rPr>
          <w:rFonts w:hint="eastAsia" w:asciiTheme="minorEastAsia" w:hAnsiTheme="minorEastAsia" w:eastAsiaTheme="minorEastAsia" w:cstheme="minorEastAsia"/>
          <w:color w:val="auto"/>
          <w:highlight w:val="none"/>
        </w:rPr>
        <w:t>文件要求制作、上传。</w:t>
      </w:r>
    </w:p>
    <w:p>
      <w:pPr>
        <w:tabs>
          <w:tab w:val="left" w:pos="0"/>
        </w:tabs>
        <w:spacing w:line="336" w:lineRule="auto"/>
        <w:rPr>
          <w:rFonts w:asciiTheme="minorEastAsia" w:hAnsiTheme="minorEastAsia" w:eastAsiaTheme="minorEastAsia" w:cstheme="minorEastAsia"/>
          <w:color w:val="auto"/>
          <w:sz w:val="24"/>
          <w:szCs w:val="24"/>
          <w:highlight w:val="none"/>
        </w:rPr>
      </w:pPr>
    </w:p>
    <w:p>
      <w:pPr>
        <w:spacing w:line="360" w:lineRule="auto"/>
        <w:ind w:firstLine="482" w:firstLineChars="200"/>
        <w:jc w:val="left"/>
        <w:rPr>
          <w:rFonts w:asciiTheme="minorEastAsia" w:hAnsiTheme="minorEastAsia" w:eastAsiaTheme="minorEastAsia" w:cstheme="minorEastAsia"/>
          <w:b/>
          <w:color w:val="auto"/>
          <w:sz w:val="24"/>
          <w:highlight w:val="none"/>
        </w:rPr>
      </w:pPr>
      <w:bookmarkStart w:id="24" w:name="_Toc84325929"/>
      <w:bookmarkStart w:id="25" w:name="_Toc81372776"/>
      <w:bookmarkStart w:id="26" w:name="_Toc81372953"/>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1、</w:t>
      </w:r>
      <w:r>
        <w:rPr>
          <w:rFonts w:hint="eastAsia" w:asciiTheme="minorEastAsia" w:hAnsiTheme="minorEastAsia" w:eastAsiaTheme="minorEastAsia" w:cstheme="minorEastAsia"/>
          <w:b/>
          <w:color w:val="auto"/>
          <w:sz w:val="24"/>
          <w:highlight w:val="none"/>
        </w:rPr>
        <w:t>中标通知</w:t>
      </w:r>
    </w:p>
    <w:bookmarkEnd w:id="24"/>
    <w:bookmarkEnd w:id="25"/>
    <w:bookmarkEnd w:id="26"/>
    <w:p>
      <w:pPr>
        <w:pStyle w:val="14"/>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1</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highlight w:val="none"/>
        </w:rPr>
        <w:t>在采购机构发出成交通知书前，预成交供应商有违反有关法律法规和本项目要求行为的，则取消该供应商的预中标资格，</w:t>
      </w:r>
      <w:r>
        <w:rPr>
          <w:rFonts w:hint="eastAsia" w:asciiTheme="minorEastAsia" w:hAnsiTheme="minorEastAsia" w:eastAsiaTheme="minorEastAsia" w:cstheme="minorEastAsia"/>
          <w:color w:val="auto"/>
          <w:sz w:val="24"/>
          <w:szCs w:val="32"/>
          <w:highlight w:val="none"/>
        </w:rPr>
        <w:t>列入政府采购活动不良诚信行为</w:t>
      </w:r>
      <w:r>
        <w:rPr>
          <w:rFonts w:hint="eastAsia" w:asciiTheme="minorEastAsia" w:hAnsiTheme="minorEastAsia" w:eastAsiaTheme="minorEastAsia" w:cstheme="minorEastAsia"/>
          <w:color w:val="auto"/>
          <w:sz w:val="24"/>
          <w:highlight w:val="none"/>
        </w:rPr>
        <w:t>。</w:t>
      </w:r>
    </w:p>
    <w:p>
      <w:pPr>
        <w:pStyle w:val="51"/>
        <w:snapToGrid w:val="0"/>
        <w:spacing w:before="0"/>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32"/>
          <w:highlight w:val="none"/>
        </w:rPr>
        <w:t>（</w:t>
      </w:r>
      <w:r>
        <w:rPr>
          <w:rFonts w:hint="eastAsia" w:asciiTheme="minorEastAsia" w:hAnsiTheme="minorEastAsia" w:eastAsiaTheme="minorEastAsia" w:cstheme="minorEastAsia"/>
          <w:color w:val="auto"/>
          <w:szCs w:val="32"/>
          <w:highlight w:val="none"/>
          <w:lang w:val="en-US" w:eastAsia="zh-CN"/>
        </w:rPr>
        <w:t>2</w:t>
      </w:r>
      <w:r>
        <w:rPr>
          <w:rFonts w:hint="eastAsia" w:asciiTheme="minorEastAsia" w:hAnsiTheme="minorEastAsia" w:eastAsiaTheme="minorEastAsia" w:cstheme="minorEastAsia"/>
          <w:color w:val="auto"/>
          <w:szCs w:val="32"/>
          <w:highlight w:val="none"/>
        </w:rPr>
        <w:t>）</w:t>
      </w:r>
      <w:r>
        <w:rPr>
          <w:rFonts w:hint="eastAsia" w:asciiTheme="minorEastAsia" w:hAnsiTheme="minorEastAsia" w:eastAsiaTheme="minorEastAsia" w:cstheme="minorEastAsia"/>
          <w:color w:val="auto"/>
          <w:highlight w:val="none"/>
        </w:rPr>
        <w:t>采购人、采购机构对中标结果不作任何说明和解释，也不回答任何提问。</w:t>
      </w:r>
    </w:p>
    <w:p>
      <w:pPr>
        <w:adjustRightInd w:val="0"/>
        <w:snapToGrid w:val="0"/>
        <w:spacing w:line="360" w:lineRule="auto"/>
        <w:ind w:firstLine="482" w:firstLineChars="200"/>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2、</w:t>
      </w:r>
      <w:r>
        <w:rPr>
          <w:rFonts w:hint="eastAsia" w:asciiTheme="minorEastAsia" w:hAnsiTheme="minorEastAsia" w:eastAsiaTheme="minorEastAsia" w:cstheme="minorEastAsia"/>
          <w:b/>
          <w:color w:val="auto"/>
          <w:sz w:val="24"/>
          <w:highlight w:val="none"/>
        </w:rPr>
        <w:t>解释权</w:t>
      </w:r>
    </w:p>
    <w:p>
      <w:pPr>
        <w:adjustRightInd w:val="0"/>
        <w:spacing w:line="336"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lang w:eastAsia="zh-CN"/>
        </w:rPr>
        <w:t>在线询价</w:t>
      </w:r>
      <w:r>
        <w:rPr>
          <w:rFonts w:hint="eastAsia" w:asciiTheme="minorEastAsia" w:hAnsiTheme="minorEastAsia" w:eastAsiaTheme="minorEastAsia" w:cstheme="minorEastAsia"/>
          <w:color w:val="auto"/>
          <w:sz w:val="24"/>
          <w:highlight w:val="none"/>
        </w:rPr>
        <w:t>文件的解释权均属于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eastAsia="zh-CN"/>
        </w:rPr>
        <w:t>绍兴市上虞</w:t>
      </w:r>
      <w:r>
        <w:rPr>
          <w:rFonts w:hint="eastAsia" w:asciiTheme="minorEastAsia" w:hAnsiTheme="minorEastAsia" w:eastAsiaTheme="minorEastAsia" w:cstheme="minorEastAsia"/>
          <w:color w:val="auto"/>
          <w:sz w:val="24"/>
          <w:highlight w:val="none"/>
          <w:u w:val="single"/>
          <w:lang w:val="en-US" w:eastAsia="zh-CN"/>
        </w:rPr>
        <w:t>妇幼保健院</w:t>
      </w:r>
      <w:r>
        <w:rPr>
          <w:rFonts w:hint="eastAsia" w:asciiTheme="minorEastAsia" w:hAnsiTheme="minorEastAsia" w:eastAsiaTheme="minorEastAsia" w:cstheme="minorEastAsia"/>
          <w:color w:val="auto"/>
          <w:sz w:val="24"/>
          <w:highlight w:val="none"/>
        </w:rPr>
        <w:t>。</w:t>
      </w:r>
    </w:p>
    <w:p>
      <w:pPr>
        <w:pStyle w:val="2"/>
        <w:jc w:val="center"/>
        <w:rPr>
          <w:rFonts w:hint="eastAsia"/>
        </w:rPr>
      </w:pPr>
      <w:r>
        <w:rPr>
          <w:rFonts w:hint="eastAsia" w:asciiTheme="minorEastAsia" w:hAnsiTheme="minorEastAsia" w:eastAsiaTheme="minorEastAsia" w:cstheme="minorEastAsia"/>
          <w:color w:val="auto"/>
          <w:sz w:val="36"/>
          <w:szCs w:val="36"/>
          <w:highlight w:val="none"/>
        </w:rPr>
        <w:br w:type="page"/>
      </w:r>
      <w:bookmarkStart w:id="27" w:name="_Toc115520511"/>
      <w:bookmarkStart w:id="28" w:name="_Toc21248"/>
      <w:r>
        <w:rPr>
          <w:rFonts w:hint="eastAsia" w:asciiTheme="minorEastAsia" w:hAnsiTheme="minorEastAsia" w:eastAsiaTheme="minorEastAsia" w:cstheme="minorEastAsia"/>
          <w:color w:val="auto"/>
          <w:sz w:val="36"/>
          <w:szCs w:val="36"/>
          <w:highlight w:val="none"/>
        </w:rPr>
        <w:t>第三部分采购内容及要求</w:t>
      </w:r>
      <w:bookmarkEnd w:id="27"/>
      <w:bookmarkEnd w:id="28"/>
    </w:p>
    <w:tbl>
      <w:tblPr>
        <w:tblStyle w:val="23"/>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36"/>
        <w:gridCol w:w="4995"/>
        <w:gridCol w:w="54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名称</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详细配置</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服务器区防火墙</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性能参数：网络层吞吐量：20G，应用层吞吐量：8G，防病毒吞吐量：1.5G，IPS吞吐量：1.3G，全威胁吞吐量：1G，并发连接数：220万，HTTP新建连接数：15万，IPSec最大隧道数：1000，IPSec  VPN吞吐量：400M。硬件参数：规格：1U，内存大小：8G，硬盘容量：128G minisata SSD，电源：单电源，接口：8千兆电口+2万兆光口SFP。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三年产品质保；三年软件升级；含IPS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日志审计</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性能参数：默认包含主机审计许可证书数量：50，最大可扩展审计主机许可数：140，可用存储量：2TB（RAID1 模式），平均每秒处理日志数（eps）最大性能：2200。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硬件参数：规格：2U，内存大小：16G，硬盘容量：128G minisata+2T SATA*2，电源：单电源，接口：6千兆电口+2万兆光口SFP+。(*1台)；</w:t>
            </w:r>
            <w:bookmarkStart w:id="35" w:name="_GoBack"/>
            <w:bookmarkEnd w:id="35"/>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含：日志审计分析管理系统软件V3.0(*1套)；产品质保(*3年)；软件升级(*3年)；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零信任网关</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性能参数：最大理论加密流量（Mbps）：300，最大理论并发用户数：380，最大理论https并发连接数（个）：15000，理论https新建连接数（个/秒）：60。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硬件参数：规格：1U，内存大小：16G，硬盘容量：128G SSD，电源：单电源，接口：6千兆电口+2千兆光口SFP。(*1台)；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含：零信任访问控制系统软件V2.0(*1套)；零信任增强级模块(*1套)；包含50个授权；产品质保(*3年)；软件升级(*3年)；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支持统信UOS×ARM，UOS×X86架构终端，并提供UOS×鲲鹏、UOS×兆芯、UOS×海光、UOS×飞腾等主流国产化系统桌面终端适配证明。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NTP时钟服务器</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MORLINK 授时校时北斗双模GPS时间同步PTP时钟NTP服务器IEEE1588 【高精度恒温晶振款】支持卫星 4个独立网口，同时支持多种卫星系统(北斗、GPS、GLONASS、GALILEO)提高了系统可靠性和覆盖范围，支持WEB网页中英文切换，可扩展其它语言，30米GPS 天线，1年保修，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bl>
    <w:p>
      <w:pPr>
        <w:pStyle w:val="29"/>
      </w:pPr>
    </w:p>
    <w:p>
      <w:pPr>
        <w:pStyle w:val="29"/>
      </w:pPr>
    </w:p>
    <w:p>
      <w:pPr>
        <w:pStyle w:val="29"/>
      </w:pP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2"/>
          <w:highlight w:val="none"/>
          <w:lang w:val="en-US" w:eastAsia="zh-CN" w:bidi="ar-SA"/>
        </w:rPr>
      </w:pPr>
      <w:bookmarkStart w:id="29" w:name="_Toc15284"/>
      <w:r>
        <w:rPr>
          <w:rFonts w:hint="eastAsia" w:asciiTheme="minorEastAsia" w:hAnsiTheme="minorEastAsia" w:eastAsiaTheme="minorEastAsia" w:cstheme="minorEastAsia"/>
          <w:color w:val="auto"/>
          <w:sz w:val="24"/>
          <w:szCs w:val="22"/>
          <w:highlight w:val="none"/>
          <w:lang w:val="en-US" w:eastAsia="zh-CN" w:bidi="ar-SA"/>
        </w:rPr>
        <w:t>一</w:t>
      </w:r>
      <w:r>
        <w:rPr>
          <w:rFonts w:hint="eastAsia" w:asciiTheme="minorEastAsia" w:hAnsiTheme="minorEastAsia" w:eastAsiaTheme="minorEastAsia" w:cstheme="minorEastAsia"/>
          <w:color w:val="auto"/>
          <w:sz w:val="24"/>
          <w:szCs w:val="22"/>
          <w:highlight w:val="none"/>
          <w:lang w:val="en-US" w:eastAsia="zh-Hans" w:bidi="ar-SA"/>
        </w:rPr>
        <w:t>、</w:t>
      </w:r>
      <w:r>
        <w:rPr>
          <w:rFonts w:hint="eastAsia" w:asciiTheme="minorEastAsia" w:hAnsiTheme="minorEastAsia" w:eastAsiaTheme="minorEastAsia" w:cstheme="minorEastAsia"/>
          <w:color w:val="auto"/>
          <w:sz w:val="24"/>
          <w:szCs w:val="22"/>
          <w:highlight w:val="none"/>
          <w:lang w:val="en-US" w:eastAsia="zh-CN" w:bidi="ar-SA"/>
        </w:rPr>
        <w:t>商务要求</w:t>
      </w:r>
    </w:p>
    <w:p>
      <w:pPr>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bidi="ar-SA"/>
        </w:rPr>
        <w:t>1.付款要求</w:t>
      </w:r>
    </w:p>
    <w:p>
      <w:pPr>
        <w:numPr>
          <w:ilvl w:val="0"/>
          <w:numId w:val="0"/>
        </w:numPr>
        <w:spacing w:line="360" w:lineRule="auto"/>
        <w:ind w:leftChars="0" w:firstLine="480" w:firstLineChars="200"/>
        <w:rPr>
          <w:rFonts w:hint="default" w:eastAsia="宋体"/>
          <w:lang w:val="en-US" w:eastAsia="zh-CN"/>
        </w:rPr>
      </w:pPr>
      <w:r>
        <w:rPr>
          <w:rFonts w:hint="eastAsia" w:asciiTheme="minorEastAsia" w:hAnsiTheme="minorEastAsia" w:eastAsiaTheme="minorEastAsia" w:cstheme="minorEastAsia"/>
          <w:color w:val="auto"/>
          <w:sz w:val="24"/>
          <w:szCs w:val="22"/>
          <w:highlight w:val="none"/>
          <w:lang w:val="en-US" w:eastAsia="zh-CN" w:bidi="ar-SA"/>
        </w:rPr>
        <w:t>要求中标公示结束七天内签订项目合同，签订合同后采购方向中标方支付合同金额的40%为预付款（中标方须先提交银行、保险公司等金融机构出具的预付款保函）；验收合格后支付合同总价的50%</w:t>
      </w:r>
      <w:r>
        <w:rPr>
          <w:rFonts w:hint="eastAsia"/>
          <w:lang w:val="en-US" w:eastAsia="zh-CN"/>
        </w:rPr>
        <w:t>；</w:t>
      </w:r>
      <w:r>
        <w:rPr>
          <w:rFonts w:hint="eastAsia" w:asciiTheme="minorEastAsia" w:hAnsiTheme="minorEastAsia" w:eastAsiaTheme="minorEastAsia" w:cstheme="minorEastAsia"/>
          <w:color w:val="auto"/>
          <w:sz w:val="24"/>
          <w:szCs w:val="22"/>
          <w:highlight w:val="none"/>
          <w:lang w:val="en-US" w:eastAsia="zh-CN" w:bidi="ar-SA"/>
        </w:rPr>
        <w:t>一年</w:t>
      </w:r>
      <w:r>
        <w:rPr>
          <w:rFonts w:hint="eastAsia" w:ascii="宋体" w:hAnsi="宋体" w:eastAsia="宋体" w:cs="宋体"/>
          <w:sz w:val="24"/>
          <w:szCs w:val="24"/>
          <w:lang w:val="en-US" w:eastAsia="zh-CN"/>
        </w:rPr>
        <w:t>后支付合同</w:t>
      </w:r>
      <w:r>
        <w:rPr>
          <w:rFonts w:hint="eastAsia" w:ascii="宋体" w:hAnsi="宋体" w:cs="宋体"/>
          <w:sz w:val="24"/>
          <w:szCs w:val="24"/>
          <w:lang w:val="en-US" w:eastAsia="zh-CN"/>
        </w:rPr>
        <w:t>剩余</w:t>
      </w:r>
      <w:r>
        <w:rPr>
          <w:rFonts w:hint="eastAsia" w:ascii="宋体" w:hAnsi="宋体" w:eastAsia="宋体" w:cs="宋体"/>
          <w:sz w:val="24"/>
          <w:szCs w:val="24"/>
          <w:lang w:val="en-US" w:eastAsia="zh-CN"/>
        </w:rPr>
        <w:t>的</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0%</w:t>
      </w:r>
      <w:r>
        <w:rPr>
          <w:rFonts w:hint="eastAsia" w:asciiTheme="minorEastAsia" w:hAnsiTheme="minorEastAsia" w:eastAsiaTheme="minorEastAsia" w:cstheme="minorEastAsia"/>
          <w:color w:val="auto"/>
          <w:sz w:val="24"/>
          <w:szCs w:val="22"/>
          <w:highlight w:val="none"/>
          <w:lang w:val="en-US" w:eastAsia="zh-CN" w:bidi="ar-SA"/>
        </w:rPr>
        <w:t>。（所有款项均不计息，所有款项支付按本院财务支付流程）</w:t>
      </w:r>
      <w:r>
        <w:rPr>
          <w:rFonts w:hint="eastAsia" w:ascii="宋体" w:hAnsi="宋体" w:eastAsia="宋体" w:cs="宋体"/>
          <w:sz w:val="24"/>
          <w:szCs w:val="24"/>
        </w:rPr>
        <w:t>中标人在收款之前，应向采购人提供发票，采购人凭发票付款。如中标人未按约定提供发票的，采购人有权拒绝付款，直至收到中标人提交的相应发票为止，在此情况下，采购人不承担逾期付款违约责任。</w:t>
      </w:r>
    </w:p>
    <w:p>
      <w:pPr>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bidi="ar-SA"/>
        </w:rPr>
        <w:t>2.保密要求</w:t>
      </w:r>
    </w:p>
    <w:p>
      <w:pPr>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bidi="ar-SA"/>
        </w:rPr>
        <w:t>采购方向中标方提供的，属于采购方所有或专有的，或采购方负有保密义务的有关第三方的下列资料及所有在信息载体上需要“保密”的材料和信息，需保密材料包括但不限于：系统数据、居民基本信息、医疗健康信息数据、需求图表等知识产权、业务记录和计划、商业机密、技术资料、产品项目、产品设计信息、价格结构、成本等非公开的、保密的或专业的信息和数据；中标方对保密信息谨慎、妥善持有，并严格保密，没有采购方事先书面同意，不得向任何第三方披露，对外宣传；中标方仅可为双方合作之必需，将经采购方书面同意指定的保密信息披露给采购方指定的第三方公司，并且该公司应首先以书面形式承诺保守该保密信息；中标方仅可为双方合作业务之必需，将保密信息披露给其直接或间接参与合作事项的管理人员、职员、顾问和其他雇员（统称“有关人员”），但应保证该类有关人员对保密信息严格保密；若具有权力的法庭或其他司法、行政、立法机构要求中标方披露保密信息，中标方将立即通知采购方此类要求；若中标方按上述要求必须提供保密信息，中标方将配合采购方采取合法及合理的措施，要求所提供的保密信息能得到保密的待遇；若中标方或有关人员违反保密义务，中标方须承担全部无限责任（包括法律责任），并赔偿采购方由此造成的全部损失；中标方没有得到采购方的书面同意，不得将其在本合同项下的保密权利和义务转让给第三方；如国家颁布有关产权资料的法律法规与管理条例，有关方有义务遵守这些法律法规与管理条例；除采购方以书面形式明确表达外，采购方向中标方披露保密信息并不构成采购方向中标方转让或授予中标方享有采购方对其专利、技术秘密或其他知识产权等秘密拥有的利益；保密要求不受项目合同时间限制，无论是否合同有效期内或有效期外，中标方都必须遵守采购方的保密要求；同时按照信息安全三级等保要求和国家互联互通成熟度测评要求做好系统测评配合和系统问题整改工作（等级要求无条件以采购方出具要求为准）。</w:t>
      </w:r>
    </w:p>
    <w:p>
      <w:pPr>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bidi="ar-SA"/>
        </w:rPr>
        <w:t>其他说明</w:t>
      </w:r>
    </w:p>
    <w:p>
      <w:pPr>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bidi="ar-SA"/>
        </w:rPr>
        <w:t>本项目的招投标、投标修改文件、评标过程中有关澄清文件、经双方签字的询标纪要、中标通知书等均作为本项目合同不可分割的一部分，与本项目合同具有同等法律效力。中标方的投标文件中明确表示完全响应采购文件或（且）无负偏离特别说明的，若以上各个文件之间、及与本项目合同之间有差异的，中标方须按照有利于采购方的原则执行最优条款（本项目不允许负偏离，投标即表示无条件同意接受采购文件所有条款要求）。中小企业承诺书加盖公章，投标时请上传。</w:t>
      </w:r>
    </w:p>
    <w:p>
      <w:pPr>
        <w:adjustRightInd w:val="0"/>
        <w:snapToGrid w:val="0"/>
        <w:spacing w:before="156" w:beforeLines="50" w:after="156" w:afterLines="50" w:line="360" w:lineRule="auto"/>
        <w:ind w:firstLine="480" w:firstLineChars="200"/>
        <w:jc w:val="both"/>
        <w:rPr>
          <w:rFonts w:ascii="宋体" w:hAnsi="宋体"/>
          <w:color w:val="auto"/>
          <w:sz w:val="24"/>
          <w:szCs w:val="24"/>
          <w:highlight w:val="none"/>
        </w:rPr>
      </w:pPr>
    </w:p>
    <w:bookmarkEnd w:id="29"/>
    <w:p>
      <w:pPr>
        <w:spacing w:line="360" w:lineRule="auto"/>
        <w:rPr>
          <w:rFonts w:asciiTheme="minorEastAsia" w:hAnsiTheme="minorEastAsia" w:eastAsiaTheme="minorEastAsia" w:cstheme="minorEastAsia"/>
          <w:b/>
          <w:bCs/>
          <w:color w:val="auto"/>
          <w:sz w:val="24"/>
          <w:szCs w:val="24"/>
          <w:highlight w:val="none"/>
        </w:rPr>
      </w:pPr>
    </w:p>
    <w:p>
      <w:pPr>
        <w:spacing w:line="360" w:lineRule="auto"/>
        <w:ind w:firstLine="482" w:firstLineChars="200"/>
        <w:rPr>
          <w:rFonts w:asciiTheme="minorEastAsia" w:hAnsiTheme="minorEastAsia" w:eastAsiaTheme="minorEastAsia" w:cstheme="minorEastAsia"/>
          <w:b/>
          <w:bCs/>
          <w:color w:val="auto"/>
          <w:sz w:val="24"/>
          <w:szCs w:val="24"/>
          <w:highlight w:val="none"/>
        </w:rPr>
      </w:pPr>
    </w:p>
    <w:p>
      <w:pPr>
        <w:spacing w:line="360" w:lineRule="auto"/>
        <w:ind w:firstLine="482" w:firstLineChars="200"/>
        <w:rPr>
          <w:rFonts w:asciiTheme="minorEastAsia" w:hAnsiTheme="minorEastAsia" w:eastAsiaTheme="minorEastAsia" w:cstheme="minorEastAsia"/>
          <w:b/>
          <w:bCs/>
          <w:color w:val="auto"/>
          <w:sz w:val="24"/>
          <w:szCs w:val="24"/>
          <w:highlight w:val="none"/>
        </w:rPr>
      </w:pPr>
    </w:p>
    <w:p>
      <w:pPr>
        <w:spacing w:line="360" w:lineRule="auto"/>
        <w:ind w:firstLine="482" w:firstLineChars="200"/>
        <w:rPr>
          <w:rFonts w:asciiTheme="minorEastAsia" w:hAnsiTheme="minorEastAsia" w:eastAsiaTheme="minorEastAsia" w:cstheme="minorEastAsia"/>
          <w:b/>
          <w:bCs/>
          <w:color w:val="auto"/>
          <w:sz w:val="24"/>
          <w:szCs w:val="24"/>
          <w:highlight w:val="none"/>
        </w:rPr>
      </w:pPr>
    </w:p>
    <w:p>
      <w:pPr>
        <w:spacing w:line="360" w:lineRule="auto"/>
        <w:ind w:firstLine="482" w:firstLineChars="200"/>
        <w:rPr>
          <w:rFonts w:asciiTheme="minorEastAsia" w:hAnsiTheme="minorEastAsia" w:eastAsiaTheme="minorEastAsia" w:cstheme="minorEastAsia"/>
          <w:b/>
          <w:bCs/>
          <w:color w:val="auto"/>
          <w:sz w:val="24"/>
          <w:szCs w:val="24"/>
          <w:highlight w:val="none"/>
        </w:rPr>
      </w:pPr>
    </w:p>
    <w:p>
      <w:pP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br w:type="page"/>
      </w:r>
    </w:p>
    <w:p>
      <w:pPr>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附件文件部分</w:t>
      </w:r>
    </w:p>
    <w:p>
      <w:pPr>
        <w:spacing w:line="360" w:lineRule="auto"/>
        <w:jc w:val="center"/>
        <w:rPr>
          <w:rFonts w:asciiTheme="minorEastAsia" w:hAnsiTheme="minorEastAsia" w:eastAsiaTheme="minorEastAsia" w:cstheme="minorEastAsia"/>
          <w:b/>
          <w:bCs/>
          <w:color w:val="auto"/>
          <w:sz w:val="36"/>
          <w:szCs w:val="36"/>
          <w:highlight w:val="none"/>
        </w:rPr>
      </w:pPr>
    </w:p>
    <w:p>
      <w:pPr>
        <w:spacing w:line="360" w:lineRule="auto"/>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目录</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法定代表人授权书（格式见附件）；</w:t>
      </w:r>
      <w:r>
        <w:rPr>
          <w:rFonts w:asciiTheme="minorEastAsia" w:hAnsiTheme="minorEastAsia" w:eastAsiaTheme="minorEastAsia" w:cstheme="minorEastAsia"/>
          <w:color w:val="auto"/>
          <w:highlight w:val="none"/>
        </w:rPr>
        <w:t xml:space="preserve"> </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营业执照；</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具有履行合同所必需的产品和专业技术能力的承诺函</w:t>
      </w:r>
    </w:p>
    <w:p>
      <w:pPr>
        <w:pStyle w:val="51"/>
        <w:numPr>
          <w:ilvl w:val="0"/>
          <w:numId w:val="4"/>
        </w:numPr>
        <w:spacing w:before="0"/>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投标人承诺函；</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废标项证明材料（即“★”的证明材料）</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技术响应及建议表（格式见附件）；</w:t>
      </w:r>
    </w:p>
    <w:p>
      <w:pPr>
        <w:pStyle w:val="51"/>
        <w:numPr>
          <w:ilvl w:val="0"/>
          <w:numId w:val="4"/>
        </w:numPr>
        <w:spacing w:before="0" w:line="336" w:lineRule="auto"/>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项目实施方案；</w:t>
      </w:r>
    </w:p>
    <w:p>
      <w:pPr>
        <w:pStyle w:val="51"/>
        <w:numPr>
          <w:ilvl w:val="0"/>
          <w:numId w:val="4"/>
        </w:numPr>
        <w:spacing w:before="0" w:line="336" w:lineRule="auto"/>
        <w:ind w:left="425" w:leftChars="0" w:hanging="425"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售后服务方案；</w:t>
      </w:r>
    </w:p>
    <w:p>
      <w:pPr>
        <w:pStyle w:val="51"/>
        <w:numPr>
          <w:ilvl w:val="0"/>
          <w:numId w:val="4"/>
        </w:numPr>
        <w:spacing w:before="0" w:line="336" w:lineRule="auto"/>
        <w:ind w:left="425" w:leftChars="0" w:hanging="425" w:firstLineChars="0"/>
        <w:rPr>
          <w:rFonts w:hint="default" w:asciiTheme="minorEastAsia" w:hAnsiTheme="minorEastAsia" w:eastAsiaTheme="minorEastAsia" w:cstheme="minorEastAsia"/>
          <w:color w:val="0000FF"/>
          <w:highlight w:val="none"/>
          <w:lang w:val="en-US" w:eastAsia="zh-CN"/>
        </w:rPr>
      </w:pPr>
      <w:r>
        <w:rPr>
          <w:rFonts w:hint="eastAsia" w:asciiTheme="minorEastAsia" w:hAnsiTheme="minorEastAsia" w:eastAsiaTheme="minorEastAsia" w:cstheme="minorEastAsia"/>
          <w:color w:val="0000FF"/>
          <w:highlight w:val="none"/>
          <w:lang w:val="en-US" w:eastAsia="zh-CN"/>
        </w:rPr>
        <w:t>中小企业声明函；</w:t>
      </w:r>
    </w:p>
    <w:p>
      <w:pPr>
        <w:pStyle w:val="51"/>
        <w:numPr>
          <w:ilvl w:val="0"/>
          <w:numId w:val="4"/>
        </w:numPr>
        <w:spacing w:before="0"/>
        <w:ind w:left="425" w:leftChars="0" w:hanging="425"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供应商认为需要的其他文件资料。</w:t>
      </w:r>
    </w:p>
    <w:p>
      <w:pPr>
        <w:pStyle w:val="12"/>
        <w:ind w:firstLine="486"/>
        <w:rPr>
          <w:rFonts w:asciiTheme="minorEastAsia" w:hAnsiTheme="minorEastAsia" w:eastAsiaTheme="minorEastAsia" w:cstheme="minorEastAsia"/>
          <w:color w:val="auto"/>
          <w:highlight w:val="none"/>
        </w:rPr>
      </w:pPr>
    </w:p>
    <w:p>
      <w:pPr>
        <w:pStyle w:val="12"/>
        <w:ind w:firstLine="486"/>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30" w:name="_Toc24699"/>
    </w:p>
    <w:p>
      <w:pPr>
        <w:snapToGrid w:val="0"/>
        <w:spacing w:before="50" w:after="156" w:afterLines="50"/>
        <w:jc w:val="left"/>
        <w:rPr>
          <w:rFonts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附件一：</w:t>
      </w:r>
    </w:p>
    <w:p>
      <w:pPr>
        <w:spacing w:line="360" w:lineRule="auto"/>
        <w:jc w:val="cente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bookmarkEnd w:id="30"/>
    </w:p>
    <w:p>
      <w:pPr>
        <w:pStyle w:val="6"/>
        <w:spacing w:line="360" w:lineRule="auto"/>
        <w:rPr>
          <w:rFonts w:asciiTheme="minorEastAsia" w:hAnsiTheme="minorEastAsia" w:eastAsiaTheme="minorEastAsia" w:cstheme="minorEastAsia"/>
          <w:color w:val="auto"/>
          <w:highlight w:val="none"/>
        </w:rPr>
      </w:pP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w:t>
      </w:r>
      <w:r>
        <w:rPr>
          <w:rFonts w:hint="eastAsia" w:asciiTheme="minorEastAsia" w:hAnsiTheme="minorEastAsia" w:eastAsiaTheme="minorEastAsia" w:cstheme="minorEastAsia"/>
          <w:color w:val="auto"/>
          <w:sz w:val="24"/>
          <w:szCs w:val="24"/>
          <w:highlight w:val="none"/>
          <w:lang w:val="en-US" w:eastAsia="zh-CN"/>
        </w:rPr>
        <w:t>妇幼保健院</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（供应商全称）</w:t>
      </w:r>
      <w:r>
        <w:rPr>
          <w:rFonts w:hint="eastAsia" w:asciiTheme="minorEastAsia" w:hAnsiTheme="minorEastAsia" w:eastAsiaTheme="minorEastAsia" w:cstheme="minorEastAsia"/>
          <w:color w:val="auto"/>
          <w:sz w:val="24"/>
          <w:szCs w:val="24"/>
          <w:highlight w:val="none"/>
        </w:rPr>
        <w:t>法定代表人授权</w:t>
      </w:r>
      <w:r>
        <w:rPr>
          <w:rFonts w:hint="eastAsia" w:asciiTheme="minorEastAsia" w:hAnsiTheme="minorEastAsia" w:eastAsiaTheme="minorEastAsia" w:cstheme="minorEastAsia"/>
          <w:color w:val="auto"/>
          <w:sz w:val="24"/>
          <w:szCs w:val="24"/>
          <w:highlight w:val="none"/>
          <w:u w:val="single"/>
        </w:rPr>
        <w:t>（授权代表名称）</w:t>
      </w:r>
      <w:r>
        <w:rPr>
          <w:rFonts w:hint="eastAsia" w:asciiTheme="minorEastAsia" w:hAnsiTheme="minorEastAsia" w:eastAsiaTheme="minorEastAsia" w:cstheme="minorEastAsia"/>
          <w:color w:val="auto"/>
          <w:sz w:val="24"/>
          <w:szCs w:val="24"/>
          <w:highlight w:val="none"/>
        </w:rPr>
        <w:t>为授权代表，参加贵处组织的项目</w:t>
      </w:r>
      <w:r>
        <w:rPr>
          <w:rFonts w:hint="eastAsia" w:asciiTheme="minorEastAsia" w:hAnsiTheme="minorEastAsia" w:eastAsiaTheme="minorEastAsia" w:cstheme="minorEastAsia"/>
          <w:color w:val="auto"/>
          <w:sz w:val="24"/>
          <w:szCs w:val="24"/>
          <w:highlight w:val="none"/>
          <w:u w:val="single"/>
        </w:rPr>
        <w:t xml:space="preserve"> </w:t>
      </w:r>
      <w:r>
        <w:rPr>
          <w:rFonts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，授权处理招投标活动中的一切事宜。</w:t>
      </w:r>
    </w:p>
    <w:p>
      <w:pPr>
        <w:spacing w:line="360" w:lineRule="auto"/>
        <w:ind w:firstLine="480" w:firstLineChars="200"/>
        <w:rPr>
          <w:rFonts w:asciiTheme="minorEastAsia" w:hAnsiTheme="minorEastAsia" w:eastAsiaTheme="minorEastAsia" w:cstheme="minorEastAsia"/>
          <w:color w:val="auto"/>
          <w:sz w:val="24"/>
          <w:szCs w:val="24"/>
          <w:highlight w:val="none"/>
        </w:rPr>
      </w:pP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供应商全称：（盖章）</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授权代表姓名：</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职务：</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详细通讯地址：</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p>
      <w:pPr>
        <w:pStyle w:val="14"/>
        <w:snapToGrid w:val="0"/>
        <w:spacing w:line="360" w:lineRule="auto"/>
        <w:rPr>
          <w:rFonts w:asciiTheme="minorEastAsia" w:hAnsiTheme="minorEastAsia" w:eastAsiaTheme="minorEastAsia" w:cstheme="minorEastAsia"/>
          <w:color w:val="auto"/>
          <w:sz w:val="24"/>
          <w:szCs w:val="24"/>
          <w:highlight w:val="none"/>
        </w:rPr>
      </w:pPr>
    </w:p>
    <w:p>
      <w:pPr>
        <w:pStyle w:val="14"/>
        <w:snapToGrid w:val="0"/>
        <w:spacing w:line="360" w:lineRule="auto"/>
        <w:rPr>
          <w:rFonts w:asciiTheme="minorEastAsia" w:hAnsiTheme="minorEastAsia" w:eastAsiaTheme="minorEastAsia" w:cstheme="minorEastAsia"/>
          <w:color w:val="auto"/>
          <w:sz w:val="24"/>
          <w:szCs w:val="24"/>
          <w:highlight w:val="none"/>
        </w:rPr>
      </w:pPr>
    </w:p>
    <w:p>
      <w:pPr>
        <w:pStyle w:val="14"/>
        <w:snapToGrid w:val="0"/>
        <w:spacing w:line="360" w:lineRule="auto"/>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附：授权代表身份证复印件（正反面）</w:t>
      </w:r>
    </w:p>
    <w:p>
      <w:pPr>
        <w:spacing w:line="360" w:lineRule="auto"/>
        <w:rPr>
          <w:rFonts w:asciiTheme="minorEastAsia" w:hAnsiTheme="minorEastAsia" w:eastAsiaTheme="minorEastAsia" w:cstheme="minorEastAsia"/>
          <w:b/>
          <w:bCs/>
          <w:color w:val="auto"/>
          <w:sz w:val="24"/>
          <w:szCs w:val="24"/>
          <w:highlight w:val="none"/>
        </w:rPr>
      </w:pPr>
    </w:p>
    <w:p>
      <w:pPr>
        <w:pStyle w:val="12"/>
        <w:ind w:firstLine="486"/>
        <w:rPr>
          <w:rFonts w:asciiTheme="minorEastAsia" w:hAnsiTheme="minorEastAsia" w:eastAsiaTheme="minorEastAsia" w:cstheme="minorEastAsia"/>
          <w:color w:val="auto"/>
          <w:highlight w:val="none"/>
        </w:rPr>
      </w:pPr>
    </w:p>
    <w:p>
      <w:pPr>
        <w:snapToGrid w:val="0"/>
        <w:spacing w:before="50" w:after="156" w:afterLines="50"/>
        <w:jc w:val="left"/>
        <w:rPr>
          <w:rFonts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4"/>
          <w:szCs w:val="24"/>
          <w:highlight w:val="none"/>
          <w:lang w:val="zh-CN"/>
        </w:rPr>
        <w:t>附件二：</w:t>
      </w:r>
    </w:p>
    <w:p>
      <w:pPr>
        <w:spacing w:line="360" w:lineRule="auto"/>
        <w:jc w:val="cente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投标人承诺函</w:t>
      </w:r>
    </w:p>
    <w:p>
      <w:pPr>
        <w:spacing w:line="360" w:lineRule="auto"/>
        <w:ind w:firstLine="400" w:firstLineChars="200"/>
        <w:rPr>
          <w:rFonts w:asciiTheme="minorEastAsia" w:hAnsiTheme="minorEastAsia" w:eastAsiaTheme="minorEastAsia" w:cstheme="minorEastAsia"/>
          <w:color w:val="auto"/>
          <w:highlight w:val="none"/>
        </w:rPr>
      </w:pP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w:t>
      </w:r>
      <w:r>
        <w:rPr>
          <w:rFonts w:hint="eastAsia" w:asciiTheme="minorEastAsia" w:hAnsiTheme="minorEastAsia" w:eastAsiaTheme="minorEastAsia" w:cstheme="minorEastAsia"/>
          <w:color w:val="auto"/>
          <w:sz w:val="24"/>
          <w:szCs w:val="24"/>
          <w:highlight w:val="none"/>
          <w:lang w:val="en-US" w:eastAsia="zh-CN"/>
        </w:rPr>
        <w:t>妇幼保健院</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（投标人名称）</w:t>
      </w:r>
      <w:r>
        <w:rPr>
          <w:rFonts w:hint="eastAsia" w:ascii="宋体" w:hAnsi="宋体" w:cs="宋体"/>
          <w:color w:val="auto"/>
          <w:sz w:val="24"/>
          <w:highlight w:val="none"/>
        </w:rPr>
        <w:t>系中华人民共和国合法企业，经营地址。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（姓名）</w:t>
      </w:r>
      <w:r>
        <w:rPr>
          <w:rFonts w:hint="eastAsia" w:ascii="宋体" w:hAnsi="宋体" w:cs="宋体"/>
          <w:color w:val="auto"/>
          <w:sz w:val="24"/>
          <w:highlight w:val="none"/>
        </w:rPr>
        <w:t>系</w:t>
      </w:r>
      <w:r>
        <w:rPr>
          <w:rFonts w:hint="eastAsia" w:ascii="宋体" w:hAnsi="宋体" w:cs="宋体"/>
          <w:color w:val="auto"/>
          <w:sz w:val="24"/>
          <w:highlight w:val="none"/>
          <w:u w:val="single"/>
        </w:rPr>
        <w:t>（投标人名称）</w:t>
      </w:r>
      <w:r>
        <w:rPr>
          <w:rFonts w:hint="eastAsia" w:ascii="宋体" w:hAnsi="宋体" w:cs="宋体"/>
          <w:color w:val="auto"/>
          <w:sz w:val="24"/>
          <w:highlight w:val="none"/>
        </w:rPr>
        <w:t>的法定代表人，我方愿意参加贵方组织的</w:t>
      </w:r>
      <w:r>
        <w:rPr>
          <w:rFonts w:hint="eastAsia" w:ascii="宋体" w:hAnsi="宋体" w:cs="宋体"/>
          <w:color w:val="auto"/>
          <w:sz w:val="24"/>
          <w:highlight w:val="none"/>
          <w:u w:val="single"/>
        </w:rPr>
        <w:t>（招标项目名称）（编号为）</w:t>
      </w:r>
      <w:r>
        <w:rPr>
          <w:rFonts w:hint="eastAsia" w:ascii="宋体" w:hAnsi="宋体" w:cs="宋体"/>
          <w:color w:val="auto"/>
          <w:sz w:val="24"/>
          <w:highlight w:val="none"/>
        </w:rPr>
        <w:t>的投标，为此，我方就本次投标有关事项郑重承诺如下：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1、我方已详细审查全部招标文件，同意招标文件的各项要求。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2、我方向贵方提交的所有投标文件、资料都是准确的和真实的。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3、若中标，我方将按招标文件规定履行合同责任和义务。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5、投标文件自开标日起有效期为90天。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6、我方参与本项目前3年内的经营活动中没有重大违法记录；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51"/>
        <w:spacing w:before="0"/>
        <w:ind w:firstLine="480"/>
        <w:rPr>
          <w:rFonts w:ascii="宋体" w:hAnsi="宋体" w:cs="宋体"/>
          <w:color w:val="auto"/>
          <w:highlight w:val="none"/>
        </w:rPr>
      </w:pPr>
      <w:r>
        <w:rPr>
          <w:rFonts w:hint="eastAsia" w:ascii="宋体" w:hAnsi="宋体" w:cs="宋体"/>
          <w:color w:val="auto"/>
          <w:highlight w:val="none"/>
        </w:rPr>
        <w:t>8、具有良好的商业信誉和健全的财务会计制度；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10、以上事项如有虚假或隐瞒，我方愿意承担一切后果，并不再寻求任何旨在减轻或免除法律责任的辩解。</w:t>
      </w:r>
    </w:p>
    <w:p>
      <w:pPr>
        <w:pStyle w:val="12"/>
        <w:rPr>
          <w:rFonts w:asciiTheme="minorEastAsia" w:hAnsiTheme="minorEastAsia" w:eastAsiaTheme="minorEastAsia" w:cstheme="minorEastAsia"/>
          <w:color w:val="auto"/>
          <w:highlight w:val="none"/>
        </w:rPr>
      </w:pPr>
    </w:p>
    <w:p>
      <w:pPr>
        <w:pStyle w:val="12"/>
        <w:rPr>
          <w:rFonts w:asciiTheme="minorEastAsia" w:hAnsiTheme="minorEastAsia" w:eastAsiaTheme="minorEastAsia" w:cstheme="minorEastAsia"/>
          <w:color w:val="auto"/>
          <w:highlight w:val="none"/>
        </w:rPr>
      </w:pPr>
    </w:p>
    <w:p>
      <w:pPr>
        <w:spacing w:line="360" w:lineRule="auto"/>
        <w:ind w:left="3600" w:leftChars="1800"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pStyle w:val="12"/>
        <w:ind w:firstLine="566"/>
        <w:rPr>
          <w:rFonts w:hint="eastAsia" w:asciiTheme="minorEastAsia" w:hAnsiTheme="minorEastAsia" w:eastAsiaTheme="minorEastAsia" w:cstheme="minorEastAsia"/>
          <w:color w:val="auto"/>
          <w:sz w:val="28"/>
          <w:szCs w:val="28"/>
          <w:highlight w:val="none"/>
        </w:rPr>
      </w:pPr>
    </w:p>
    <w:p>
      <w:pPr>
        <w:spacing w:line="360" w:lineRule="auto"/>
        <w:jc w:val="left"/>
        <w:rPr>
          <w:rFonts w:asciiTheme="minorEastAsia" w:hAnsiTheme="minorEastAsia" w:eastAsiaTheme="minorEastAsia" w:cstheme="minorEastAsia"/>
          <w:b/>
          <w:bCs/>
          <w:color w:val="auto"/>
          <w:sz w:val="24"/>
          <w:szCs w:val="24"/>
          <w:highlight w:val="none"/>
          <w:lang w:val="zh-CN"/>
        </w:rPr>
      </w:pPr>
    </w:p>
    <w:p>
      <w:pPr>
        <w:pStyle w:val="2"/>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附件三：</w:t>
      </w:r>
    </w:p>
    <w:p>
      <w:pPr>
        <w:rPr>
          <w:rFonts w:hint="eastAsia"/>
          <w:color w:val="auto"/>
          <w:highlight w:val="none"/>
          <w:lang w:val="en-US" w:eastAsia="zh-CN"/>
        </w:rPr>
      </w:pPr>
    </w:p>
    <w:p>
      <w:pPr>
        <w:pStyle w:val="2"/>
        <w:jc w:val="center"/>
        <w:rPr>
          <w:rFonts w:hint="default"/>
          <w:lang w:val="en-US" w:eastAsia="zh-CN"/>
        </w:rPr>
      </w:pPr>
      <w:r>
        <w:rPr>
          <w:rFonts w:hint="eastAsia"/>
          <w:lang w:val="en-US" w:eastAsia="zh-CN"/>
        </w:rPr>
        <w:t>报价单</w:t>
      </w:r>
    </w:p>
    <w:tbl>
      <w:tblPr>
        <w:tblStyle w:val="23"/>
        <w:tblW w:w="7762"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889"/>
        <w:gridCol w:w="2525"/>
        <w:gridCol w:w="988"/>
        <w:gridCol w:w="948"/>
        <w:gridCol w:w="2412"/>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889"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525"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c>
        <w:tc>
          <w:tcPr>
            <w:tcW w:w="988"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948" w:type="dxa"/>
            <w:tcBorders>
              <w:top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w:t>
            </w:r>
          </w:p>
        </w:tc>
        <w:tc>
          <w:tcPr>
            <w:tcW w:w="2412" w:type="dxa"/>
            <w:tcBorders>
              <w:top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报价</w:t>
            </w:r>
            <w:r>
              <w:rPr>
                <w:rFonts w:hint="eastAsia" w:asciiTheme="minorEastAsia" w:hAnsiTheme="minorEastAsia" w:eastAsiaTheme="minorEastAsia" w:cstheme="minorEastAsia"/>
                <w:color w:val="auto"/>
                <w:sz w:val="24"/>
                <w:szCs w:val="24"/>
                <w:highlight w:val="none"/>
              </w:rPr>
              <w:t>金额(万元)</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093" w:hRule="atLeast"/>
          <w:jc w:val="center"/>
        </w:trPr>
        <w:tc>
          <w:tcPr>
            <w:tcW w:w="889" w:type="dxa"/>
            <w:tcBorders>
              <w:bottom w:val="single" w:color="000000" w:sz="4" w:space="0"/>
            </w:tcBorders>
            <w:vAlign w:val="center"/>
          </w:tcPr>
          <w:p>
            <w:pPr>
              <w:adjustRightInd w:val="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525" w:type="dxa"/>
            <w:tcBorders>
              <w:bottom w:val="single" w:color="000000" w:sz="4" w:space="0"/>
            </w:tcBorders>
            <w:vAlign w:val="center"/>
          </w:tcPr>
          <w:p>
            <w:pPr>
              <w:adjustRightInd w:val="0"/>
              <w:jc w:val="center"/>
              <w:rPr>
                <w:rFonts w:hint="eastAsia" w:asciiTheme="minorEastAsia" w:hAnsiTheme="minorEastAsia" w:eastAsiaTheme="minorEastAsia" w:cstheme="minorEastAsia"/>
                <w:color w:val="auto"/>
                <w:sz w:val="24"/>
                <w:szCs w:val="24"/>
                <w:highlight w:val="none"/>
                <w:lang w:eastAsia="zh-CN"/>
              </w:rPr>
            </w:pPr>
            <w:r>
              <w:rPr>
                <w:rFonts w:hint="eastAsia" w:ascii="宋体" w:hAnsi="宋体" w:eastAsia="宋体" w:cs="Times New Roman"/>
                <w:color w:val="000000"/>
                <w:sz w:val="24"/>
                <w:lang w:val="en-US" w:eastAsia="zh-CN" w:bidi="ar-SA"/>
              </w:rPr>
              <w:t>绍兴市上虞妇幼保健院</w:t>
            </w:r>
            <w:r>
              <w:rPr>
                <w:rFonts w:hint="eastAsia" w:ascii="宋体" w:hAnsi="宋体" w:cs="Times New Roman"/>
                <w:color w:val="000000"/>
                <w:sz w:val="24"/>
                <w:lang w:val="en-US" w:eastAsia="zh-CN" w:bidi="ar-SA"/>
              </w:rPr>
              <w:t>信息安全设备</w:t>
            </w:r>
            <w:r>
              <w:rPr>
                <w:rFonts w:hint="eastAsia" w:ascii="宋体" w:hAnsi="宋体" w:eastAsia="宋体" w:cs="Times New Roman"/>
                <w:color w:val="000000"/>
                <w:sz w:val="24"/>
                <w:lang w:val="en-US" w:eastAsia="zh-CN" w:bidi="ar-SA"/>
              </w:rPr>
              <w:t>采购项目</w:t>
            </w:r>
          </w:p>
        </w:tc>
        <w:tc>
          <w:tcPr>
            <w:tcW w:w="988" w:type="dxa"/>
            <w:tcBorders>
              <w:bottom w:val="single" w:color="000000" w:sz="4" w:space="0"/>
            </w:tcBorders>
            <w:vAlign w:val="center"/>
          </w:tcPr>
          <w:p>
            <w:pPr>
              <w:adjustRightInd w:val="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948" w:type="dxa"/>
            <w:tcBorders>
              <w:bottom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w:t>
            </w:r>
          </w:p>
        </w:tc>
        <w:tc>
          <w:tcPr>
            <w:tcW w:w="2412" w:type="dxa"/>
            <w:tcBorders>
              <w:bottom w:val="single" w:color="000000" w:sz="4" w:space="0"/>
            </w:tcBorders>
            <w:vAlign w:val="center"/>
          </w:tcPr>
          <w:p>
            <w:pPr>
              <w:adjustRightInd w:val="0"/>
              <w:jc w:val="center"/>
              <w:rPr>
                <w:rFonts w:hint="default" w:asciiTheme="minorEastAsia" w:hAnsiTheme="minorEastAsia" w:eastAsiaTheme="minorEastAsia" w:cstheme="minorEastAsia"/>
                <w:color w:val="auto"/>
                <w:sz w:val="24"/>
                <w:szCs w:val="24"/>
                <w:highlight w:val="none"/>
                <w:lang w:val="en-US" w:eastAsia="zh-CN"/>
              </w:rPr>
            </w:pPr>
          </w:p>
        </w:tc>
      </w:tr>
    </w:tbl>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14"/>
        <w:rPr>
          <w:rFonts w:hint="eastAsia"/>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rPr>
          <w:rFonts w:hint="eastAsia"/>
          <w:color w:val="auto"/>
          <w:highlight w:val="none"/>
          <w:lang w:val="zh-CN"/>
        </w:rPr>
      </w:pPr>
    </w:p>
    <w:p>
      <w:pPr>
        <w:rPr>
          <w:rFonts w:hint="eastAsia"/>
          <w:color w:val="auto"/>
          <w:highlight w:val="none"/>
          <w:lang w:val="zh-CN"/>
        </w:rPr>
      </w:pPr>
    </w:p>
    <w:p>
      <w:pPr>
        <w:rPr>
          <w:rFonts w:hint="eastAsia"/>
          <w:lang w:val="zh-CN"/>
        </w:rPr>
      </w:pPr>
    </w:p>
    <w:p>
      <w:pPr>
        <w:snapToGrid w:val="0"/>
        <w:spacing w:before="50" w:after="156" w:afterLines="50"/>
        <w:jc w:val="left"/>
        <w:rPr>
          <w:rFonts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附件</w:t>
      </w:r>
      <w:r>
        <w:rPr>
          <w:rFonts w:hint="eastAsia" w:asciiTheme="minorEastAsia" w:hAnsiTheme="minorEastAsia" w:eastAsiaTheme="minorEastAsia" w:cstheme="minorEastAsia"/>
          <w:b/>
          <w:bCs/>
          <w:color w:val="auto"/>
          <w:sz w:val="24"/>
          <w:szCs w:val="24"/>
          <w:highlight w:val="none"/>
          <w:lang w:val="en-US" w:eastAsia="zh-CN"/>
        </w:rPr>
        <w:t>四</w:t>
      </w:r>
      <w:r>
        <w:rPr>
          <w:rFonts w:hint="eastAsia" w:asciiTheme="minorEastAsia" w:hAnsiTheme="minorEastAsia" w:eastAsiaTheme="minorEastAsia" w:cstheme="minorEastAsia"/>
          <w:b/>
          <w:bCs/>
          <w:color w:val="auto"/>
          <w:sz w:val="24"/>
          <w:szCs w:val="24"/>
          <w:highlight w:val="none"/>
          <w:lang w:val="zh-CN"/>
        </w:rPr>
        <w:t>：</w:t>
      </w:r>
    </w:p>
    <w:p>
      <w:pPr>
        <w:jc w:val="center"/>
        <w:outlineLvl w:val="0"/>
        <w:rPr>
          <w:rFonts w:ascii="宋体" w:hAnsi="宋体" w:cs="宋体"/>
          <w:b/>
          <w:bCs/>
          <w:color w:val="auto"/>
          <w:sz w:val="28"/>
          <w:szCs w:val="28"/>
          <w:highlight w:val="none"/>
        </w:rPr>
      </w:pPr>
      <w:bookmarkStart w:id="31" w:name="_Toc13778"/>
      <w:bookmarkStart w:id="32" w:name="_Toc115520519"/>
      <w:bookmarkStart w:id="33" w:name="_Toc15735"/>
      <w:bookmarkStart w:id="34" w:name="_Toc1271"/>
      <w:r>
        <w:rPr>
          <w:rFonts w:hint="eastAsia" w:ascii="宋体" w:hAnsi="宋体" w:cs="宋体"/>
          <w:b/>
          <w:bCs/>
          <w:color w:val="auto"/>
          <w:sz w:val="28"/>
          <w:szCs w:val="28"/>
          <w:highlight w:val="none"/>
        </w:rPr>
        <w:t>技术响应及建议表</w:t>
      </w:r>
      <w:bookmarkEnd w:id="31"/>
      <w:bookmarkEnd w:id="32"/>
      <w:bookmarkEnd w:id="33"/>
      <w:bookmarkEnd w:id="34"/>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4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货物名称</w:t>
            </w:r>
          </w:p>
        </w:tc>
        <w:tc>
          <w:tcPr>
            <w:tcW w:w="198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lang w:eastAsia="zh-CN"/>
              </w:rPr>
              <w:t>在线询价</w:t>
            </w:r>
            <w:r>
              <w:rPr>
                <w:rFonts w:hint="eastAsia" w:ascii="宋体" w:hAnsi="宋体" w:cs="宋体"/>
                <w:color w:val="auto"/>
                <w:sz w:val="24"/>
                <w:highlight w:val="none"/>
              </w:rPr>
              <w:t>文件要求</w:t>
            </w:r>
          </w:p>
        </w:tc>
        <w:tc>
          <w:tcPr>
            <w:tcW w:w="252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响应文件响应</w:t>
            </w:r>
          </w:p>
        </w:tc>
        <w:tc>
          <w:tcPr>
            <w:tcW w:w="1953"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响应建议</w:t>
            </w:r>
          </w:p>
        </w:tc>
        <w:tc>
          <w:tcPr>
            <w:tcW w:w="6453"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rPr>
          <w:rFonts w:ascii="宋体" w:hAnsi="宋体" w:cs="宋体"/>
          <w:color w:val="auto"/>
          <w:sz w:val="24"/>
          <w:highlight w:val="none"/>
        </w:rPr>
      </w:pPr>
    </w:p>
    <w:p>
      <w:pPr>
        <w:pStyle w:val="14"/>
        <w:spacing w:line="360" w:lineRule="auto"/>
        <w:rPr>
          <w:rFonts w:hAnsi="宋体"/>
          <w:color w:val="auto"/>
          <w:sz w:val="24"/>
          <w:highlight w:val="none"/>
        </w:rPr>
      </w:pPr>
      <w:r>
        <w:rPr>
          <w:rFonts w:hint="eastAsia" w:hAnsi="宋体"/>
          <w:color w:val="auto"/>
          <w:sz w:val="24"/>
          <w:highlight w:val="none"/>
        </w:rPr>
        <w:t>注：名称可基于项目清单根据供应商实际情况调整。</w:t>
      </w:r>
    </w:p>
    <w:p>
      <w:pPr>
        <w:rPr>
          <w:rFonts w:ascii="宋体" w:hAnsi="宋体" w:cs="宋体"/>
          <w:color w:val="auto"/>
          <w:sz w:val="24"/>
          <w:highlight w:val="none"/>
        </w:rPr>
      </w:pPr>
    </w:p>
    <w:p>
      <w:pPr>
        <w:pStyle w:val="12"/>
        <w:rPr>
          <w:color w:val="auto"/>
          <w:highlight w:val="none"/>
        </w:rPr>
      </w:pPr>
    </w:p>
    <w:p>
      <w:pPr>
        <w:pStyle w:val="12"/>
        <w:rPr>
          <w:rFonts w:asciiTheme="minorEastAsia" w:hAnsiTheme="minorEastAsia" w:eastAsiaTheme="minorEastAsia" w:cstheme="minorEastAsia"/>
          <w:color w:val="auto"/>
          <w:highlight w:val="none"/>
        </w:rPr>
      </w:pPr>
    </w:p>
    <w:p>
      <w:pPr>
        <w:snapToGrid w:val="0"/>
        <w:spacing w:before="156" w:beforeLines="50"/>
        <w:rPr>
          <w:rFonts w:asciiTheme="minorEastAsia" w:hAnsiTheme="minorEastAsia" w:eastAsiaTheme="minorEastAsia" w:cstheme="minorEastAsia"/>
          <w:color w:val="auto"/>
          <w:sz w:val="24"/>
          <w:szCs w:val="24"/>
          <w:highlight w:val="none"/>
        </w:rPr>
      </w:pPr>
    </w:p>
    <w:p>
      <w:pPr>
        <w:spacing w:line="360" w:lineRule="auto"/>
        <w:ind w:left="3600" w:leftChars="1800"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rPr>
          <w:rFonts w:ascii="宋体" w:hAnsi="宋体" w:cs="宋体"/>
          <w:b/>
          <w:bCs/>
          <w:color w:val="auto"/>
          <w:sz w:val="32"/>
          <w:szCs w:val="32"/>
          <w:highlight w:val="none"/>
        </w:rPr>
      </w:pPr>
    </w:p>
    <w:p>
      <w:pPr>
        <w:pStyle w:val="22"/>
        <w:rPr>
          <w:rFonts w:ascii="宋体" w:hAnsi="宋体" w:cs="宋体"/>
          <w:b/>
          <w:bCs/>
          <w:color w:val="auto"/>
          <w:sz w:val="32"/>
          <w:szCs w:val="32"/>
          <w:highlight w:val="none"/>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6"/>
          <w:szCs w:val="36"/>
          <w:lang w:val="en-US" w:eastAsia="zh-CN" w:bidi="ar"/>
        </w:rPr>
        <w:t>中小企业声明函（货物）</w:t>
      </w: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sz w:val="20"/>
          <w:szCs w:val="22"/>
        </w:rPr>
      </w:pPr>
      <w:r>
        <w:rPr>
          <w:rFonts w:ascii="仿宋" w:hAnsi="仿宋" w:eastAsia="仿宋" w:cs="仿宋"/>
          <w:color w:val="000000"/>
          <w:kern w:val="0"/>
          <w:sz w:val="28"/>
          <w:szCs w:val="28"/>
          <w:lang w:val="en-US" w:eastAsia="zh-CN" w:bidi="ar"/>
        </w:rPr>
        <w:t>本公司（联合体）郑重声明，根据《政府采购促进中小</w:t>
      </w:r>
      <w:r>
        <w:rPr>
          <w:rFonts w:hint="eastAsia" w:ascii="仿宋" w:hAnsi="仿宋" w:eastAsia="仿宋" w:cs="仿宋"/>
          <w:color w:val="000000"/>
          <w:kern w:val="0"/>
          <w:sz w:val="28"/>
          <w:szCs w:val="28"/>
          <w:lang w:val="en-US" w:eastAsia="zh-CN" w:bidi="ar"/>
        </w:rPr>
        <w:t>企业发展管理办法》（财库</w:t>
      </w:r>
      <w:r>
        <w:rPr>
          <w:rFonts w:hint="eastAsia" w:ascii="宋体" w:hAnsi="宋体" w:eastAsia="宋体" w:cs="宋体"/>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2020</w:t>
      </w:r>
      <w:r>
        <w:rPr>
          <w:rFonts w:hint="eastAsia" w:ascii="宋体" w:hAnsi="宋体" w:eastAsia="宋体" w:cs="宋体"/>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46 号）的规定，本公司（联合体）参加</w:t>
      </w:r>
      <w:r>
        <w:rPr>
          <w:rFonts w:hint="eastAsia" w:ascii="仿宋" w:hAnsi="仿宋" w:eastAsia="仿宋" w:cs="仿宋"/>
          <w:i/>
          <w:iCs/>
          <w:color w:val="000000"/>
          <w:kern w:val="0"/>
          <w:sz w:val="28"/>
          <w:szCs w:val="28"/>
          <w:u w:val="single"/>
          <w:lang w:val="en-US" w:eastAsia="zh-CN" w:bidi="ar"/>
        </w:rPr>
        <w:t>（单位名称）</w:t>
      </w:r>
      <w:r>
        <w:rPr>
          <w:rFonts w:hint="eastAsia" w:ascii="仿宋" w:hAnsi="仿宋" w:eastAsia="仿宋" w:cs="仿宋"/>
          <w:color w:val="000000"/>
          <w:kern w:val="0"/>
          <w:sz w:val="28"/>
          <w:szCs w:val="28"/>
          <w:lang w:val="en-US" w:eastAsia="zh-CN" w:bidi="ar"/>
        </w:rPr>
        <w:t>的</w:t>
      </w:r>
      <w:r>
        <w:rPr>
          <w:rFonts w:hint="eastAsia" w:ascii="仿宋" w:hAnsi="仿宋" w:eastAsia="仿宋" w:cs="仿宋"/>
          <w:i/>
          <w:iCs/>
          <w:color w:val="000000"/>
          <w:kern w:val="0"/>
          <w:sz w:val="28"/>
          <w:szCs w:val="28"/>
          <w:u w:val="single"/>
          <w:lang w:val="en-US" w:eastAsia="zh-CN" w:bidi="ar"/>
        </w:rPr>
        <w:t>（项目名称）</w:t>
      </w:r>
      <w:r>
        <w:rPr>
          <w:rFonts w:hint="eastAsia" w:ascii="仿宋" w:hAnsi="仿宋" w:eastAsia="仿宋" w:cs="仿宋"/>
          <w:color w:val="000000"/>
          <w:kern w:val="0"/>
          <w:sz w:val="28"/>
          <w:szCs w:val="28"/>
          <w:lang w:val="en-US" w:eastAsia="zh-CN" w:bidi="ar"/>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sz w:val="20"/>
          <w:szCs w:val="22"/>
        </w:rPr>
      </w:pPr>
      <w:r>
        <w:rPr>
          <w:rFonts w:hint="eastAsia" w:ascii="仿宋" w:hAnsi="仿宋" w:eastAsia="仿宋" w:cs="仿宋"/>
          <w:color w:val="000000"/>
          <w:kern w:val="0"/>
          <w:sz w:val="28"/>
          <w:szCs w:val="28"/>
          <w:lang w:val="en-US" w:eastAsia="zh-CN" w:bidi="ar"/>
        </w:rPr>
        <w:t>1.</w:t>
      </w:r>
      <w:r>
        <w:rPr>
          <w:rFonts w:hint="eastAsia" w:ascii="仿宋" w:hAnsi="仿宋" w:eastAsia="仿宋" w:cs="仿宋"/>
          <w:i/>
          <w:iCs/>
          <w:color w:val="000000"/>
          <w:kern w:val="0"/>
          <w:sz w:val="28"/>
          <w:szCs w:val="28"/>
          <w:u w:val="single"/>
          <w:lang w:val="en-US" w:eastAsia="zh-CN" w:bidi="ar"/>
        </w:rPr>
        <w:t xml:space="preserve">（标的名称） </w:t>
      </w:r>
      <w:r>
        <w:rPr>
          <w:rFonts w:hint="eastAsia" w:ascii="仿宋" w:hAnsi="仿宋" w:eastAsia="仿宋" w:cs="仿宋"/>
          <w:color w:val="000000"/>
          <w:kern w:val="0"/>
          <w:sz w:val="28"/>
          <w:szCs w:val="28"/>
          <w:lang w:val="en-US" w:eastAsia="zh-CN" w:bidi="ar"/>
        </w:rPr>
        <w:t>，属于</w:t>
      </w:r>
      <w:r>
        <w:rPr>
          <w:rFonts w:hint="eastAsia" w:ascii="仿宋" w:hAnsi="仿宋" w:eastAsia="仿宋" w:cs="仿宋"/>
          <w:i/>
          <w:iCs/>
          <w:color w:val="000000"/>
          <w:kern w:val="0"/>
          <w:sz w:val="28"/>
          <w:szCs w:val="28"/>
          <w:u w:val="single"/>
          <w:lang w:val="en-US" w:eastAsia="zh-CN" w:bidi="ar"/>
        </w:rPr>
        <w:t>（采购文件中明确的所属行业）</w:t>
      </w:r>
      <w:r>
        <w:rPr>
          <w:rFonts w:hint="eastAsia" w:ascii="仿宋" w:hAnsi="仿宋" w:eastAsia="仿宋" w:cs="仿宋"/>
          <w:i/>
          <w:iCs/>
          <w:color w:val="000000"/>
          <w:kern w:val="0"/>
          <w:sz w:val="28"/>
          <w:szCs w:val="28"/>
          <w:lang w:val="en-US" w:eastAsia="zh-CN" w:bidi="ar"/>
        </w:rPr>
        <w:t>行业</w:t>
      </w:r>
      <w:r>
        <w:rPr>
          <w:rFonts w:hint="eastAsia" w:ascii="仿宋" w:hAnsi="仿宋" w:eastAsia="仿宋" w:cs="仿宋"/>
          <w:color w:val="000000"/>
          <w:kern w:val="0"/>
          <w:sz w:val="28"/>
          <w:szCs w:val="28"/>
          <w:lang w:val="en-US" w:eastAsia="zh-CN" w:bidi="ar"/>
        </w:rPr>
        <w:t>；制造商为</w:t>
      </w:r>
      <w:r>
        <w:rPr>
          <w:rFonts w:hint="eastAsia" w:ascii="仿宋" w:hAnsi="仿宋" w:eastAsia="仿宋" w:cs="仿宋"/>
          <w:i/>
          <w:iCs/>
          <w:color w:val="000000"/>
          <w:kern w:val="0"/>
          <w:sz w:val="28"/>
          <w:szCs w:val="28"/>
          <w:u w:val="single"/>
          <w:lang w:val="en-US" w:eastAsia="zh-CN" w:bidi="ar"/>
        </w:rPr>
        <w:t>（企业名称）</w:t>
      </w:r>
      <w:r>
        <w:rPr>
          <w:rFonts w:hint="eastAsia" w:ascii="仿宋" w:hAnsi="仿宋" w:eastAsia="仿宋" w:cs="仿宋"/>
          <w:color w:val="000000"/>
          <w:kern w:val="0"/>
          <w:sz w:val="28"/>
          <w:szCs w:val="28"/>
          <w:lang w:val="en-US" w:eastAsia="zh-CN" w:bidi="ar"/>
        </w:rPr>
        <w:t>，从业人员</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人，营业收入为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万元，资产总额为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万元</w:t>
      </w:r>
      <w:r>
        <w:rPr>
          <w:rFonts w:hint="eastAsia" w:ascii="仿宋" w:hAnsi="仿宋" w:eastAsia="仿宋" w:cs="仿宋"/>
          <w:color w:val="000000"/>
          <w:kern w:val="0"/>
          <w:sz w:val="28"/>
          <w:szCs w:val="28"/>
          <w:vertAlign w:val="superscript"/>
          <w:lang w:val="en-US" w:eastAsia="zh-CN" w:bidi="ar"/>
        </w:rPr>
        <w:t>1</w:t>
      </w:r>
      <w:r>
        <w:rPr>
          <w:rFonts w:hint="eastAsia" w:ascii="仿宋" w:hAnsi="仿宋" w:eastAsia="仿宋" w:cs="仿宋"/>
          <w:color w:val="000000"/>
          <w:kern w:val="0"/>
          <w:sz w:val="28"/>
          <w:szCs w:val="28"/>
          <w:lang w:val="en-US" w:eastAsia="zh-CN" w:bidi="ar"/>
        </w:rPr>
        <w:t>，属于</w:t>
      </w:r>
      <w:r>
        <w:rPr>
          <w:rFonts w:hint="eastAsia" w:ascii="仿宋" w:hAnsi="仿宋" w:eastAsia="仿宋" w:cs="仿宋"/>
          <w:i/>
          <w:iCs/>
          <w:color w:val="000000"/>
          <w:kern w:val="0"/>
          <w:sz w:val="28"/>
          <w:szCs w:val="28"/>
          <w:lang w:val="en-US" w:eastAsia="zh-CN" w:bidi="ar"/>
        </w:rPr>
        <w:t>（中型企业、小型企业、微型企业）</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sz w:val="20"/>
          <w:szCs w:val="22"/>
        </w:rPr>
      </w:pPr>
      <w:r>
        <w:rPr>
          <w:rFonts w:hint="eastAsia" w:ascii="仿宋" w:hAnsi="仿宋" w:eastAsia="仿宋" w:cs="仿宋"/>
          <w:color w:val="000000"/>
          <w:kern w:val="0"/>
          <w:sz w:val="28"/>
          <w:szCs w:val="28"/>
          <w:lang w:val="en-US" w:eastAsia="zh-CN" w:bidi="ar"/>
        </w:rPr>
        <w:t xml:space="preserve">2. </w:t>
      </w:r>
      <w:r>
        <w:rPr>
          <w:rFonts w:hint="eastAsia" w:ascii="仿宋" w:hAnsi="仿宋" w:eastAsia="仿宋" w:cs="仿宋"/>
          <w:i/>
          <w:iCs/>
          <w:color w:val="000000"/>
          <w:kern w:val="0"/>
          <w:sz w:val="28"/>
          <w:szCs w:val="28"/>
          <w:u w:val="single"/>
          <w:lang w:val="en-US" w:eastAsia="zh-CN" w:bidi="ar"/>
        </w:rPr>
        <w:t xml:space="preserve">（标的名称） </w:t>
      </w:r>
      <w:r>
        <w:rPr>
          <w:rFonts w:hint="eastAsia" w:ascii="仿宋" w:hAnsi="仿宋" w:eastAsia="仿宋" w:cs="仿宋"/>
          <w:color w:val="000000"/>
          <w:kern w:val="0"/>
          <w:sz w:val="28"/>
          <w:szCs w:val="28"/>
          <w:lang w:val="en-US" w:eastAsia="zh-CN" w:bidi="ar"/>
        </w:rPr>
        <w:t>，属于</w:t>
      </w:r>
      <w:r>
        <w:rPr>
          <w:rFonts w:hint="eastAsia" w:ascii="仿宋" w:hAnsi="仿宋" w:eastAsia="仿宋" w:cs="仿宋"/>
          <w:i/>
          <w:iCs/>
          <w:color w:val="000000"/>
          <w:kern w:val="0"/>
          <w:sz w:val="28"/>
          <w:szCs w:val="28"/>
          <w:u w:val="single"/>
          <w:lang w:val="en-US" w:eastAsia="zh-CN" w:bidi="ar"/>
        </w:rPr>
        <w:t>（采购文件中明确的所属行业）</w:t>
      </w:r>
      <w:r>
        <w:rPr>
          <w:rFonts w:hint="eastAsia" w:ascii="仿宋" w:hAnsi="仿宋" w:eastAsia="仿宋" w:cs="仿宋"/>
          <w:i/>
          <w:iCs/>
          <w:color w:val="000000"/>
          <w:kern w:val="0"/>
          <w:sz w:val="32"/>
          <w:szCs w:val="32"/>
          <w:lang w:val="en-US" w:eastAsia="zh-CN" w:bidi="ar"/>
        </w:rPr>
        <w:t>行业</w:t>
      </w:r>
      <w:r>
        <w:rPr>
          <w:rFonts w:hint="eastAsia" w:ascii="仿宋" w:hAnsi="仿宋" w:eastAsia="仿宋" w:cs="仿宋"/>
          <w:color w:val="000000"/>
          <w:kern w:val="0"/>
          <w:sz w:val="28"/>
          <w:szCs w:val="28"/>
          <w:lang w:val="en-US" w:eastAsia="zh-CN" w:bidi="ar"/>
        </w:rPr>
        <w:t>；制造商为</w:t>
      </w:r>
      <w:r>
        <w:rPr>
          <w:rFonts w:hint="eastAsia" w:ascii="仿宋" w:hAnsi="仿宋" w:eastAsia="仿宋" w:cs="仿宋"/>
          <w:i/>
          <w:iCs/>
          <w:color w:val="000000"/>
          <w:kern w:val="0"/>
          <w:sz w:val="28"/>
          <w:szCs w:val="28"/>
          <w:u w:val="single"/>
          <w:lang w:val="en-US" w:eastAsia="zh-CN" w:bidi="ar"/>
        </w:rPr>
        <w:t>（企业名称）</w:t>
      </w:r>
      <w:r>
        <w:rPr>
          <w:rFonts w:hint="eastAsia" w:ascii="仿宋" w:hAnsi="仿宋" w:eastAsia="仿宋" w:cs="仿宋"/>
          <w:color w:val="000000"/>
          <w:kern w:val="0"/>
          <w:sz w:val="28"/>
          <w:szCs w:val="28"/>
          <w:lang w:val="en-US" w:eastAsia="zh-CN" w:bidi="ar"/>
        </w:rPr>
        <w:t>，从业人员</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人，营业收入为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万元，资产总额为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万元，属于</w:t>
      </w:r>
      <w:r>
        <w:rPr>
          <w:rFonts w:hint="eastAsia" w:ascii="仿宋" w:hAnsi="仿宋" w:eastAsia="仿宋" w:cs="仿宋"/>
          <w:i/>
          <w:iCs/>
          <w:color w:val="000000"/>
          <w:kern w:val="0"/>
          <w:sz w:val="28"/>
          <w:szCs w:val="28"/>
          <w:lang w:val="en-US" w:eastAsia="zh-CN" w:bidi="ar"/>
        </w:rPr>
        <w:t>（中型企业、小型企业、微型企业）</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280" w:firstLineChars="100"/>
        <w:jc w:val="left"/>
        <w:textAlignment w:val="auto"/>
        <w:rPr>
          <w:sz w:val="20"/>
          <w:szCs w:val="22"/>
        </w:rPr>
      </w:pP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sz w:val="20"/>
          <w:szCs w:val="22"/>
        </w:rPr>
      </w:pPr>
      <w:r>
        <w:rPr>
          <w:rFonts w:hint="eastAsia" w:ascii="仿宋" w:hAnsi="仿宋" w:eastAsia="仿宋" w:cs="仿宋"/>
          <w:color w:val="000000"/>
          <w:kern w:val="0"/>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val="0"/>
        <w:spacing w:line="360" w:lineRule="auto"/>
        <w:jc w:val="center"/>
        <w:textAlignment w:val="auto"/>
        <w:rPr>
          <w:rFonts w:hint="default"/>
          <w:sz w:val="20"/>
          <w:szCs w:val="22"/>
          <w:lang w:val="en-US"/>
        </w:rPr>
      </w:pPr>
      <w:r>
        <w:rPr>
          <w:rFonts w:hint="eastAsia" w:ascii="仿宋" w:hAnsi="仿宋" w:eastAsia="仿宋" w:cs="仿宋"/>
          <w:color w:val="000000"/>
          <w:kern w:val="0"/>
          <w:sz w:val="28"/>
          <w:szCs w:val="28"/>
          <w:lang w:val="en-US" w:eastAsia="zh-CN" w:bidi="ar"/>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日 期：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auto"/>
        <w:rPr>
          <w:sz w:val="20"/>
          <w:szCs w:val="22"/>
        </w:rPr>
      </w:pP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sz w:val="22"/>
          <w:szCs w:val="28"/>
        </w:rPr>
      </w:pPr>
      <w:r>
        <w:rPr>
          <w:rFonts w:hint="default" w:ascii="Times New Roman" w:hAnsi="Times New Roman" w:eastAsia="宋体" w:cs="Times New Roman"/>
          <w:color w:val="000000"/>
          <w:kern w:val="0"/>
          <w:sz w:val="13"/>
          <w:szCs w:val="13"/>
          <w:lang w:val="en-US" w:eastAsia="zh-CN" w:bidi="ar"/>
        </w:rPr>
        <w:t>1</w:t>
      </w:r>
      <w:r>
        <w:rPr>
          <w:rFonts w:hint="eastAsia" w:ascii="宋体" w:hAnsi="宋体" w:eastAsia="宋体" w:cs="宋体"/>
          <w:color w:val="000000"/>
          <w:kern w:val="0"/>
          <w:sz w:val="18"/>
          <w:szCs w:val="18"/>
          <w:lang w:val="en-US" w:eastAsia="zh-CN" w:bidi="ar"/>
        </w:rPr>
        <w:t>从业人员、营业收入、资产总额填报上一年度数据，无上一年度数据的新成立企业可不填报。</w:t>
      </w:r>
    </w:p>
    <w:p>
      <w:pPr>
        <w:pStyle w:val="22"/>
        <w:ind w:left="0" w:leftChars="0" w:firstLine="0" w:firstLineChars="0"/>
        <w:rPr>
          <w:rFonts w:ascii="宋体" w:hAnsi="宋体" w:cs="宋体"/>
          <w:b/>
          <w:bCs/>
          <w:color w:val="auto"/>
          <w:sz w:val="32"/>
          <w:szCs w:val="32"/>
          <w:highlight w:val="none"/>
        </w:rPr>
      </w:pPr>
    </w:p>
    <w:sectPr>
      <w:headerReference r:id="rId4" w:type="default"/>
      <w:footerReference r:id="rId5" w:type="default"/>
      <w:pgSz w:w="11906" w:h="16838"/>
      <w:pgMar w:top="1440" w:right="1800" w:bottom="1440" w:left="1800" w:header="851" w:footer="992"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7566042"/>
    </w:sdtPr>
    <w:sdtContent>
      <w:p>
        <w:pPr>
          <w:pStyle w:val="17"/>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7204771"/>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1080" w:hanging="1080" w:hangingChars="600"/>
      <w:jc w:val="both"/>
      <w:rPr>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812FE"/>
    <w:multiLevelType w:val="singleLevel"/>
    <w:tmpl w:val="918812FE"/>
    <w:lvl w:ilvl="0" w:tentative="0">
      <w:start w:val="1"/>
      <w:numFmt w:val="decimal"/>
      <w:lvlText w:val="%1."/>
      <w:lvlJc w:val="left"/>
      <w:pPr>
        <w:ind w:left="425" w:hanging="425"/>
      </w:pPr>
      <w:rPr>
        <w:rFonts w:hint="default"/>
      </w:rPr>
    </w:lvl>
  </w:abstractNum>
  <w:abstractNum w:abstractNumId="1">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2">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3">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5YzExYjE1NTkzNjIwM2E5MjZjMzk4MTVjZjA0NzAifQ=="/>
  </w:docVars>
  <w:rsids>
    <w:rsidRoot w:val="00172A27"/>
    <w:rsid w:val="00001D22"/>
    <w:rsid w:val="00017A58"/>
    <w:rsid w:val="0002407B"/>
    <w:rsid w:val="00037E77"/>
    <w:rsid w:val="00046B34"/>
    <w:rsid w:val="00050642"/>
    <w:rsid w:val="00054261"/>
    <w:rsid w:val="0006706B"/>
    <w:rsid w:val="0006789F"/>
    <w:rsid w:val="00067DF5"/>
    <w:rsid w:val="00084DB8"/>
    <w:rsid w:val="00085ECB"/>
    <w:rsid w:val="000A6093"/>
    <w:rsid w:val="000C0FDF"/>
    <w:rsid w:val="000C1626"/>
    <w:rsid w:val="000C4314"/>
    <w:rsid w:val="000D0448"/>
    <w:rsid w:val="000E2FED"/>
    <w:rsid w:val="000E642D"/>
    <w:rsid w:val="000F31C0"/>
    <w:rsid w:val="000F34AF"/>
    <w:rsid w:val="0010390D"/>
    <w:rsid w:val="001039CA"/>
    <w:rsid w:val="00105576"/>
    <w:rsid w:val="00110359"/>
    <w:rsid w:val="00110A33"/>
    <w:rsid w:val="00114B84"/>
    <w:rsid w:val="00116BCE"/>
    <w:rsid w:val="00120C78"/>
    <w:rsid w:val="00135465"/>
    <w:rsid w:val="0015146D"/>
    <w:rsid w:val="00163764"/>
    <w:rsid w:val="00170E99"/>
    <w:rsid w:val="0018216C"/>
    <w:rsid w:val="00183780"/>
    <w:rsid w:val="00192FFE"/>
    <w:rsid w:val="001A1822"/>
    <w:rsid w:val="001B4CF1"/>
    <w:rsid w:val="001C6880"/>
    <w:rsid w:val="001D0BF7"/>
    <w:rsid w:val="001D21F3"/>
    <w:rsid w:val="001F490F"/>
    <w:rsid w:val="002078E3"/>
    <w:rsid w:val="00207B3B"/>
    <w:rsid w:val="0021296F"/>
    <w:rsid w:val="00221D1D"/>
    <w:rsid w:val="00223E24"/>
    <w:rsid w:val="00224103"/>
    <w:rsid w:val="00224557"/>
    <w:rsid w:val="002247BF"/>
    <w:rsid w:val="00227C86"/>
    <w:rsid w:val="002465D6"/>
    <w:rsid w:val="0026106F"/>
    <w:rsid w:val="00263D2B"/>
    <w:rsid w:val="00271ECC"/>
    <w:rsid w:val="00273B76"/>
    <w:rsid w:val="00273F1A"/>
    <w:rsid w:val="00275466"/>
    <w:rsid w:val="002839D8"/>
    <w:rsid w:val="002846DC"/>
    <w:rsid w:val="00295DA5"/>
    <w:rsid w:val="002A1BA6"/>
    <w:rsid w:val="002B04D3"/>
    <w:rsid w:val="002B1E56"/>
    <w:rsid w:val="002C063C"/>
    <w:rsid w:val="002C34CA"/>
    <w:rsid w:val="00306B39"/>
    <w:rsid w:val="003124BB"/>
    <w:rsid w:val="00313B8D"/>
    <w:rsid w:val="003211E5"/>
    <w:rsid w:val="0032125A"/>
    <w:rsid w:val="003232F2"/>
    <w:rsid w:val="00323682"/>
    <w:rsid w:val="00325068"/>
    <w:rsid w:val="003470DA"/>
    <w:rsid w:val="0035424B"/>
    <w:rsid w:val="0035715D"/>
    <w:rsid w:val="00357184"/>
    <w:rsid w:val="00363AFD"/>
    <w:rsid w:val="00373640"/>
    <w:rsid w:val="00374264"/>
    <w:rsid w:val="00374E3E"/>
    <w:rsid w:val="003814C8"/>
    <w:rsid w:val="003914B1"/>
    <w:rsid w:val="00392B4C"/>
    <w:rsid w:val="00393C1C"/>
    <w:rsid w:val="003A0755"/>
    <w:rsid w:val="003A0D36"/>
    <w:rsid w:val="003A514B"/>
    <w:rsid w:val="003B0654"/>
    <w:rsid w:val="003B4AB3"/>
    <w:rsid w:val="003B64A7"/>
    <w:rsid w:val="003B6DDD"/>
    <w:rsid w:val="003C7061"/>
    <w:rsid w:val="003D07BA"/>
    <w:rsid w:val="003D5064"/>
    <w:rsid w:val="003F49CC"/>
    <w:rsid w:val="00400657"/>
    <w:rsid w:val="00402FF9"/>
    <w:rsid w:val="00407277"/>
    <w:rsid w:val="00421C81"/>
    <w:rsid w:val="004277E5"/>
    <w:rsid w:val="00442B78"/>
    <w:rsid w:val="00447FEE"/>
    <w:rsid w:val="004536A0"/>
    <w:rsid w:val="004571B6"/>
    <w:rsid w:val="00463C96"/>
    <w:rsid w:val="00467AC4"/>
    <w:rsid w:val="00470A01"/>
    <w:rsid w:val="004823D2"/>
    <w:rsid w:val="00487216"/>
    <w:rsid w:val="004C6CD1"/>
    <w:rsid w:val="004E63AF"/>
    <w:rsid w:val="004E7DB7"/>
    <w:rsid w:val="004F61AD"/>
    <w:rsid w:val="005014F8"/>
    <w:rsid w:val="00502B33"/>
    <w:rsid w:val="0050528B"/>
    <w:rsid w:val="00506127"/>
    <w:rsid w:val="00506AF8"/>
    <w:rsid w:val="005079CF"/>
    <w:rsid w:val="00515D3C"/>
    <w:rsid w:val="00527203"/>
    <w:rsid w:val="00536BAE"/>
    <w:rsid w:val="00542925"/>
    <w:rsid w:val="005529D2"/>
    <w:rsid w:val="00557361"/>
    <w:rsid w:val="00560852"/>
    <w:rsid w:val="005617C4"/>
    <w:rsid w:val="005768DC"/>
    <w:rsid w:val="005971F4"/>
    <w:rsid w:val="005A54F0"/>
    <w:rsid w:val="005B3EDB"/>
    <w:rsid w:val="005B7D1F"/>
    <w:rsid w:val="005C3597"/>
    <w:rsid w:val="005F03DB"/>
    <w:rsid w:val="00601773"/>
    <w:rsid w:val="00610F38"/>
    <w:rsid w:val="00612856"/>
    <w:rsid w:val="00616FF9"/>
    <w:rsid w:val="0064397B"/>
    <w:rsid w:val="00646067"/>
    <w:rsid w:val="0066217C"/>
    <w:rsid w:val="00663F16"/>
    <w:rsid w:val="00671C39"/>
    <w:rsid w:val="006904D3"/>
    <w:rsid w:val="00691A05"/>
    <w:rsid w:val="00692F21"/>
    <w:rsid w:val="006973E5"/>
    <w:rsid w:val="0069750C"/>
    <w:rsid w:val="006A6850"/>
    <w:rsid w:val="006B7A53"/>
    <w:rsid w:val="006C7C7C"/>
    <w:rsid w:val="006E4D94"/>
    <w:rsid w:val="006F05F2"/>
    <w:rsid w:val="00704141"/>
    <w:rsid w:val="00710F26"/>
    <w:rsid w:val="00716E97"/>
    <w:rsid w:val="00721DB0"/>
    <w:rsid w:val="007271B4"/>
    <w:rsid w:val="007536BB"/>
    <w:rsid w:val="007617EB"/>
    <w:rsid w:val="007720FB"/>
    <w:rsid w:val="00774172"/>
    <w:rsid w:val="00775971"/>
    <w:rsid w:val="00780526"/>
    <w:rsid w:val="00785F08"/>
    <w:rsid w:val="0079084C"/>
    <w:rsid w:val="00791230"/>
    <w:rsid w:val="00796AA3"/>
    <w:rsid w:val="007A4C8A"/>
    <w:rsid w:val="007C1988"/>
    <w:rsid w:val="007C36F2"/>
    <w:rsid w:val="007D1674"/>
    <w:rsid w:val="007D64BF"/>
    <w:rsid w:val="007F61D2"/>
    <w:rsid w:val="00804A32"/>
    <w:rsid w:val="00815016"/>
    <w:rsid w:val="00816086"/>
    <w:rsid w:val="00820B40"/>
    <w:rsid w:val="00830F9A"/>
    <w:rsid w:val="00831737"/>
    <w:rsid w:val="00841FBD"/>
    <w:rsid w:val="00842AB8"/>
    <w:rsid w:val="00860F2A"/>
    <w:rsid w:val="008651FF"/>
    <w:rsid w:val="00870215"/>
    <w:rsid w:val="00871E18"/>
    <w:rsid w:val="00873263"/>
    <w:rsid w:val="00875467"/>
    <w:rsid w:val="00880A2D"/>
    <w:rsid w:val="00883369"/>
    <w:rsid w:val="00893230"/>
    <w:rsid w:val="008C2439"/>
    <w:rsid w:val="008C3E0D"/>
    <w:rsid w:val="008E0A0C"/>
    <w:rsid w:val="008E35FD"/>
    <w:rsid w:val="008E755B"/>
    <w:rsid w:val="008F27BD"/>
    <w:rsid w:val="00913BA9"/>
    <w:rsid w:val="00913DF5"/>
    <w:rsid w:val="00920D39"/>
    <w:rsid w:val="009241BF"/>
    <w:rsid w:val="009261EE"/>
    <w:rsid w:val="00927DB4"/>
    <w:rsid w:val="00933018"/>
    <w:rsid w:val="00940AB4"/>
    <w:rsid w:val="009459C8"/>
    <w:rsid w:val="009570E9"/>
    <w:rsid w:val="00961B43"/>
    <w:rsid w:val="0097128A"/>
    <w:rsid w:val="009975D9"/>
    <w:rsid w:val="009A1A74"/>
    <w:rsid w:val="009B0354"/>
    <w:rsid w:val="009D0708"/>
    <w:rsid w:val="009D1851"/>
    <w:rsid w:val="009D73E9"/>
    <w:rsid w:val="009E789A"/>
    <w:rsid w:val="00A0160A"/>
    <w:rsid w:val="00A01782"/>
    <w:rsid w:val="00A03E00"/>
    <w:rsid w:val="00A06FE3"/>
    <w:rsid w:val="00A10763"/>
    <w:rsid w:val="00A118F1"/>
    <w:rsid w:val="00A234DB"/>
    <w:rsid w:val="00A2724A"/>
    <w:rsid w:val="00A27BF9"/>
    <w:rsid w:val="00A323E1"/>
    <w:rsid w:val="00A41B49"/>
    <w:rsid w:val="00A52CBC"/>
    <w:rsid w:val="00A564DB"/>
    <w:rsid w:val="00A74A0A"/>
    <w:rsid w:val="00A82FD6"/>
    <w:rsid w:val="00A92CDF"/>
    <w:rsid w:val="00A9738E"/>
    <w:rsid w:val="00AA112C"/>
    <w:rsid w:val="00AB3663"/>
    <w:rsid w:val="00AB40E4"/>
    <w:rsid w:val="00AD4D3E"/>
    <w:rsid w:val="00AD549D"/>
    <w:rsid w:val="00AD7769"/>
    <w:rsid w:val="00AE34FD"/>
    <w:rsid w:val="00AE721D"/>
    <w:rsid w:val="00AF40FC"/>
    <w:rsid w:val="00AF7730"/>
    <w:rsid w:val="00B06D5A"/>
    <w:rsid w:val="00B074CC"/>
    <w:rsid w:val="00B122C2"/>
    <w:rsid w:val="00B1386B"/>
    <w:rsid w:val="00B20B66"/>
    <w:rsid w:val="00B25893"/>
    <w:rsid w:val="00B34795"/>
    <w:rsid w:val="00B47103"/>
    <w:rsid w:val="00B474D0"/>
    <w:rsid w:val="00B505CD"/>
    <w:rsid w:val="00B5379E"/>
    <w:rsid w:val="00B633BD"/>
    <w:rsid w:val="00B63F10"/>
    <w:rsid w:val="00B67512"/>
    <w:rsid w:val="00B94244"/>
    <w:rsid w:val="00B96A5B"/>
    <w:rsid w:val="00BA2B11"/>
    <w:rsid w:val="00BA4648"/>
    <w:rsid w:val="00BA48B6"/>
    <w:rsid w:val="00BB5A41"/>
    <w:rsid w:val="00BC2674"/>
    <w:rsid w:val="00BD0B2B"/>
    <w:rsid w:val="00BD4629"/>
    <w:rsid w:val="00BE5F5A"/>
    <w:rsid w:val="00BF557D"/>
    <w:rsid w:val="00C03291"/>
    <w:rsid w:val="00C07237"/>
    <w:rsid w:val="00C07473"/>
    <w:rsid w:val="00C25F67"/>
    <w:rsid w:val="00C50363"/>
    <w:rsid w:val="00C56888"/>
    <w:rsid w:val="00C62CD4"/>
    <w:rsid w:val="00C63423"/>
    <w:rsid w:val="00C6417A"/>
    <w:rsid w:val="00C70180"/>
    <w:rsid w:val="00C84DE3"/>
    <w:rsid w:val="00C93598"/>
    <w:rsid w:val="00C96E23"/>
    <w:rsid w:val="00C97493"/>
    <w:rsid w:val="00CA0E59"/>
    <w:rsid w:val="00CA29A3"/>
    <w:rsid w:val="00CA379F"/>
    <w:rsid w:val="00CD1DB8"/>
    <w:rsid w:val="00CD21E4"/>
    <w:rsid w:val="00CE2677"/>
    <w:rsid w:val="00CF0448"/>
    <w:rsid w:val="00D03574"/>
    <w:rsid w:val="00D131CF"/>
    <w:rsid w:val="00D208F6"/>
    <w:rsid w:val="00D40761"/>
    <w:rsid w:val="00D4632B"/>
    <w:rsid w:val="00D510CF"/>
    <w:rsid w:val="00D6422E"/>
    <w:rsid w:val="00D822DF"/>
    <w:rsid w:val="00D90537"/>
    <w:rsid w:val="00DB3C68"/>
    <w:rsid w:val="00DC0F41"/>
    <w:rsid w:val="00DD0487"/>
    <w:rsid w:val="00DD533A"/>
    <w:rsid w:val="00DE6108"/>
    <w:rsid w:val="00DE7CF8"/>
    <w:rsid w:val="00DF12F6"/>
    <w:rsid w:val="00DF40D8"/>
    <w:rsid w:val="00E027CF"/>
    <w:rsid w:val="00E109DA"/>
    <w:rsid w:val="00E1375F"/>
    <w:rsid w:val="00E257C8"/>
    <w:rsid w:val="00E349C6"/>
    <w:rsid w:val="00E42FD9"/>
    <w:rsid w:val="00E45654"/>
    <w:rsid w:val="00E53562"/>
    <w:rsid w:val="00E55984"/>
    <w:rsid w:val="00E74DE5"/>
    <w:rsid w:val="00E937EB"/>
    <w:rsid w:val="00EA0033"/>
    <w:rsid w:val="00EA0DD7"/>
    <w:rsid w:val="00EA28CD"/>
    <w:rsid w:val="00EA6362"/>
    <w:rsid w:val="00EC1EE6"/>
    <w:rsid w:val="00ED0982"/>
    <w:rsid w:val="00ED39CC"/>
    <w:rsid w:val="00EE2E07"/>
    <w:rsid w:val="00EF02EE"/>
    <w:rsid w:val="00EF256C"/>
    <w:rsid w:val="00EF45AA"/>
    <w:rsid w:val="00F043A7"/>
    <w:rsid w:val="00F12831"/>
    <w:rsid w:val="00F1489C"/>
    <w:rsid w:val="00F31435"/>
    <w:rsid w:val="00F410B6"/>
    <w:rsid w:val="00F44CF9"/>
    <w:rsid w:val="00F4616F"/>
    <w:rsid w:val="00F50C5D"/>
    <w:rsid w:val="00F519CA"/>
    <w:rsid w:val="00F673E5"/>
    <w:rsid w:val="00F82B67"/>
    <w:rsid w:val="00F90819"/>
    <w:rsid w:val="00F91F4A"/>
    <w:rsid w:val="00FA6DC6"/>
    <w:rsid w:val="00FB1A08"/>
    <w:rsid w:val="00FC0E55"/>
    <w:rsid w:val="012B1C39"/>
    <w:rsid w:val="01456269"/>
    <w:rsid w:val="0149271B"/>
    <w:rsid w:val="02710CE9"/>
    <w:rsid w:val="02E25A66"/>
    <w:rsid w:val="02FB0AA9"/>
    <w:rsid w:val="02FB1EF4"/>
    <w:rsid w:val="05A61BA8"/>
    <w:rsid w:val="05B25E31"/>
    <w:rsid w:val="05CC0260"/>
    <w:rsid w:val="05DE61E6"/>
    <w:rsid w:val="05E63755"/>
    <w:rsid w:val="06FD0651"/>
    <w:rsid w:val="076A6BF8"/>
    <w:rsid w:val="088202F9"/>
    <w:rsid w:val="089E2EED"/>
    <w:rsid w:val="08C2472C"/>
    <w:rsid w:val="09526CCE"/>
    <w:rsid w:val="097F0CE4"/>
    <w:rsid w:val="099169EA"/>
    <w:rsid w:val="0A101B1D"/>
    <w:rsid w:val="0A222B45"/>
    <w:rsid w:val="0A34069F"/>
    <w:rsid w:val="0AED4383"/>
    <w:rsid w:val="0BB84DE3"/>
    <w:rsid w:val="0C9A4EBC"/>
    <w:rsid w:val="0CF23CC3"/>
    <w:rsid w:val="0D8F7B6B"/>
    <w:rsid w:val="0DAA60B3"/>
    <w:rsid w:val="0E625C06"/>
    <w:rsid w:val="0F9E5390"/>
    <w:rsid w:val="0FA91D90"/>
    <w:rsid w:val="104145F9"/>
    <w:rsid w:val="119A7465"/>
    <w:rsid w:val="11CF6577"/>
    <w:rsid w:val="12C7301C"/>
    <w:rsid w:val="12E7492B"/>
    <w:rsid w:val="13495BED"/>
    <w:rsid w:val="13631AD8"/>
    <w:rsid w:val="13975F78"/>
    <w:rsid w:val="1521181B"/>
    <w:rsid w:val="15292B29"/>
    <w:rsid w:val="155D552F"/>
    <w:rsid w:val="157D7686"/>
    <w:rsid w:val="15830AE2"/>
    <w:rsid w:val="15A07E8D"/>
    <w:rsid w:val="1648774C"/>
    <w:rsid w:val="16EB43B2"/>
    <w:rsid w:val="17787C10"/>
    <w:rsid w:val="17A12D47"/>
    <w:rsid w:val="17DB7ACA"/>
    <w:rsid w:val="188460A0"/>
    <w:rsid w:val="19061AA7"/>
    <w:rsid w:val="193D73B7"/>
    <w:rsid w:val="1ADE532B"/>
    <w:rsid w:val="1B155261"/>
    <w:rsid w:val="1B7B0562"/>
    <w:rsid w:val="1BB5293D"/>
    <w:rsid w:val="1BBC7011"/>
    <w:rsid w:val="1BC25F36"/>
    <w:rsid w:val="1BDB27A5"/>
    <w:rsid w:val="1C62273F"/>
    <w:rsid w:val="1C6B3317"/>
    <w:rsid w:val="1CFA34AD"/>
    <w:rsid w:val="1CFF0A9F"/>
    <w:rsid w:val="1D2148A0"/>
    <w:rsid w:val="1D4D5914"/>
    <w:rsid w:val="1D916EAD"/>
    <w:rsid w:val="1DF70907"/>
    <w:rsid w:val="1E1D4217"/>
    <w:rsid w:val="1E3837A5"/>
    <w:rsid w:val="1E551953"/>
    <w:rsid w:val="1E6C78A8"/>
    <w:rsid w:val="1EDA1EFB"/>
    <w:rsid w:val="1F2B0346"/>
    <w:rsid w:val="1F2D7B6A"/>
    <w:rsid w:val="1F431821"/>
    <w:rsid w:val="1F890C4B"/>
    <w:rsid w:val="1FBC1997"/>
    <w:rsid w:val="1FE83919"/>
    <w:rsid w:val="205B73C3"/>
    <w:rsid w:val="208047FA"/>
    <w:rsid w:val="20A43E5C"/>
    <w:rsid w:val="20D34487"/>
    <w:rsid w:val="21537272"/>
    <w:rsid w:val="215A3622"/>
    <w:rsid w:val="217C1A22"/>
    <w:rsid w:val="21FF3D3B"/>
    <w:rsid w:val="22514430"/>
    <w:rsid w:val="22954316"/>
    <w:rsid w:val="232B05BB"/>
    <w:rsid w:val="233C00A9"/>
    <w:rsid w:val="23E411DA"/>
    <w:rsid w:val="24205D9A"/>
    <w:rsid w:val="2445407A"/>
    <w:rsid w:val="244C75D2"/>
    <w:rsid w:val="24F300FC"/>
    <w:rsid w:val="24FB3D4E"/>
    <w:rsid w:val="26204A8C"/>
    <w:rsid w:val="26451EEA"/>
    <w:rsid w:val="26704F2E"/>
    <w:rsid w:val="26EA6F45"/>
    <w:rsid w:val="273A5C90"/>
    <w:rsid w:val="27A10BBA"/>
    <w:rsid w:val="28C62F56"/>
    <w:rsid w:val="28CD105D"/>
    <w:rsid w:val="28DA203A"/>
    <w:rsid w:val="28F0407A"/>
    <w:rsid w:val="291726F5"/>
    <w:rsid w:val="291A7D32"/>
    <w:rsid w:val="29655706"/>
    <w:rsid w:val="2A837D0C"/>
    <w:rsid w:val="2AB306B7"/>
    <w:rsid w:val="2ABC047A"/>
    <w:rsid w:val="2C0559CB"/>
    <w:rsid w:val="2C1E1BE9"/>
    <w:rsid w:val="2CC87124"/>
    <w:rsid w:val="2D346E5C"/>
    <w:rsid w:val="2D717073"/>
    <w:rsid w:val="2DA32DCF"/>
    <w:rsid w:val="2E21325F"/>
    <w:rsid w:val="2E664953"/>
    <w:rsid w:val="2FB70373"/>
    <w:rsid w:val="30C95219"/>
    <w:rsid w:val="30FB7A19"/>
    <w:rsid w:val="310261A7"/>
    <w:rsid w:val="31700814"/>
    <w:rsid w:val="3173066F"/>
    <w:rsid w:val="31C3246B"/>
    <w:rsid w:val="31C61758"/>
    <w:rsid w:val="32044FEA"/>
    <w:rsid w:val="32A75185"/>
    <w:rsid w:val="331D24AF"/>
    <w:rsid w:val="33220830"/>
    <w:rsid w:val="33340B4D"/>
    <w:rsid w:val="340A1DD0"/>
    <w:rsid w:val="349413EA"/>
    <w:rsid w:val="34B73AE1"/>
    <w:rsid w:val="351B3885"/>
    <w:rsid w:val="35B95A08"/>
    <w:rsid w:val="35CF507F"/>
    <w:rsid w:val="35DB0ED1"/>
    <w:rsid w:val="35E33BCD"/>
    <w:rsid w:val="36055CAE"/>
    <w:rsid w:val="364544FD"/>
    <w:rsid w:val="36723436"/>
    <w:rsid w:val="36CE34E8"/>
    <w:rsid w:val="37020770"/>
    <w:rsid w:val="378974B0"/>
    <w:rsid w:val="37CD5818"/>
    <w:rsid w:val="38746615"/>
    <w:rsid w:val="38B4352E"/>
    <w:rsid w:val="3AAA66ED"/>
    <w:rsid w:val="3BFB2840"/>
    <w:rsid w:val="3BFB70AA"/>
    <w:rsid w:val="3C145421"/>
    <w:rsid w:val="3D293E10"/>
    <w:rsid w:val="3D5B369C"/>
    <w:rsid w:val="3D5D52D9"/>
    <w:rsid w:val="3DCE50EF"/>
    <w:rsid w:val="3E1371FC"/>
    <w:rsid w:val="3E1918E3"/>
    <w:rsid w:val="3E3759DF"/>
    <w:rsid w:val="3E5C564A"/>
    <w:rsid w:val="3F3309E2"/>
    <w:rsid w:val="3F49270E"/>
    <w:rsid w:val="4032482B"/>
    <w:rsid w:val="40C34FFE"/>
    <w:rsid w:val="40E80A95"/>
    <w:rsid w:val="414A28AF"/>
    <w:rsid w:val="416340E4"/>
    <w:rsid w:val="41B160E5"/>
    <w:rsid w:val="41C50CBF"/>
    <w:rsid w:val="41D45DF7"/>
    <w:rsid w:val="42234900"/>
    <w:rsid w:val="42914373"/>
    <w:rsid w:val="4297507F"/>
    <w:rsid w:val="42A44E8B"/>
    <w:rsid w:val="436C497E"/>
    <w:rsid w:val="4417389B"/>
    <w:rsid w:val="445D0DA7"/>
    <w:rsid w:val="44CF00DA"/>
    <w:rsid w:val="451505D5"/>
    <w:rsid w:val="45852894"/>
    <w:rsid w:val="45BC2E21"/>
    <w:rsid w:val="46562959"/>
    <w:rsid w:val="467F690A"/>
    <w:rsid w:val="469B0A62"/>
    <w:rsid w:val="46B85F59"/>
    <w:rsid w:val="474E6DB7"/>
    <w:rsid w:val="475573AE"/>
    <w:rsid w:val="47A619B8"/>
    <w:rsid w:val="47BB71AA"/>
    <w:rsid w:val="481E5144"/>
    <w:rsid w:val="4846183A"/>
    <w:rsid w:val="48621071"/>
    <w:rsid w:val="492D7C31"/>
    <w:rsid w:val="4939021E"/>
    <w:rsid w:val="49C134CC"/>
    <w:rsid w:val="4AD245F0"/>
    <w:rsid w:val="4B5C045F"/>
    <w:rsid w:val="4B7122DD"/>
    <w:rsid w:val="4B7B7A9A"/>
    <w:rsid w:val="4B7D2C2D"/>
    <w:rsid w:val="4BE44EED"/>
    <w:rsid w:val="4C6340CA"/>
    <w:rsid w:val="4CDD24A8"/>
    <w:rsid w:val="4CF131A3"/>
    <w:rsid w:val="4D50664E"/>
    <w:rsid w:val="4D782815"/>
    <w:rsid w:val="4E236FF8"/>
    <w:rsid w:val="4E6D76D3"/>
    <w:rsid w:val="4EC72E3E"/>
    <w:rsid w:val="4EE42632"/>
    <w:rsid w:val="4F8F467C"/>
    <w:rsid w:val="50240369"/>
    <w:rsid w:val="50597F0F"/>
    <w:rsid w:val="506B7DB7"/>
    <w:rsid w:val="508F05EA"/>
    <w:rsid w:val="50E377D9"/>
    <w:rsid w:val="51116C24"/>
    <w:rsid w:val="538502F9"/>
    <w:rsid w:val="54A90D98"/>
    <w:rsid w:val="54F65EBA"/>
    <w:rsid w:val="56AE0A32"/>
    <w:rsid w:val="56F203B4"/>
    <w:rsid w:val="56F72230"/>
    <w:rsid w:val="56FA4E99"/>
    <w:rsid w:val="57C02622"/>
    <w:rsid w:val="57FC55AA"/>
    <w:rsid w:val="580928E7"/>
    <w:rsid w:val="58551F7D"/>
    <w:rsid w:val="59045A92"/>
    <w:rsid w:val="59F767DB"/>
    <w:rsid w:val="5A71163E"/>
    <w:rsid w:val="5AA412FE"/>
    <w:rsid w:val="5AC72F10"/>
    <w:rsid w:val="5B02447E"/>
    <w:rsid w:val="5BB73D3C"/>
    <w:rsid w:val="5C502358"/>
    <w:rsid w:val="5C6C116D"/>
    <w:rsid w:val="5CA558C9"/>
    <w:rsid w:val="5D1C2796"/>
    <w:rsid w:val="5D217374"/>
    <w:rsid w:val="5D325C01"/>
    <w:rsid w:val="5DE81AA6"/>
    <w:rsid w:val="5E2B51A2"/>
    <w:rsid w:val="5E34748D"/>
    <w:rsid w:val="5E6006BB"/>
    <w:rsid w:val="5F2034BB"/>
    <w:rsid w:val="5F5B667A"/>
    <w:rsid w:val="5F89099D"/>
    <w:rsid w:val="5FD125EC"/>
    <w:rsid w:val="612A2884"/>
    <w:rsid w:val="61396DD0"/>
    <w:rsid w:val="61DC72F5"/>
    <w:rsid w:val="62186785"/>
    <w:rsid w:val="62CA32A0"/>
    <w:rsid w:val="638717D9"/>
    <w:rsid w:val="63AE23E0"/>
    <w:rsid w:val="64A14715"/>
    <w:rsid w:val="650F4BE9"/>
    <w:rsid w:val="652A37D1"/>
    <w:rsid w:val="6531611B"/>
    <w:rsid w:val="653B1B6A"/>
    <w:rsid w:val="66167AA8"/>
    <w:rsid w:val="665E3A26"/>
    <w:rsid w:val="66BB30AC"/>
    <w:rsid w:val="66FA05E1"/>
    <w:rsid w:val="671B6AB8"/>
    <w:rsid w:val="67821C5D"/>
    <w:rsid w:val="67996221"/>
    <w:rsid w:val="67EE6D37"/>
    <w:rsid w:val="681E7F53"/>
    <w:rsid w:val="69A14E77"/>
    <w:rsid w:val="69E97C9F"/>
    <w:rsid w:val="6B5070BC"/>
    <w:rsid w:val="6B95707E"/>
    <w:rsid w:val="6BE6725F"/>
    <w:rsid w:val="6D3045E6"/>
    <w:rsid w:val="6D88336F"/>
    <w:rsid w:val="6DAD5655"/>
    <w:rsid w:val="6E957640"/>
    <w:rsid w:val="6F5E2C15"/>
    <w:rsid w:val="6F780C5E"/>
    <w:rsid w:val="6FE102B5"/>
    <w:rsid w:val="703F6675"/>
    <w:rsid w:val="711A0B9D"/>
    <w:rsid w:val="71B46842"/>
    <w:rsid w:val="71F17B50"/>
    <w:rsid w:val="72311C95"/>
    <w:rsid w:val="72955284"/>
    <w:rsid w:val="72EA0AEA"/>
    <w:rsid w:val="732D4BB8"/>
    <w:rsid w:val="73AC6B4F"/>
    <w:rsid w:val="73EB3D22"/>
    <w:rsid w:val="75126D7A"/>
    <w:rsid w:val="75BA5477"/>
    <w:rsid w:val="764A5A81"/>
    <w:rsid w:val="76674D66"/>
    <w:rsid w:val="774E25FB"/>
    <w:rsid w:val="77537603"/>
    <w:rsid w:val="779F1DFC"/>
    <w:rsid w:val="77CB7931"/>
    <w:rsid w:val="77E63ABE"/>
    <w:rsid w:val="78937CF7"/>
    <w:rsid w:val="78E746E7"/>
    <w:rsid w:val="797C107C"/>
    <w:rsid w:val="79ED6971"/>
    <w:rsid w:val="7A082333"/>
    <w:rsid w:val="7AA31C03"/>
    <w:rsid w:val="7AA33536"/>
    <w:rsid w:val="7BFE1E83"/>
    <w:rsid w:val="7DBF21A5"/>
    <w:rsid w:val="7DE93C59"/>
    <w:rsid w:val="7E4411BB"/>
    <w:rsid w:val="7E760133"/>
    <w:rsid w:val="7E904F45"/>
    <w:rsid w:val="7EFB51B8"/>
    <w:rsid w:val="7F3F6140"/>
    <w:rsid w:val="7F963FB1"/>
    <w:rsid w:val="7FB70DB5"/>
    <w:rsid w:val="9BBF9490"/>
    <w:rsid w:val="FF7EEC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link w:val="35"/>
    <w:autoRedefine/>
    <w:qFormat/>
    <w:uiPriority w:val="99"/>
    <w:pPr>
      <w:keepNext/>
      <w:keepLines/>
      <w:spacing w:line="576" w:lineRule="auto"/>
      <w:outlineLvl w:val="0"/>
    </w:pPr>
    <w:rPr>
      <w:rFonts w:ascii="Calibri" w:hAnsi="Calibri" w:cs="Calibri"/>
      <w:b/>
      <w:bCs/>
      <w:kern w:val="44"/>
      <w:sz w:val="44"/>
      <w:szCs w:val="44"/>
    </w:rPr>
  </w:style>
  <w:style w:type="paragraph" w:styleId="3">
    <w:name w:val="heading 2"/>
    <w:basedOn w:val="1"/>
    <w:next w:val="1"/>
    <w:link w:val="36"/>
    <w:autoRedefine/>
    <w:qFormat/>
    <w:uiPriority w:val="99"/>
    <w:pPr>
      <w:keepNext/>
      <w:spacing w:line="216" w:lineRule="auto"/>
      <w:outlineLvl w:val="1"/>
    </w:pPr>
    <w:rPr>
      <w:rFonts w:ascii="宋体" w:hAnsi="Calibri" w:cs="宋体"/>
      <w:b/>
      <w:bCs/>
      <w:sz w:val="28"/>
      <w:szCs w:val="28"/>
    </w:rPr>
  </w:style>
  <w:style w:type="paragraph" w:styleId="4">
    <w:name w:val="heading 3"/>
    <w:basedOn w:val="1"/>
    <w:next w:val="1"/>
    <w:link w:val="37"/>
    <w:autoRedefine/>
    <w:qFormat/>
    <w:uiPriority w:val="99"/>
    <w:pPr>
      <w:keepNext/>
      <w:numPr>
        <w:ilvl w:val="0"/>
        <w:numId w:val="1"/>
      </w:numPr>
      <w:spacing w:line="216" w:lineRule="auto"/>
      <w:outlineLvl w:val="2"/>
    </w:pPr>
    <w:rPr>
      <w:rFonts w:ascii="宋体" w:hAnsi="Calibri" w:eastAsia="宋体" w:cs="宋体"/>
      <w:b/>
      <w:bCs/>
      <w:sz w:val="28"/>
      <w:szCs w:val="28"/>
      <w:lang w:val="en-US" w:eastAsia="zh-CN" w:bidi="ar-SA"/>
    </w:rPr>
  </w:style>
  <w:style w:type="paragraph" w:styleId="5">
    <w:name w:val="heading 4"/>
    <w:basedOn w:val="1"/>
    <w:next w:val="1"/>
    <w:autoRedefine/>
    <w:qFormat/>
    <w:locked/>
    <w:uiPriority w:val="0"/>
    <w:pPr>
      <w:keepLines/>
      <w:autoSpaceDE w:val="0"/>
      <w:autoSpaceDN w:val="0"/>
      <w:adjustRightInd w:val="0"/>
      <w:textAlignment w:val="baseline"/>
      <w:outlineLvl w:val="3"/>
    </w:pPr>
    <w:rPr>
      <w:rFonts w:eastAsia="楷体_GB2312"/>
      <w:b/>
      <w:snapToGrid w:val="0"/>
      <w:sz w:val="24"/>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ind w:firstLine="420"/>
    </w:pPr>
  </w:style>
  <w:style w:type="paragraph" w:styleId="7">
    <w:name w:val="toc 4"/>
    <w:basedOn w:val="1"/>
    <w:next w:val="1"/>
    <w:autoRedefine/>
    <w:semiHidden/>
    <w:qFormat/>
    <w:uiPriority w:val="0"/>
    <w:pPr>
      <w:ind w:left="1260" w:leftChars="600"/>
    </w:pPr>
  </w:style>
  <w:style w:type="paragraph" w:styleId="8">
    <w:name w:val="annotation text"/>
    <w:basedOn w:val="1"/>
    <w:autoRedefine/>
    <w:qFormat/>
    <w:uiPriority w:val="0"/>
    <w:pPr>
      <w:adjustRightInd w:val="0"/>
      <w:jc w:val="left"/>
    </w:pPr>
  </w:style>
  <w:style w:type="paragraph" w:styleId="9">
    <w:name w:val="Body Text"/>
    <w:basedOn w:val="1"/>
    <w:next w:val="10"/>
    <w:link w:val="38"/>
    <w:autoRedefine/>
    <w:qFormat/>
    <w:uiPriority w:val="99"/>
  </w:style>
  <w:style w:type="paragraph" w:styleId="10">
    <w:name w:val="Body Text First Indent"/>
    <w:basedOn w:val="9"/>
    <w:next w:val="11"/>
    <w:link w:val="50"/>
    <w:autoRedefine/>
    <w:qFormat/>
    <w:uiPriority w:val="99"/>
    <w:pPr>
      <w:ind w:firstLine="420" w:firstLineChars="100"/>
    </w:pPr>
  </w:style>
  <w:style w:type="paragraph" w:styleId="11">
    <w:name w:val="toc 6"/>
    <w:basedOn w:val="1"/>
    <w:next w:val="1"/>
    <w:autoRedefine/>
    <w:semiHidden/>
    <w:qFormat/>
    <w:uiPriority w:val="0"/>
    <w:pPr>
      <w:ind w:left="2100" w:leftChars="1000"/>
    </w:pPr>
  </w:style>
  <w:style w:type="paragraph" w:styleId="12">
    <w:name w:val="Body Text Indent"/>
    <w:basedOn w:val="1"/>
    <w:next w:val="1"/>
    <w:link w:val="44"/>
    <w:autoRedefine/>
    <w:qFormat/>
    <w:uiPriority w:val="99"/>
    <w:pPr>
      <w:adjustRightInd w:val="0"/>
      <w:spacing w:line="360" w:lineRule="auto"/>
      <w:ind w:firstLine="490"/>
    </w:pPr>
    <w:rPr>
      <w:rFonts w:ascii="宋体" w:hAnsi="宋体" w:cs="宋体"/>
      <w:sz w:val="24"/>
      <w:szCs w:val="24"/>
    </w:rPr>
  </w:style>
  <w:style w:type="paragraph" w:styleId="13">
    <w:name w:val="toc 3"/>
    <w:next w:val="1"/>
    <w:autoRedefine/>
    <w:semiHidden/>
    <w:qFormat/>
    <w:uiPriority w:val="99"/>
    <w:pPr>
      <w:ind w:left="840" w:leftChars="400"/>
    </w:pPr>
    <w:rPr>
      <w:rFonts w:ascii="Times New Roman" w:hAnsi="Times New Roman" w:eastAsia="宋体" w:cs="Times New Roman"/>
      <w:lang w:val="en-US" w:eastAsia="zh-CN" w:bidi="ar-SA"/>
    </w:rPr>
  </w:style>
  <w:style w:type="paragraph" w:styleId="14">
    <w:name w:val="Plain Text"/>
    <w:basedOn w:val="1"/>
    <w:next w:val="15"/>
    <w:link w:val="45"/>
    <w:autoRedefine/>
    <w:qFormat/>
    <w:uiPriority w:val="0"/>
    <w:rPr>
      <w:rFonts w:ascii="宋体" w:hAnsi="Courier New" w:cs="宋体"/>
    </w:rPr>
  </w:style>
  <w:style w:type="paragraph" w:styleId="15">
    <w:name w:val="Date"/>
    <w:basedOn w:val="1"/>
    <w:next w:val="1"/>
    <w:link w:val="46"/>
    <w:autoRedefine/>
    <w:qFormat/>
    <w:uiPriority w:val="99"/>
    <w:pPr>
      <w:ind w:left="100" w:leftChars="2500"/>
    </w:pPr>
    <w:rPr>
      <w:rFonts w:ascii="宋体" w:hAnsi="宋体" w:cs="宋体"/>
      <w:color w:val="000000"/>
      <w:sz w:val="24"/>
      <w:szCs w:val="24"/>
    </w:rPr>
  </w:style>
  <w:style w:type="paragraph" w:styleId="16">
    <w:name w:val="Balloon Text"/>
    <w:link w:val="47"/>
    <w:autoRedefine/>
    <w:semiHidden/>
    <w:qFormat/>
    <w:uiPriority w:val="99"/>
    <w:rPr>
      <w:rFonts w:ascii="Times New Roman" w:hAnsi="Times New Roman" w:eastAsia="宋体" w:cs="Times New Roman"/>
      <w:sz w:val="18"/>
      <w:szCs w:val="18"/>
      <w:lang w:val="en-US" w:eastAsia="zh-CN" w:bidi="ar-SA"/>
    </w:rPr>
  </w:style>
  <w:style w:type="paragraph" w:styleId="17">
    <w:name w:val="footer"/>
    <w:basedOn w:val="1"/>
    <w:link w:val="48"/>
    <w:autoRedefine/>
    <w:qFormat/>
    <w:uiPriority w:val="99"/>
    <w:pPr>
      <w:tabs>
        <w:tab w:val="center" w:pos="4153"/>
        <w:tab w:val="right" w:pos="8306"/>
      </w:tabs>
      <w:snapToGrid w:val="0"/>
    </w:pPr>
    <w:rPr>
      <w:sz w:val="18"/>
      <w:szCs w:val="18"/>
    </w:rPr>
  </w:style>
  <w:style w:type="paragraph" w:styleId="18">
    <w:name w:val="header"/>
    <w:basedOn w:val="1"/>
    <w:link w:val="49"/>
    <w:autoRedefine/>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sz w:val="18"/>
      <w:szCs w:val="18"/>
    </w:rPr>
  </w:style>
  <w:style w:type="paragraph" w:styleId="19">
    <w:name w:val="toc 1"/>
    <w:next w:val="1"/>
    <w:autoRedefine/>
    <w:qFormat/>
    <w:uiPriority w:val="39"/>
    <w:rPr>
      <w:rFonts w:ascii="Times New Roman" w:hAnsi="Times New Roman" w:eastAsia="宋体" w:cs="Times New Roman"/>
      <w:lang w:val="en-US" w:eastAsia="zh-CN" w:bidi="ar-SA"/>
    </w:rPr>
  </w:style>
  <w:style w:type="paragraph" w:styleId="20">
    <w:name w:val="toc 2"/>
    <w:next w:val="1"/>
    <w:autoRedefine/>
    <w:qFormat/>
    <w:uiPriority w:val="39"/>
    <w:pPr>
      <w:ind w:left="420" w:leftChars="200"/>
    </w:pPr>
    <w:rPr>
      <w:rFonts w:ascii="Times New Roman" w:hAnsi="Times New Roman" w:eastAsia="宋体" w:cs="Times New Roman"/>
      <w:lang w:val="en-US" w:eastAsia="zh-CN" w:bidi="ar-SA"/>
    </w:rPr>
  </w:style>
  <w:style w:type="paragraph" w:styleId="21">
    <w:name w:val="Normal (Web)"/>
    <w:basedOn w:val="1"/>
    <w:autoRedefine/>
    <w:qFormat/>
    <w:uiPriority w:val="99"/>
    <w:pPr>
      <w:spacing w:before="100" w:beforeAutospacing="1" w:after="100" w:afterAutospacing="1"/>
    </w:pPr>
    <w:rPr>
      <w:rFonts w:ascii="宋体" w:hAnsi="宋体" w:eastAsia="宋体" w:cs="宋体"/>
      <w:sz w:val="24"/>
      <w:szCs w:val="24"/>
      <w:lang w:val="en-US" w:eastAsia="zh-CN" w:bidi="ar-SA"/>
    </w:rPr>
  </w:style>
  <w:style w:type="paragraph" w:styleId="22">
    <w:name w:val="Body Text First Indent 2"/>
    <w:basedOn w:val="12"/>
    <w:autoRedefine/>
    <w:qFormat/>
    <w:uiPriority w:val="0"/>
    <w:pPr>
      <w:ind w:firstLine="420"/>
    </w:pPr>
  </w:style>
  <w:style w:type="table" w:styleId="24">
    <w:name w:val="Table Grid"/>
    <w:basedOn w:val="23"/>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autoRedefine/>
    <w:qFormat/>
    <w:uiPriority w:val="99"/>
    <w:rPr>
      <w:b/>
      <w:bCs/>
    </w:rPr>
  </w:style>
  <w:style w:type="character" w:styleId="27">
    <w:name w:val="page number"/>
    <w:basedOn w:val="25"/>
    <w:autoRedefine/>
    <w:qFormat/>
    <w:uiPriority w:val="99"/>
  </w:style>
  <w:style w:type="character" w:styleId="28">
    <w:name w:val="Hyperlink"/>
    <w:basedOn w:val="25"/>
    <w:autoRedefine/>
    <w:qFormat/>
    <w:uiPriority w:val="99"/>
    <w:rPr>
      <w:color w:val="0000FF"/>
      <w:u w:val="single"/>
    </w:rPr>
  </w:style>
  <w:style w:type="paragraph" w:customStyle="1" w:styleId="29">
    <w:name w:val="Default"/>
    <w:autoRedefine/>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customStyle="1" w:styleId="30">
    <w:name w:val="正文缩进1"/>
    <w:autoRedefine/>
    <w:qFormat/>
    <w:uiPriority w:val="0"/>
    <w:pPr>
      <w:ind w:firstLine="420" w:firstLineChars="200"/>
    </w:pPr>
    <w:rPr>
      <w:rFonts w:ascii="Times New Roman" w:hAnsi="Times New Roman" w:eastAsia="宋体" w:cs="Times New Roman"/>
      <w:lang w:val="en-US" w:eastAsia="zh-CN" w:bidi="ar-SA"/>
    </w:rPr>
  </w:style>
  <w:style w:type="paragraph" w:customStyle="1" w:styleId="31">
    <w:name w:val="表格文字"/>
    <w:basedOn w:val="12"/>
    <w:next w:val="9"/>
    <w:autoRedefine/>
    <w:qFormat/>
    <w:uiPriority w:val="0"/>
    <w:pPr>
      <w:spacing w:line="420" w:lineRule="atLeast"/>
      <w:textAlignment w:val="baseline"/>
    </w:pPr>
    <w:rPr>
      <w:rFonts w:ascii="Times New Roman" w:hAnsi="Times New Roman" w:cs="Times New Roman"/>
    </w:rPr>
  </w:style>
  <w:style w:type="paragraph" w:customStyle="1" w:styleId="32">
    <w:name w:val="BodyText1I2"/>
    <w:basedOn w:val="33"/>
    <w:autoRedefine/>
    <w:qFormat/>
    <w:uiPriority w:val="0"/>
    <w:pPr>
      <w:ind w:firstLine="420"/>
    </w:pPr>
    <w:rPr>
      <w:sz w:val="21"/>
    </w:rPr>
  </w:style>
  <w:style w:type="paragraph" w:customStyle="1" w:styleId="33">
    <w:name w:val="BodyTextIndent"/>
    <w:basedOn w:val="1"/>
    <w:next w:val="32"/>
    <w:autoRedefine/>
    <w:qFormat/>
    <w:uiPriority w:val="0"/>
    <w:pPr>
      <w:spacing w:line="360" w:lineRule="auto"/>
      <w:ind w:firstLine="490"/>
      <w:jc w:val="left"/>
    </w:pPr>
    <w:rPr>
      <w:rFonts w:ascii="宋体" w:hAnsi="宋体"/>
      <w:sz w:val="24"/>
    </w:rPr>
  </w:style>
  <w:style w:type="paragraph" w:customStyle="1" w:styleId="34">
    <w:name w:val="Body Text First Indent1"/>
    <w:basedOn w:val="9"/>
    <w:autoRedefine/>
    <w:qFormat/>
    <w:uiPriority w:val="0"/>
    <w:pPr>
      <w:tabs>
        <w:tab w:val="left" w:pos="1275"/>
      </w:tabs>
      <w:ind w:firstLine="420" w:firstLineChars="100"/>
    </w:pPr>
  </w:style>
  <w:style w:type="character" w:customStyle="1" w:styleId="35">
    <w:name w:val="标题 1 字符"/>
    <w:basedOn w:val="25"/>
    <w:link w:val="2"/>
    <w:autoRedefine/>
    <w:qFormat/>
    <w:locked/>
    <w:uiPriority w:val="99"/>
    <w:rPr>
      <w:b/>
      <w:bCs/>
      <w:kern w:val="44"/>
      <w:sz w:val="44"/>
      <w:szCs w:val="44"/>
    </w:rPr>
  </w:style>
  <w:style w:type="character" w:customStyle="1" w:styleId="36">
    <w:name w:val="标题 2 字符"/>
    <w:basedOn w:val="25"/>
    <w:link w:val="3"/>
    <w:autoRedefine/>
    <w:qFormat/>
    <w:locked/>
    <w:uiPriority w:val="99"/>
    <w:rPr>
      <w:rFonts w:ascii="宋体" w:cs="宋体"/>
      <w:b/>
      <w:bCs/>
      <w:kern w:val="2"/>
      <w:sz w:val="28"/>
      <w:szCs w:val="28"/>
    </w:rPr>
  </w:style>
  <w:style w:type="character" w:customStyle="1" w:styleId="37">
    <w:name w:val="标题 3 字符"/>
    <w:basedOn w:val="25"/>
    <w:link w:val="4"/>
    <w:autoRedefine/>
    <w:qFormat/>
    <w:locked/>
    <w:uiPriority w:val="99"/>
    <w:rPr>
      <w:rFonts w:ascii="宋体" w:cs="宋体"/>
      <w:b/>
      <w:bCs/>
      <w:kern w:val="2"/>
      <w:sz w:val="28"/>
      <w:szCs w:val="28"/>
    </w:rPr>
  </w:style>
  <w:style w:type="character" w:customStyle="1" w:styleId="38">
    <w:name w:val="正文文本 字符"/>
    <w:basedOn w:val="25"/>
    <w:link w:val="9"/>
    <w:autoRedefine/>
    <w:semiHidden/>
    <w:qFormat/>
    <w:uiPriority w:val="99"/>
    <w:rPr>
      <w:rFonts w:ascii="Times New Roman" w:hAnsi="Times New Roman"/>
      <w:szCs w:val="21"/>
    </w:rPr>
  </w:style>
  <w:style w:type="paragraph" w:customStyle="1" w:styleId="39">
    <w:name w:val="样式 表格正文 + 两端对齐"/>
    <w:next w:val="40"/>
    <w:autoRedefine/>
    <w:qFormat/>
    <w:uiPriority w:val="99"/>
    <w:pPr>
      <w:spacing w:line="300" w:lineRule="auto"/>
    </w:pPr>
    <w:rPr>
      <w:rFonts w:ascii="Times New Roman" w:hAnsi="Times New Roman" w:eastAsia="宋体" w:cs="Times New Roman"/>
      <w:sz w:val="24"/>
      <w:szCs w:val="24"/>
      <w:lang w:val="en-US" w:eastAsia="zh-CN" w:bidi="ar-SA"/>
    </w:rPr>
  </w:style>
  <w:style w:type="paragraph" w:customStyle="1" w:styleId="40">
    <w:name w:val="正文1"/>
    <w:next w:val="41"/>
    <w:autoRedefine/>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41">
    <w:name w:val="自动更正"/>
    <w:next w:val="42"/>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xl39"/>
    <w:next w:val="43"/>
    <w:autoRedefine/>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43">
    <w:name w:val="分手多日，近况如何？"/>
    <w:autoRedefine/>
    <w:qFormat/>
    <w:uiPriority w:val="0"/>
    <w:pPr>
      <w:widowControl w:val="0"/>
      <w:jc w:val="both"/>
    </w:pPr>
    <w:rPr>
      <w:rFonts w:ascii="Times New Roman" w:hAnsi="Times New Roman" w:eastAsia="宋体" w:cs="Times New Roman"/>
      <w:sz w:val="21"/>
      <w:szCs w:val="21"/>
      <w:lang w:val="en-US" w:eastAsia="zh-CN" w:bidi="ar-SA"/>
    </w:rPr>
  </w:style>
  <w:style w:type="character" w:customStyle="1" w:styleId="44">
    <w:name w:val="正文文本缩进 字符"/>
    <w:basedOn w:val="25"/>
    <w:link w:val="12"/>
    <w:autoRedefine/>
    <w:semiHidden/>
    <w:qFormat/>
    <w:uiPriority w:val="99"/>
    <w:rPr>
      <w:rFonts w:ascii="Times New Roman" w:hAnsi="Times New Roman"/>
      <w:szCs w:val="21"/>
    </w:rPr>
  </w:style>
  <w:style w:type="character" w:customStyle="1" w:styleId="45">
    <w:name w:val="纯文本 字符"/>
    <w:basedOn w:val="25"/>
    <w:link w:val="14"/>
    <w:autoRedefine/>
    <w:semiHidden/>
    <w:qFormat/>
    <w:uiPriority w:val="99"/>
    <w:rPr>
      <w:rFonts w:ascii="宋体" w:hAnsi="Courier New" w:cs="Courier New"/>
      <w:szCs w:val="21"/>
    </w:rPr>
  </w:style>
  <w:style w:type="character" w:customStyle="1" w:styleId="46">
    <w:name w:val="日期 字符"/>
    <w:basedOn w:val="25"/>
    <w:link w:val="15"/>
    <w:autoRedefine/>
    <w:semiHidden/>
    <w:qFormat/>
    <w:uiPriority w:val="99"/>
    <w:rPr>
      <w:rFonts w:ascii="Times New Roman" w:hAnsi="Times New Roman"/>
      <w:szCs w:val="21"/>
    </w:rPr>
  </w:style>
  <w:style w:type="character" w:customStyle="1" w:styleId="47">
    <w:name w:val="批注框文本 字符"/>
    <w:basedOn w:val="25"/>
    <w:link w:val="16"/>
    <w:autoRedefine/>
    <w:qFormat/>
    <w:locked/>
    <w:uiPriority w:val="99"/>
    <w:rPr>
      <w:kern w:val="2"/>
      <w:sz w:val="18"/>
      <w:szCs w:val="18"/>
    </w:rPr>
  </w:style>
  <w:style w:type="character" w:customStyle="1" w:styleId="48">
    <w:name w:val="页脚 字符"/>
    <w:basedOn w:val="25"/>
    <w:link w:val="17"/>
    <w:autoRedefine/>
    <w:qFormat/>
    <w:uiPriority w:val="99"/>
    <w:rPr>
      <w:rFonts w:ascii="Times New Roman" w:hAnsi="Times New Roman"/>
      <w:sz w:val="18"/>
      <w:szCs w:val="18"/>
    </w:rPr>
  </w:style>
  <w:style w:type="character" w:customStyle="1" w:styleId="49">
    <w:name w:val="页眉 字符"/>
    <w:basedOn w:val="25"/>
    <w:link w:val="18"/>
    <w:autoRedefine/>
    <w:qFormat/>
    <w:uiPriority w:val="99"/>
    <w:rPr>
      <w:rFonts w:ascii="Times New Roman" w:hAnsi="Times New Roman"/>
      <w:sz w:val="18"/>
      <w:szCs w:val="18"/>
    </w:rPr>
  </w:style>
  <w:style w:type="character" w:customStyle="1" w:styleId="50">
    <w:name w:val="正文文本首行缩进 字符"/>
    <w:basedOn w:val="38"/>
    <w:link w:val="10"/>
    <w:autoRedefine/>
    <w:semiHidden/>
    <w:qFormat/>
    <w:uiPriority w:val="99"/>
    <w:rPr>
      <w:rFonts w:ascii="Times New Roman" w:hAnsi="Times New Roman"/>
      <w:szCs w:val="21"/>
    </w:rPr>
  </w:style>
  <w:style w:type="paragraph" w:customStyle="1" w:styleId="51">
    <w:name w:val="正文2"/>
    <w:autoRedefine/>
    <w:qFormat/>
    <w:uiPriority w:val="99"/>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52">
    <w:name w:val="List Paragraph1"/>
    <w:autoRedefine/>
    <w:qFormat/>
    <w:uiPriority w:val="99"/>
    <w:pPr>
      <w:ind w:firstLine="420" w:firstLineChars="200"/>
    </w:pPr>
    <w:rPr>
      <w:rFonts w:ascii="Calibri" w:hAnsi="Calibri" w:eastAsia="宋体" w:cs="Calibri"/>
      <w:lang w:val="en-US" w:eastAsia="zh-CN" w:bidi="ar-SA"/>
    </w:rPr>
  </w:style>
  <w:style w:type="character" w:customStyle="1" w:styleId="53">
    <w:name w:val="style81"/>
    <w:autoRedefine/>
    <w:qFormat/>
    <w:uiPriority w:val="99"/>
    <w:rPr>
      <w:sz w:val="20"/>
      <w:szCs w:val="20"/>
    </w:rPr>
  </w:style>
  <w:style w:type="paragraph" w:customStyle="1" w:styleId="54">
    <w:name w:val="列出段落1"/>
    <w:autoRedefine/>
    <w:qFormat/>
    <w:uiPriority w:val="99"/>
    <w:pPr>
      <w:ind w:firstLine="420"/>
    </w:pPr>
    <w:rPr>
      <w:rFonts w:ascii="Times New Roman" w:hAnsi="Times New Roman" w:eastAsia="宋体" w:cs="Times New Roman"/>
      <w:lang w:val="en-US" w:eastAsia="zh-CN" w:bidi="ar-SA"/>
    </w:rPr>
  </w:style>
  <w:style w:type="paragraph" w:customStyle="1" w:styleId="55">
    <w:name w:val="表格"/>
    <w:autoRedefine/>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6">
    <w:name w:val="02 Char"/>
    <w:link w:val="57"/>
    <w:autoRedefine/>
    <w:qFormat/>
    <w:locked/>
    <w:uiPriority w:val="99"/>
    <w:rPr>
      <w:rFonts w:ascii="宋体" w:cs="宋体"/>
      <w:b/>
      <w:bCs/>
      <w:color w:val="FF0000"/>
      <w:kern w:val="2"/>
      <w:sz w:val="28"/>
      <w:szCs w:val="28"/>
    </w:rPr>
  </w:style>
  <w:style w:type="paragraph" w:customStyle="1" w:styleId="57">
    <w:name w:val="02"/>
    <w:basedOn w:val="3"/>
    <w:link w:val="56"/>
    <w:autoRedefine/>
    <w:qFormat/>
    <w:uiPriority w:val="99"/>
    <w:pPr>
      <w:jc w:val="center"/>
    </w:pPr>
    <w:rPr>
      <w:color w:val="FF0000"/>
    </w:rPr>
  </w:style>
  <w:style w:type="character" w:customStyle="1" w:styleId="58">
    <w:name w:val="03 Char"/>
    <w:link w:val="59"/>
    <w:autoRedefine/>
    <w:qFormat/>
    <w:locked/>
    <w:uiPriority w:val="99"/>
    <w:rPr>
      <w:rFonts w:ascii="宋体" w:cs="宋体"/>
      <w:b/>
      <w:bCs/>
      <w:kern w:val="2"/>
      <w:sz w:val="28"/>
      <w:szCs w:val="28"/>
    </w:rPr>
  </w:style>
  <w:style w:type="paragraph" w:customStyle="1" w:styleId="59">
    <w:name w:val="03"/>
    <w:basedOn w:val="4"/>
    <w:link w:val="58"/>
    <w:autoRedefine/>
    <w:qFormat/>
    <w:uiPriority w:val="99"/>
    <w:pPr>
      <w:numPr>
        <w:ilvl w:val="0"/>
        <w:numId w:val="0"/>
      </w:numPr>
    </w:pPr>
  </w:style>
  <w:style w:type="character" w:customStyle="1" w:styleId="60">
    <w:name w:val="宋体小四 Char"/>
    <w:link w:val="61"/>
    <w:autoRedefine/>
    <w:qFormat/>
    <w:locked/>
    <w:uiPriority w:val="99"/>
    <w:rPr>
      <w:rFonts w:ascii="宋体" w:eastAsia="宋体" w:cs="宋体"/>
      <w:kern w:val="2"/>
      <w:sz w:val="24"/>
      <w:szCs w:val="24"/>
    </w:rPr>
  </w:style>
  <w:style w:type="paragraph" w:customStyle="1" w:styleId="61">
    <w:name w:val="宋体小四"/>
    <w:link w:val="60"/>
    <w:autoRedefine/>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62">
    <w:name w:val="fontstyle01"/>
    <w:basedOn w:val="25"/>
    <w:autoRedefine/>
    <w:qFormat/>
    <w:uiPriority w:val="99"/>
    <w:rPr>
      <w:rFonts w:ascii="宋体" w:eastAsia="宋体" w:cs="宋体"/>
      <w:color w:val="000000"/>
      <w:sz w:val="22"/>
      <w:szCs w:val="22"/>
    </w:rPr>
  </w:style>
  <w:style w:type="paragraph" w:customStyle="1" w:styleId="63">
    <w:name w:val="正文首行缩进2字符"/>
    <w:autoRedefine/>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4">
    <w:name w:val="居中表格内容标题"/>
    <w:basedOn w:val="65"/>
    <w:autoRedefine/>
    <w:qFormat/>
    <w:uiPriority w:val="0"/>
    <w:pPr>
      <w:jc w:val="center"/>
    </w:pPr>
    <w:rPr>
      <w:b/>
    </w:rPr>
  </w:style>
  <w:style w:type="paragraph" w:customStyle="1" w:styleId="65">
    <w:name w:val="居中表格内容"/>
    <w:autoRedefine/>
    <w:qFormat/>
    <w:uiPriority w:val="0"/>
    <w:rPr>
      <w:rFonts w:ascii="Times New Roman" w:hAnsi="Times New Roman" w:eastAsia="宋体" w:cs="Times New Roman"/>
      <w:szCs w:val="28"/>
      <w:lang w:val="en-US" w:eastAsia="zh-CN" w:bidi="ar-SA"/>
    </w:rPr>
  </w:style>
  <w:style w:type="paragraph" w:styleId="66">
    <w:name w:val="List Paragraph"/>
    <w:basedOn w:val="1"/>
    <w:link w:val="67"/>
    <w:autoRedefine/>
    <w:qFormat/>
    <w:uiPriority w:val="34"/>
    <w:pPr>
      <w:ind w:firstLine="420" w:firstLineChars="200"/>
    </w:pPr>
  </w:style>
  <w:style w:type="character" w:customStyle="1" w:styleId="67">
    <w:name w:val="列表段落 字符"/>
    <w:basedOn w:val="25"/>
    <w:link w:val="66"/>
    <w:autoRedefine/>
    <w:qFormat/>
    <w:uiPriority w:val="34"/>
  </w:style>
  <w:style w:type="table" w:customStyle="1" w:styleId="68">
    <w:name w:val="网格型浅色1"/>
    <w:basedOn w:val="23"/>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69">
    <w:name w:val="正文（首行缩进2字符）"/>
    <w:basedOn w:val="1"/>
    <w:autoRedefine/>
    <w:qFormat/>
    <w:uiPriority w:val="0"/>
    <w:pPr>
      <w:spacing w:line="360" w:lineRule="auto"/>
      <w:ind w:firstLine="480" w:firstLineChars="200"/>
    </w:pPr>
    <w:rPr>
      <w:kern w:val="2"/>
      <w:sz w:val="24"/>
    </w:rPr>
  </w:style>
  <w:style w:type="paragraph" w:customStyle="1" w:styleId="70">
    <w:name w:val="Body Text First Indent 21"/>
    <w:basedOn w:val="71"/>
    <w:autoRedefine/>
    <w:qFormat/>
    <w:uiPriority w:val="0"/>
    <w:pPr>
      <w:ind w:firstLine="420"/>
    </w:pPr>
    <w:rPr>
      <w:rFonts w:cs="宋体"/>
    </w:rPr>
  </w:style>
  <w:style w:type="paragraph" w:customStyle="1" w:styleId="71">
    <w:name w:val="Body Text Indent1"/>
    <w:basedOn w:val="1"/>
    <w:next w:val="1"/>
    <w:autoRedefine/>
    <w:qFormat/>
    <w:uiPriority w:val="0"/>
    <w:pPr>
      <w:spacing w:after="120"/>
      <w:ind w:left="420" w:leftChars="200"/>
    </w:pPr>
  </w:style>
  <w:style w:type="character" w:customStyle="1" w:styleId="72">
    <w:name w:val="font101"/>
    <w:basedOn w:val="25"/>
    <w:autoRedefine/>
    <w:qFormat/>
    <w:uiPriority w:val="0"/>
    <w:rPr>
      <w:rFonts w:hint="eastAsia" w:ascii="宋体" w:hAnsi="宋体" w:eastAsia="宋体" w:cs="宋体"/>
      <w:b/>
      <w:bCs/>
      <w:color w:val="000000"/>
      <w:sz w:val="24"/>
      <w:szCs w:val="24"/>
      <w:u w:val="none"/>
    </w:rPr>
  </w:style>
  <w:style w:type="character" w:customStyle="1" w:styleId="73">
    <w:name w:val="font41"/>
    <w:basedOn w:val="25"/>
    <w:autoRedefine/>
    <w:qFormat/>
    <w:uiPriority w:val="0"/>
    <w:rPr>
      <w:rFonts w:hint="eastAsia" w:ascii="仿宋" w:hAnsi="仿宋" w:eastAsia="仿宋" w:cs="仿宋"/>
      <w:color w:val="000000"/>
      <w:sz w:val="24"/>
      <w:szCs w:val="24"/>
      <w:u w:val="none"/>
    </w:rPr>
  </w:style>
  <w:style w:type="character" w:customStyle="1" w:styleId="74">
    <w:name w:val="font11"/>
    <w:basedOn w:val="25"/>
    <w:autoRedefine/>
    <w:qFormat/>
    <w:uiPriority w:val="0"/>
    <w:rPr>
      <w:rFonts w:hint="eastAsia" w:ascii="仿宋" w:hAnsi="仿宋" w:eastAsia="仿宋" w:cs="仿宋"/>
      <w:color w:val="FF0000"/>
      <w:sz w:val="24"/>
      <w:szCs w:val="24"/>
      <w:u w:val="none"/>
    </w:rPr>
  </w:style>
  <w:style w:type="character" w:customStyle="1" w:styleId="75">
    <w:name w:val="font01"/>
    <w:basedOn w:val="25"/>
    <w:autoRedefine/>
    <w:qFormat/>
    <w:uiPriority w:val="0"/>
    <w:rPr>
      <w:rFonts w:ascii="Arial" w:hAnsi="Arial" w:cs="Arial"/>
      <w:color w:val="FF0000"/>
      <w:sz w:val="24"/>
      <w:szCs w:val="24"/>
      <w:u w:val="none"/>
    </w:rPr>
  </w:style>
  <w:style w:type="character" w:customStyle="1" w:styleId="76">
    <w:name w:val="font51"/>
    <w:basedOn w:val="25"/>
    <w:autoRedefine/>
    <w:qFormat/>
    <w:uiPriority w:val="0"/>
    <w:rPr>
      <w:rFonts w:hint="eastAsia" w:ascii="仿宋" w:hAnsi="仿宋" w:eastAsia="仿宋" w:cs="仿宋"/>
      <w:color w:val="000000"/>
      <w:sz w:val="24"/>
      <w:szCs w:val="24"/>
      <w:u w:val="none"/>
    </w:rPr>
  </w:style>
  <w:style w:type="character" w:customStyle="1" w:styleId="77">
    <w:name w:val="font61"/>
    <w:basedOn w:val="25"/>
    <w:autoRedefine/>
    <w:qFormat/>
    <w:uiPriority w:val="0"/>
    <w:rPr>
      <w:rFonts w:hint="default" w:ascii="Arial" w:hAnsi="Arial" w:cs="Arial"/>
      <w:color w:val="000000"/>
      <w:sz w:val="24"/>
      <w:szCs w:val="24"/>
      <w:u w:val="none"/>
    </w:rPr>
  </w:style>
  <w:style w:type="character" w:customStyle="1" w:styleId="78">
    <w:name w:val="font71"/>
    <w:basedOn w:val="25"/>
    <w:autoRedefine/>
    <w:qFormat/>
    <w:uiPriority w:val="0"/>
    <w:rPr>
      <w:rFonts w:hint="eastAsia" w:ascii="宋体" w:hAnsi="宋体" w:eastAsia="宋体" w:cs="宋体"/>
      <w:color w:val="000000"/>
      <w:sz w:val="24"/>
      <w:szCs w:val="24"/>
      <w:u w:val="none"/>
    </w:rPr>
  </w:style>
  <w:style w:type="character" w:customStyle="1" w:styleId="79">
    <w:name w:val="List Paragraph Char"/>
    <w:link w:val="80"/>
    <w:autoRedefine/>
    <w:qFormat/>
    <w:locked/>
    <w:uiPriority w:val="99"/>
    <w:rPr>
      <w:kern w:val="2"/>
      <w:sz w:val="24"/>
    </w:rPr>
  </w:style>
  <w:style w:type="paragraph" w:customStyle="1" w:styleId="80">
    <w:name w:val="列出段落2"/>
    <w:basedOn w:val="1"/>
    <w:link w:val="79"/>
    <w:autoRedefine/>
    <w:qFormat/>
    <w:uiPriority w:val="99"/>
    <w:pPr>
      <w:ind w:firstLine="420" w:firstLineChars="200"/>
    </w:pPr>
    <w:rPr>
      <w:rFonts w:ascii="Calibri" w:hAnsi="Calibri"/>
      <w:kern w:val="2"/>
      <w:sz w:val="24"/>
    </w:rPr>
  </w:style>
  <w:style w:type="paragraph" w:customStyle="1" w:styleId="81">
    <w:name w:val="标准正文格式"/>
    <w:autoRedefine/>
    <w:qFormat/>
    <w:uiPriority w:val="0"/>
    <w:pPr>
      <w:spacing w:before="60" w:after="120" w:line="360" w:lineRule="auto"/>
      <w:ind w:firstLine="200"/>
      <w:jc w:val="both"/>
    </w:pPr>
    <w:rPr>
      <w:rFonts w:ascii="宋体" w:hAnsi="宋体" w:eastAsia="宋体" w:cs="宋体"/>
      <w:color w:val="000000"/>
      <w:sz w:val="24"/>
      <w:szCs w:val="24"/>
      <w:u w:color="000000"/>
      <w:lang w:val="en-US" w:eastAsia="zh-CN" w:bidi="ar-SA"/>
    </w:rPr>
  </w:style>
  <w:style w:type="paragraph" w:customStyle="1" w:styleId="82">
    <w:name w:val="__正文"/>
    <w:basedOn w:val="1"/>
    <w:link w:val="83"/>
    <w:autoRedefine/>
    <w:qFormat/>
    <w:uiPriority w:val="99"/>
    <w:pPr>
      <w:widowControl/>
      <w:spacing w:line="360" w:lineRule="auto"/>
      <w:ind w:firstLine="200" w:firstLineChars="200"/>
      <w:jc w:val="left"/>
    </w:pPr>
    <w:rPr>
      <w:rFonts w:ascii="Calibri" w:hAnsi="Calibri"/>
      <w:kern w:val="2"/>
      <w:sz w:val="21"/>
      <w:szCs w:val="21"/>
    </w:rPr>
  </w:style>
  <w:style w:type="character" w:customStyle="1" w:styleId="83">
    <w:name w:val="__正文 Char"/>
    <w:link w:val="82"/>
    <w:autoRedefine/>
    <w:qFormat/>
    <w:locked/>
    <w:uiPriority w:val="99"/>
    <w:rPr>
      <w:kern w:val="2"/>
      <w:sz w:val="21"/>
      <w:szCs w:val="21"/>
    </w:rPr>
  </w:style>
  <w:style w:type="character" w:customStyle="1" w:styleId="84">
    <w:name w:val="font31"/>
    <w:basedOn w:val="25"/>
    <w:autoRedefine/>
    <w:qFormat/>
    <w:uiPriority w:val="0"/>
    <w:rPr>
      <w:rFonts w:hint="eastAsia" w:ascii="微软雅黑" w:hAnsi="微软雅黑" w:eastAsia="微软雅黑" w:cs="微软雅黑"/>
      <w:color w:val="000000"/>
      <w:sz w:val="24"/>
      <w:szCs w:val="24"/>
      <w:u w:val="none"/>
    </w:rPr>
  </w:style>
  <w:style w:type="character" w:customStyle="1" w:styleId="85">
    <w:name w:val="font21"/>
    <w:basedOn w:val="25"/>
    <w:autoRedefine/>
    <w:qFormat/>
    <w:uiPriority w:val="0"/>
    <w:rPr>
      <w:rFonts w:ascii="宋体" w:hAnsi="宋体" w:eastAsia="宋体" w:cs="宋体"/>
      <w:color w:val="000000"/>
      <w:sz w:val="24"/>
      <w:szCs w:val="24"/>
      <w:u w:val="none"/>
    </w:rPr>
  </w:style>
  <w:style w:type="character" w:customStyle="1" w:styleId="86">
    <w:name w:val="font81"/>
    <w:basedOn w:val="25"/>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42</Pages>
  <Words>21083</Words>
  <Characters>22642</Characters>
  <Lines>27</Lines>
  <Paragraphs>50</Paragraphs>
  <TotalTime>38</TotalTime>
  <ScaleCrop>false</ScaleCrop>
  <LinksUpToDate>false</LinksUpToDate>
  <CharactersWithSpaces>22968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2022-08-05T23:42:00Z</dcterms:created>
  <dc:creator>陈圣楠</dc:creator>
  <cp:lastModifiedBy>CJD</cp:lastModifiedBy>
  <cp:lastPrinted>2022-10-01T20:59:00Z</cp:lastPrinted>
  <dcterms:modified xsi:type="dcterms:W3CDTF">2024-03-29T03:21:31Z</dcterms:modified>
  <dc:title>浙江绍兴上虞人民调解服务标准化</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3F878E429A5F443D8000AC9E3273C517_13</vt:lpwstr>
  </property>
</Properties>
</file>