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tLeast"/>
        <w:jc w:val="center"/>
        <w:textAlignment w:val="auto"/>
        <w:rPr>
          <w:rFonts w:hint="eastAsia" w:ascii="黑体" w:hAnsi="黑体" w:eastAsia="黑体" w:cs="黑体"/>
          <w:b/>
          <w:color w:val="auto"/>
          <w:kern w:val="44"/>
          <w:sz w:val="24"/>
          <w:szCs w:val="24"/>
          <w:lang w:val="en-US" w:eastAsia="zh-CN" w:bidi="ar-SA"/>
        </w:rPr>
      </w:pPr>
      <w:bookmarkStart w:id="0" w:name="_Toc9389"/>
      <w:bookmarkStart w:id="1" w:name="_Toc5646"/>
      <w:r>
        <w:rPr>
          <w:rFonts w:hint="eastAsia" w:ascii="黑体" w:hAnsi="黑体" w:eastAsia="黑体" w:cs="黑体"/>
          <w:b/>
          <w:color w:val="auto"/>
          <w:kern w:val="44"/>
          <w:sz w:val="24"/>
          <w:szCs w:val="24"/>
          <w:lang w:val="en-US" w:eastAsia="zh-CN" w:bidi="ar-SA"/>
        </w:rPr>
        <w:t>第二部分   采购需求</w:t>
      </w:r>
    </w:p>
    <w:p>
      <w:pPr>
        <w:pStyle w:val="8"/>
        <w:ind w:left="0" w:leftChars="0" w:firstLine="0" w:firstLineChars="0"/>
        <w:rPr>
          <w:rFonts w:hint="eastAsia" w:ascii="黑体" w:hAnsi="黑体" w:eastAsia="黑体" w:cs="黑体"/>
          <w:b/>
          <w:color w:val="auto"/>
          <w:kern w:val="44"/>
          <w:sz w:val="24"/>
          <w:szCs w:val="24"/>
          <w:lang w:val="en-US" w:eastAsia="zh-CN" w:bidi="ar-SA"/>
        </w:rPr>
      </w:pPr>
      <w:r>
        <w:rPr>
          <w:rFonts w:hint="eastAsia" w:ascii="黑体" w:hAnsi="黑体" w:eastAsia="黑体" w:cs="黑体"/>
          <w:b/>
          <w:color w:val="auto"/>
          <w:kern w:val="44"/>
          <w:sz w:val="24"/>
          <w:szCs w:val="24"/>
          <w:lang w:val="en-US" w:eastAsia="zh-CN" w:bidi="ar-SA"/>
        </w:rPr>
        <w:t>1.项目概况</w:t>
      </w:r>
    </w:p>
    <w:p>
      <w:pPr>
        <w:rPr>
          <w:rFonts w:hint="default"/>
          <w:color w:val="auto"/>
          <w:lang w:val="en-US" w:eastAsia="zh-CN"/>
        </w:rPr>
      </w:pPr>
    </w:p>
    <w:bookmarkEnd w:id="0"/>
    <w:bookmarkEnd w:id="1"/>
    <w:p>
      <w:pPr>
        <w:pStyle w:val="2"/>
        <w:numPr>
          <w:ilvl w:val="0"/>
          <w:numId w:val="0"/>
        </w:numPr>
        <w:bidi w:val="0"/>
        <w:rPr>
          <w:rFonts w:hint="eastAsia" w:ascii="黑体" w:hAnsi="黑体" w:eastAsia="黑体" w:cs="黑体"/>
          <w:b/>
          <w:color w:val="auto"/>
          <w:kern w:val="44"/>
          <w:sz w:val="21"/>
          <w:szCs w:val="21"/>
          <w:lang w:val="en-US" w:eastAsia="zh-CN" w:bidi="ar-SA"/>
        </w:rPr>
      </w:pPr>
      <w:bookmarkStart w:id="2" w:name="_Toc17842"/>
      <w:r>
        <w:rPr>
          <w:rFonts w:hint="eastAsia" w:ascii="黑体" w:hAnsi="黑体" w:eastAsia="黑体" w:cs="黑体"/>
          <w:b/>
          <w:color w:val="auto"/>
          <w:kern w:val="44"/>
          <w:sz w:val="21"/>
          <w:szCs w:val="21"/>
          <w:lang w:val="en-US" w:eastAsia="zh-CN" w:bidi="ar-SA"/>
        </w:rPr>
        <w:t>2.采购清单</w:t>
      </w:r>
      <w:bookmarkEnd w:id="2"/>
    </w:p>
    <w:tbl>
      <w:tblPr>
        <w:tblStyle w:val="15"/>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920"/>
        <w:gridCol w:w="810"/>
        <w:gridCol w:w="1065"/>
        <w:gridCol w:w="660"/>
        <w:gridCol w:w="705"/>
        <w:gridCol w:w="735"/>
        <w:gridCol w:w="968"/>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hint="default" w:cs="宋体"/>
                <w:i w:val="0"/>
                <w:iCs w:val="0"/>
                <w:color w:val="auto"/>
                <w:kern w:val="0"/>
                <w:sz w:val="22"/>
                <w:szCs w:val="22"/>
                <w:u w:val="none"/>
                <w:lang w:val="en-US" w:eastAsia="zh-CN" w:bidi="ar"/>
              </w:rPr>
            </w:pPr>
            <w:r>
              <w:rPr>
                <w:rFonts w:hint="eastAsia" w:ascii="黑体" w:hAnsi="黑体" w:eastAsia="黑体" w:cs="黑体"/>
                <w:b/>
                <w:color w:val="auto"/>
                <w:kern w:val="44"/>
                <w:sz w:val="21"/>
                <w:szCs w:val="21"/>
                <w:vertAlign w:val="baseline"/>
                <w:lang w:val="en-US" w:eastAsia="zh-CN" w:bidi="ar-SA"/>
              </w:rPr>
              <w:t>序号</w:t>
            </w:r>
          </w:p>
        </w:tc>
        <w:tc>
          <w:tcPr>
            <w:tcW w:w="1920" w:type="dxa"/>
            <w:vAlign w:val="center"/>
          </w:tcPr>
          <w:p>
            <w:pPr>
              <w:jc w:val="center"/>
              <w:rPr>
                <w:rFonts w:hint="eastAsia" w:ascii="宋体" w:hAnsi="宋体" w:eastAsia="宋体" w:cs="宋体"/>
                <w:i w:val="0"/>
                <w:iCs w:val="0"/>
                <w:color w:val="auto"/>
                <w:kern w:val="0"/>
                <w:sz w:val="22"/>
                <w:szCs w:val="22"/>
                <w:u w:val="none"/>
                <w:lang w:val="en-US" w:eastAsia="zh-CN" w:bidi="ar"/>
              </w:rPr>
            </w:pPr>
            <w:r>
              <w:rPr>
                <w:rFonts w:hint="eastAsia" w:ascii="黑体" w:hAnsi="黑体" w:eastAsia="黑体" w:cs="黑体"/>
                <w:b/>
                <w:color w:val="auto"/>
                <w:kern w:val="44"/>
                <w:sz w:val="21"/>
                <w:szCs w:val="21"/>
                <w:vertAlign w:val="baseline"/>
                <w:lang w:val="en-US" w:eastAsia="zh-CN" w:bidi="ar-SA"/>
              </w:rPr>
              <w:t>名称</w:t>
            </w:r>
          </w:p>
        </w:tc>
        <w:tc>
          <w:tcPr>
            <w:tcW w:w="810" w:type="dxa"/>
            <w:vAlign w:val="center"/>
          </w:tcPr>
          <w:p>
            <w:pPr>
              <w:jc w:val="center"/>
              <w:rPr>
                <w:rFonts w:hint="default" w:ascii="黑体" w:hAnsi="黑体" w:eastAsia="黑体" w:cs="黑体"/>
                <w:b/>
                <w:color w:val="auto"/>
                <w:kern w:val="44"/>
                <w:sz w:val="21"/>
                <w:szCs w:val="21"/>
                <w:vertAlign w:val="baseline"/>
                <w:lang w:val="en-US" w:eastAsia="zh-CN" w:bidi="ar-SA"/>
              </w:rPr>
            </w:pPr>
            <w:r>
              <w:rPr>
                <w:rFonts w:hint="eastAsia" w:ascii="黑体" w:hAnsi="黑体" w:eastAsia="黑体" w:cs="黑体"/>
                <w:b/>
                <w:color w:val="auto"/>
                <w:kern w:val="44"/>
                <w:sz w:val="21"/>
                <w:szCs w:val="21"/>
                <w:vertAlign w:val="baseline"/>
                <w:lang w:val="en-US" w:eastAsia="zh-CN" w:bidi="ar-SA"/>
              </w:rPr>
              <w:t>品牌</w:t>
            </w:r>
          </w:p>
        </w:tc>
        <w:tc>
          <w:tcPr>
            <w:tcW w:w="1065" w:type="dxa"/>
            <w:vAlign w:val="center"/>
          </w:tcPr>
          <w:p>
            <w:pPr>
              <w:jc w:val="center"/>
              <w:rPr>
                <w:rFonts w:hint="default" w:ascii="黑体" w:hAnsi="黑体" w:eastAsia="黑体" w:cs="黑体"/>
                <w:b/>
                <w:color w:val="auto"/>
                <w:kern w:val="44"/>
                <w:sz w:val="21"/>
                <w:szCs w:val="21"/>
                <w:vertAlign w:val="baseline"/>
                <w:lang w:val="en-US" w:eastAsia="zh-CN" w:bidi="ar-SA"/>
              </w:rPr>
            </w:pPr>
            <w:r>
              <w:rPr>
                <w:rFonts w:hint="eastAsia" w:ascii="黑体" w:hAnsi="黑体" w:eastAsia="黑体" w:cs="黑体"/>
                <w:b/>
                <w:color w:val="auto"/>
                <w:kern w:val="44"/>
                <w:sz w:val="21"/>
                <w:szCs w:val="21"/>
                <w:vertAlign w:val="baseline"/>
                <w:lang w:val="en-US" w:eastAsia="zh-CN" w:bidi="ar-SA"/>
              </w:rPr>
              <w:t>型号</w:t>
            </w:r>
          </w:p>
        </w:tc>
        <w:tc>
          <w:tcPr>
            <w:tcW w:w="660" w:type="dxa"/>
            <w:vAlign w:val="center"/>
          </w:tcPr>
          <w:p>
            <w:pPr>
              <w:jc w:val="center"/>
              <w:rPr>
                <w:rFonts w:hint="eastAsia" w:ascii="宋体" w:hAnsi="宋体" w:eastAsia="宋体" w:cs="宋体"/>
                <w:i w:val="0"/>
                <w:iCs w:val="0"/>
                <w:color w:val="auto"/>
                <w:kern w:val="0"/>
                <w:sz w:val="22"/>
                <w:szCs w:val="22"/>
                <w:u w:val="none"/>
                <w:lang w:val="en-US" w:eastAsia="zh-CN" w:bidi="ar"/>
              </w:rPr>
            </w:pPr>
            <w:r>
              <w:rPr>
                <w:rFonts w:hint="eastAsia" w:ascii="黑体" w:hAnsi="黑体" w:eastAsia="黑体" w:cs="黑体"/>
                <w:b/>
                <w:color w:val="auto"/>
                <w:kern w:val="44"/>
                <w:sz w:val="21"/>
                <w:szCs w:val="21"/>
                <w:vertAlign w:val="baseline"/>
                <w:lang w:val="en-US" w:eastAsia="zh-CN" w:bidi="ar-SA"/>
              </w:rPr>
              <w:t>单位</w:t>
            </w:r>
          </w:p>
        </w:tc>
        <w:tc>
          <w:tcPr>
            <w:tcW w:w="705" w:type="dxa"/>
            <w:vAlign w:val="center"/>
          </w:tcPr>
          <w:p>
            <w:pPr>
              <w:jc w:val="center"/>
              <w:rPr>
                <w:rFonts w:hint="eastAsia" w:ascii="宋体" w:hAnsi="宋体" w:eastAsia="宋体" w:cs="宋体"/>
                <w:i w:val="0"/>
                <w:iCs w:val="0"/>
                <w:color w:val="auto"/>
                <w:kern w:val="0"/>
                <w:sz w:val="22"/>
                <w:szCs w:val="22"/>
                <w:u w:val="none"/>
                <w:lang w:val="en-US" w:eastAsia="zh-CN" w:bidi="ar"/>
              </w:rPr>
            </w:pPr>
            <w:r>
              <w:rPr>
                <w:rFonts w:hint="eastAsia" w:ascii="黑体" w:hAnsi="黑体" w:eastAsia="黑体" w:cs="黑体"/>
                <w:b/>
                <w:color w:val="auto"/>
                <w:kern w:val="44"/>
                <w:sz w:val="21"/>
                <w:szCs w:val="21"/>
                <w:vertAlign w:val="baseline"/>
                <w:lang w:val="en-US" w:eastAsia="zh-CN" w:bidi="ar-SA"/>
              </w:rPr>
              <w:t>数量</w:t>
            </w:r>
          </w:p>
        </w:tc>
        <w:tc>
          <w:tcPr>
            <w:tcW w:w="735" w:type="dxa"/>
            <w:vAlign w:val="center"/>
          </w:tcPr>
          <w:p>
            <w:pPr>
              <w:jc w:val="center"/>
              <w:rPr>
                <w:rFonts w:hint="eastAsia" w:ascii="宋体" w:hAnsi="宋体" w:eastAsia="宋体" w:cs="宋体"/>
                <w:i w:val="0"/>
                <w:iCs w:val="0"/>
                <w:color w:val="auto"/>
                <w:kern w:val="0"/>
                <w:sz w:val="22"/>
                <w:szCs w:val="22"/>
                <w:u w:val="none"/>
                <w:lang w:val="en-US" w:eastAsia="zh-CN" w:bidi="ar"/>
              </w:rPr>
            </w:pPr>
            <w:r>
              <w:rPr>
                <w:rFonts w:hint="eastAsia" w:ascii="黑体" w:hAnsi="黑体" w:eastAsia="黑体" w:cs="黑体"/>
                <w:b/>
                <w:color w:val="auto"/>
                <w:kern w:val="44"/>
                <w:sz w:val="21"/>
                <w:szCs w:val="21"/>
                <w:vertAlign w:val="baseline"/>
                <w:lang w:val="en-US" w:eastAsia="zh-CN" w:bidi="ar-SA"/>
              </w:rPr>
              <w:t>单价</w:t>
            </w:r>
          </w:p>
        </w:tc>
        <w:tc>
          <w:tcPr>
            <w:tcW w:w="968" w:type="dxa"/>
            <w:vAlign w:val="center"/>
          </w:tcPr>
          <w:p>
            <w:pPr>
              <w:jc w:val="center"/>
              <w:rPr>
                <w:rFonts w:hint="eastAsia" w:ascii="宋体" w:hAnsi="宋体" w:eastAsia="宋体" w:cs="宋体"/>
                <w:i w:val="0"/>
                <w:iCs w:val="0"/>
                <w:color w:val="auto"/>
                <w:kern w:val="0"/>
                <w:sz w:val="22"/>
                <w:szCs w:val="22"/>
                <w:u w:val="none"/>
                <w:lang w:val="en-US" w:eastAsia="zh-CN" w:bidi="ar"/>
              </w:rPr>
            </w:pPr>
            <w:r>
              <w:rPr>
                <w:rFonts w:hint="eastAsia" w:ascii="黑体" w:hAnsi="黑体" w:eastAsia="黑体" w:cs="黑体"/>
                <w:b/>
                <w:color w:val="auto"/>
                <w:kern w:val="44"/>
                <w:sz w:val="21"/>
                <w:szCs w:val="21"/>
                <w:vertAlign w:val="baseline"/>
                <w:lang w:val="en-US" w:eastAsia="zh-CN" w:bidi="ar-SA"/>
              </w:rPr>
              <w:t>金额</w:t>
            </w:r>
          </w:p>
        </w:tc>
        <w:tc>
          <w:tcPr>
            <w:tcW w:w="2499" w:type="dxa"/>
            <w:vAlign w:val="center"/>
          </w:tcPr>
          <w:p>
            <w:pPr>
              <w:jc w:val="center"/>
              <w:rPr>
                <w:rFonts w:hint="default" w:ascii="黑体" w:hAnsi="黑体" w:eastAsia="黑体" w:cs="黑体"/>
                <w:b/>
                <w:color w:val="auto"/>
                <w:kern w:val="44"/>
                <w:sz w:val="21"/>
                <w:szCs w:val="21"/>
                <w:vertAlign w:val="baseline"/>
                <w:lang w:val="en-US" w:eastAsia="zh-CN" w:bidi="ar-SA"/>
              </w:rPr>
            </w:pPr>
            <w:r>
              <w:rPr>
                <w:rFonts w:hint="eastAsia" w:ascii="黑体" w:hAnsi="黑体" w:eastAsia="黑体" w:cs="黑体"/>
                <w:b/>
                <w:color w:val="auto"/>
                <w:kern w:val="44"/>
                <w:sz w:val="21"/>
                <w:szCs w:val="21"/>
                <w:vertAlign w:val="baseline"/>
                <w:lang w:val="en-US" w:eastAsia="zh-CN" w:bidi="ar-SA"/>
              </w:rPr>
              <w:t>政采云链接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default" w:cs="宋体"/>
                <w:i w:val="0"/>
                <w:iCs w:val="0"/>
                <w:color w:val="auto"/>
                <w:kern w:val="0"/>
                <w:sz w:val="22"/>
                <w:szCs w:val="22"/>
                <w:u w:val="none"/>
                <w:lang w:val="en-US" w:eastAsia="zh-CN" w:bidi="ar"/>
              </w:rPr>
              <w:t>1</w:t>
            </w:r>
          </w:p>
        </w:tc>
        <w:tc>
          <w:tcPr>
            <w:tcW w:w="1920"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瓜子片</w:t>
            </w:r>
          </w:p>
        </w:tc>
        <w:tc>
          <w:tcPr>
            <w:tcW w:w="81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康城</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KC-G10</w:t>
            </w:r>
          </w:p>
        </w:tc>
        <w:tc>
          <w:tcPr>
            <w:tcW w:w="660"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立方</w:t>
            </w:r>
          </w:p>
        </w:tc>
        <w:tc>
          <w:tcPr>
            <w:tcW w:w="705"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45</w:t>
            </w:r>
          </w:p>
        </w:tc>
        <w:tc>
          <w:tcPr>
            <w:tcW w:w="735"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200</w:t>
            </w:r>
          </w:p>
        </w:tc>
        <w:tc>
          <w:tcPr>
            <w:tcW w:w="968"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9000</w:t>
            </w:r>
          </w:p>
        </w:tc>
        <w:tc>
          <w:tcPr>
            <w:tcW w:w="249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default" w:cs="宋体"/>
                <w:i w:val="0"/>
                <w:iCs w:val="0"/>
                <w:color w:val="auto"/>
                <w:kern w:val="0"/>
                <w:sz w:val="22"/>
                <w:szCs w:val="22"/>
                <w:u w:val="none"/>
                <w:lang w:val="en-US" w:eastAsia="zh-CN" w:bidi="ar"/>
              </w:rPr>
              <w:t>2</w:t>
            </w:r>
          </w:p>
        </w:tc>
        <w:tc>
          <w:tcPr>
            <w:tcW w:w="1920"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异型花岗岩汀步</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康城</w:t>
            </w:r>
          </w:p>
        </w:tc>
        <w:tc>
          <w:tcPr>
            <w:tcW w:w="106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KC-</w:t>
            </w:r>
            <w:r>
              <w:rPr>
                <w:rFonts w:hint="eastAsia" w:cs="宋体"/>
                <w:i w:val="0"/>
                <w:iCs w:val="0"/>
                <w:color w:val="auto"/>
                <w:kern w:val="0"/>
                <w:sz w:val="22"/>
                <w:szCs w:val="22"/>
                <w:u w:val="none"/>
                <w:lang w:val="en-US" w:eastAsia="zh-CN" w:bidi="ar"/>
              </w:rPr>
              <w:t>Y31</w:t>
            </w:r>
          </w:p>
        </w:tc>
        <w:tc>
          <w:tcPr>
            <w:tcW w:w="660"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块</w:t>
            </w:r>
          </w:p>
        </w:tc>
        <w:tc>
          <w:tcPr>
            <w:tcW w:w="705"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200</w:t>
            </w:r>
          </w:p>
        </w:tc>
        <w:tc>
          <w:tcPr>
            <w:tcW w:w="735"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100</w:t>
            </w:r>
          </w:p>
        </w:tc>
        <w:tc>
          <w:tcPr>
            <w:tcW w:w="968"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20000</w:t>
            </w:r>
          </w:p>
        </w:tc>
        <w:tc>
          <w:tcPr>
            <w:tcW w:w="249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default" w:cs="宋体"/>
                <w:i w:val="0"/>
                <w:iCs w:val="0"/>
                <w:color w:val="auto"/>
                <w:kern w:val="0"/>
                <w:sz w:val="22"/>
                <w:szCs w:val="22"/>
                <w:u w:val="none"/>
                <w:lang w:val="en-US" w:eastAsia="zh-CN" w:bidi="ar"/>
              </w:rPr>
              <w:t>3</w:t>
            </w:r>
          </w:p>
        </w:tc>
        <w:tc>
          <w:tcPr>
            <w:tcW w:w="1920"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盆景操作台</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康城</w:t>
            </w:r>
          </w:p>
        </w:tc>
        <w:tc>
          <w:tcPr>
            <w:tcW w:w="106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KC-</w:t>
            </w:r>
            <w:r>
              <w:rPr>
                <w:rFonts w:hint="eastAsia" w:cs="宋体"/>
                <w:i w:val="0"/>
                <w:iCs w:val="0"/>
                <w:color w:val="auto"/>
                <w:kern w:val="0"/>
                <w:sz w:val="22"/>
                <w:szCs w:val="22"/>
                <w:u w:val="none"/>
                <w:lang w:val="en-US" w:eastAsia="zh-CN" w:bidi="ar"/>
              </w:rPr>
              <w:t>P55</w:t>
            </w:r>
          </w:p>
        </w:tc>
        <w:tc>
          <w:tcPr>
            <w:tcW w:w="660"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705"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10</w:t>
            </w:r>
          </w:p>
        </w:tc>
        <w:tc>
          <w:tcPr>
            <w:tcW w:w="735"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1600</w:t>
            </w:r>
          </w:p>
        </w:tc>
        <w:tc>
          <w:tcPr>
            <w:tcW w:w="968"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16000</w:t>
            </w:r>
          </w:p>
        </w:tc>
        <w:tc>
          <w:tcPr>
            <w:tcW w:w="249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default" w:cs="宋体"/>
                <w:i w:val="0"/>
                <w:iCs w:val="0"/>
                <w:color w:val="auto"/>
                <w:kern w:val="0"/>
                <w:sz w:val="22"/>
                <w:szCs w:val="22"/>
                <w:u w:val="none"/>
                <w:lang w:val="en-US" w:eastAsia="zh-CN" w:bidi="ar"/>
              </w:rPr>
              <w:t>4</w:t>
            </w:r>
          </w:p>
        </w:tc>
        <w:tc>
          <w:tcPr>
            <w:tcW w:w="1920"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太湖石景观石</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康城</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KC-P27</w:t>
            </w:r>
          </w:p>
        </w:tc>
        <w:tc>
          <w:tcPr>
            <w:tcW w:w="660"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块</w:t>
            </w:r>
          </w:p>
        </w:tc>
        <w:tc>
          <w:tcPr>
            <w:tcW w:w="705"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10</w:t>
            </w:r>
          </w:p>
        </w:tc>
        <w:tc>
          <w:tcPr>
            <w:tcW w:w="735"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968"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5000</w:t>
            </w:r>
          </w:p>
        </w:tc>
        <w:tc>
          <w:tcPr>
            <w:tcW w:w="249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default" w:cs="宋体"/>
                <w:i w:val="0"/>
                <w:iCs w:val="0"/>
                <w:color w:val="auto"/>
                <w:kern w:val="0"/>
                <w:sz w:val="22"/>
                <w:szCs w:val="22"/>
                <w:u w:val="none"/>
                <w:lang w:val="en-US" w:eastAsia="zh-CN" w:bidi="ar"/>
              </w:rPr>
              <w:t>5</w:t>
            </w:r>
          </w:p>
        </w:tc>
        <w:tc>
          <w:tcPr>
            <w:tcW w:w="1920"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栽培基质</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康城</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KC-jz27</w:t>
            </w:r>
          </w:p>
        </w:tc>
        <w:tc>
          <w:tcPr>
            <w:tcW w:w="660"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袋</w:t>
            </w:r>
          </w:p>
        </w:tc>
        <w:tc>
          <w:tcPr>
            <w:tcW w:w="705"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150</w:t>
            </w:r>
          </w:p>
        </w:tc>
        <w:tc>
          <w:tcPr>
            <w:tcW w:w="735"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28</w:t>
            </w:r>
          </w:p>
        </w:tc>
        <w:tc>
          <w:tcPr>
            <w:tcW w:w="968"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4200</w:t>
            </w:r>
          </w:p>
        </w:tc>
        <w:tc>
          <w:tcPr>
            <w:tcW w:w="249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default" w:cs="宋体"/>
                <w:i w:val="0"/>
                <w:iCs w:val="0"/>
                <w:color w:val="auto"/>
                <w:kern w:val="0"/>
                <w:sz w:val="22"/>
                <w:szCs w:val="22"/>
                <w:u w:val="none"/>
                <w:lang w:val="en-US" w:eastAsia="zh-CN" w:bidi="ar"/>
              </w:rPr>
              <w:t>6</w:t>
            </w:r>
          </w:p>
        </w:tc>
        <w:tc>
          <w:tcPr>
            <w:tcW w:w="1920"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育苗基质</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康城</w:t>
            </w:r>
          </w:p>
        </w:tc>
        <w:tc>
          <w:tcPr>
            <w:tcW w:w="10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KC-jz</w:t>
            </w:r>
            <w:r>
              <w:rPr>
                <w:rFonts w:hint="eastAsia" w:cs="宋体"/>
                <w:i w:val="0"/>
                <w:iCs w:val="0"/>
                <w:color w:val="auto"/>
                <w:kern w:val="0"/>
                <w:sz w:val="22"/>
                <w:szCs w:val="22"/>
                <w:u w:val="none"/>
                <w:lang w:val="en-US" w:eastAsia="zh-CN" w:bidi="ar"/>
              </w:rPr>
              <w:t>11</w:t>
            </w:r>
          </w:p>
        </w:tc>
        <w:tc>
          <w:tcPr>
            <w:tcW w:w="660"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袋</w:t>
            </w:r>
          </w:p>
        </w:tc>
        <w:tc>
          <w:tcPr>
            <w:tcW w:w="705"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300</w:t>
            </w:r>
          </w:p>
        </w:tc>
        <w:tc>
          <w:tcPr>
            <w:tcW w:w="735"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25</w:t>
            </w:r>
          </w:p>
        </w:tc>
        <w:tc>
          <w:tcPr>
            <w:tcW w:w="968"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7500</w:t>
            </w:r>
          </w:p>
        </w:tc>
        <w:tc>
          <w:tcPr>
            <w:tcW w:w="249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合计</w:t>
            </w:r>
          </w:p>
        </w:tc>
        <w:tc>
          <w:tcPr>
            <w:tcW w:w="6863" w:type="dxa"/>
            <w:gridSpan w:val="7"/>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default" w:cs="宋体"/>
                <w:i w:val="0"/>
                <w:iCs w:val="0"/>
                <w:color w:val="auto"/>
                <w:kern w:val="0"/>
                <w:sz w:val="22"/>
                <w:szCs w:val="22"/>
                <w:u w:val="none"/>
                <w:lang w:val="en-US" w:eastAsia="zh-CN" w:bidi="ar"/>
              </w:rPr>
              <w:t>61700</w:t>
            </w:r>
            <w:r>
              <w:rPr>
                <w:rFonts w:hint="eastAsia" w:cs="宋体"/>
                <w:i w:val="0"/>
                <w:iCs w:val="0"/>
                <w:color w:val="auto"/>
                <w:kern w:val="0"/>
                <w:sz w:val="22"/>
                <w:szCs w:val="22"/>
                <w:u w:val="none"/>
                <w:lang w:val="en-US" w:eastAsia="zh-CN" w:bidi="ar"/>
              </w:rPr>
              <w:t>元</w:t>
            </w:r>
          </w:p>
        </w:tc>
        <w:tc>
          <w:tcPr>
            <w:tcW w:w="2499" w:type="dxa"/>
            <w:vAlign w:val="center"/>
          </w:tcPr>
          <w:p>
            <w:pPr>
              <w:keepNext w:val="0"/>
              <w:keepLines w:val="0"/>
              <w:widowControl/>
              <w:suppressLineNumbers w:val="0"/>
              <w:jc w:val="left"/>
              <w:textAlignment w:val="center"/>
              <w:rPr>
                <w:rFonts w:hint="default" w:cs="宋体"/>
                <w:i w:val="0"/>
                <w:iCs w:val="0"/>
                <w:color w:val="auto"/>
                <w:kern w:val="0"/>
                <w:sz w:val="22"/>
                <w:szCs w:val="22"/>
                <w:u w:val="none"/>
                <w:lang w:val="en-US" w:eastAsia="zh-CN" w:bidi="ar"/>
              </w:rPr>
            </w:pPr>
          </w:p>
        </w:tc>
      </w:tr>
    </w:tbl>
    <w:p>
      <w:pPr>
        <w:rPr>
          <w:rFonts w:hint="eastAsia" w:ascii="黑体" w:hAnsi="黑体" w:eastAsia="黑体" w:cs="黑体"/>
          <w:b/>
          <w:color w:val="auto"/>
          <w:kern w:val="44"/>
          <w:sz w:val="21"/>
          <w:szCs w:val="21"/>
          <w:lang w:val="en-US" w:eastAsia="zh-CN" w:bidi="ar-SA"/>
        </w:rPr>
      </w:pPr>
      <w:r>
        <w:rPr>
          <w:rFonts w:hint="eastAsia" w:ascii="黑体" w:hAnsi="黑体" w:eastAsia="黑体" w:cs="黑体"/>
          <w:b/>
          <w:color w:val="auto"/>
          <w:kern w:val="44"/>
          <w:sz w:val="21"/>
          <w:szCs w:val="21"/>
          <w:lang w:val="en-US" w:eastAsia="zh-CN" w:bidi="ar-SA"/>
        </w:rPr>
        <w:br w:type="page"/>
      </w:r>
      <w:bookmarkStart w:id="3" w:name="_GoBack"/>
      <w:bookmarkEnd w:id="3"/>
    </w:p>
    <w:p>
      <w:pPr>
        <w:widowControl/>
        <w:jc w:val="left"/>
        <w:rPr>
          <w:rFonts w:hint="eastAsia" w:ascii="黑体" w:hAnsi="黑体" w:eastAsia="黑体" w:cs="黑体"/>
          <w:color w:val="auto"/>
          <w:sz w:val="21"/>
          <w:szCs w:val="21"/>
          <w:lang w:val="en-US" w:eastAsia="zh-CN"/>
        </w:rPr>
      </w:pPr>
      <w:r>
        <w:rPr>
          <w:rFonts w:hint="eastAsia" w:ascii="黑体" w:hAnsi="黑体" w:eastAsia="黑体" w:cs="黑体"/>
          <w:b/>
          <w:color w:val="auto"/>
          <w:kern w:val="44"/>
          <w:sz w:val="21"/>
          <w:szCs w:val="21"/>
          <w:lang w:val="en-US" w:eastAsia="zh-CN" w:bidi="ar-SA"/>
        </w:rPr>
        <w:t>3.技术参数</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521"/>
        <w:gridCol w:w="5635"/>
        <w:gridCol w:w="708"/>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pPr>
              <w:jc w:val="center"/>
              <w:rPr>
                <w:rFonts w:hint="default" w:ascii="黑体" w:hAnsi="黑体" w:eastAsia="黑体" w:cs="黑体"/>
                <w:b/>
                <w:color w:val="auto"/>
                <w:kern w:val="44"/>
                <w:sz w:val="21"/>
                <w:szCs w:val="21"/>
                <w:vertAlign w:val="baseline"/>
                <w:lang w:val="en-US" w:eastAsia="zh-CN" w:bidi="ar-SA"/>
              </w:rPr>
            </w:pPr>
            <w:r>
              <w:rPr>
                <w:rFonts w:hint="eastAsia" w:ascii="黑体" w:hAnsi="黑体" w:eastAsia="黑体" w:cs="黑体"/>
                <w:b/>
                <w:color w:val="auto"/>
                <w:kern w:val="44"/>
                <w:sz w:val="21"/>
                <w:szCs w:val="21"/>
                <w:vertAlign w:val="baseline"/>
                <w:lang w:val="en-US" w:eastAsia="zh-CN" w:bidi="ar-SA"/>
              </w:rPr>
              <w:t>序号</w:t>
            </w:r>
          </w:p>
        </w:tc>
        <w:tc>
          <w:tcPr>
            <w:tcW w:w="1521" w:type="dxa"/>
            <w:vAlign w:val="center"/>
          </w:tcPr>
          <w:p>
            <w:pPr>
              <w:jc w:val="center"/>
              <w:rPr>
                <w:rFonts w:hint="default" w:ascii="黑体" w:hAnsi="黑体" w:eastAsia="黑体" w:cs="黑体"/>
                <w:b/>
                <w:color w:val="auto"/>
                <w:kern w:val="44"/>
                <w:sz w:val="21"/>
                <w:szCs w:val="21"/>
                <w:vertAlign w:val="baseline"/>
                <w:lang w:val="en-US" w:eastAsia="zh-CN" w:bidi="ar-SA"/>
              </w:rPr>
            </w:pPr>
            <w:r>
              <w:rPr>
                <w:rFonts w:hint="eastAsia" w:ascii="黑体" w:hAnsi="黑体" w:eastAsia="黑体" w:cs="黑体"/>
                <w:b/>
                <w:color w:val="auto"/>
                <w:kern w:val="44"/>
                <w:sz w:val="21"/>
                <w:szCs w:val="21"/>
                <w:vertAlign w:val="baseline"/>
                <w:lang w:val="en-US" w:eastAsia="zh-CN" w:bidi="ar-SA"/>
              </w:rPr>
              <w:t>名称</w:t>
            </w:r>
          </w:p>
        </w:tc>
        <w:tc>
          <w:tcPr>
            <w:tcW w:w="5635" w:type="dxa"/>
            <w:vAlign w:val="center"/>
          </w:tcPr>
          <w:p>
            <w:pPr>
              <w:jc w:val="center"/>
              <w:rPr>
                <w:rFonts w:hint="default" w:ascii="黑体" w:hAnsi="黑体" w:eastAsia="黑体" w:cs="黑体"/>
                <w:b/>
                <w:color w:val="auto"/>
                <w:kern w:val="44"/>
                <w:sz w:val="21"/>
                <w:szCs w:val="21"/>
                <w:vertAlign w:val="baseline"/>
                <w:lang w:val="en-US" w:eastAsia="zh-CN" w:bidi="ar-SA"/>
              </w:rPr>
            </w:pPr>
            <w:r>
              <w:rPr>
                <w:rFonts w:hint="eastAsia" w:ascii="黑体" w:hAnsi="黑体" w:eastAsia="黑体" w:cs="黑体"/>
                <w:b/>
                <w:color w:val="auto"/>
                <w:kern w:val="44"/>
                <w:sz w:val="21"/>
                <w:szCs w:val="21"/>
                <w:vertAlign w:val="baseline"/>
                <w:lang w:val="en-US" w:eastAsia="zh-CN" w:bidi="ar-SA"/>
              </w:rPr>
              <w:t>技术参数</w:t>
            </w:r>
          </w:p>
        </w:tc>
        <w:tc>
          <w:tcPr>
            <w:tcW w:w="708" w:type="dxa"/>
            <w:vAlign w:val="center"/>
          </w:tcPr>
          <w:p>
            <w:pPr>
              <w:jc w:val="center"/>
              <w:rPr>
                <w:rFonts w:hint="default" w:ascii="黑体" w:hAnsi="黑体" w:eastAsia="黑体" w:cs="黑体"/>
                <w:b/>
                <w:color w:val="auto"/>
                <w:kern w:val="44"/>
                <w:sz w:val="21"/>
                <w:szCs w:val="21"/>
                <w:vertAlign w:val="baseline"/>
                <w:lang w:val="en-US" w:eastAsia="zh-CN" w:bidi="ar-SA"/>
              </w:rPr>
            </w:pPr>
            <w:r>
              <w:rPr>
                <w:rFonts w:hint="eastAsia" w:ascii="黑体" w:hAnsi="黑体" w:eastAsia="黑体" w:cs="黑体"/>
                <w:b/>
                <w:color w:val="auto"/>
                <w:kern w:val="44"/>
                <w:sz w:val="21"/>
                <w:szCs w:val="21"/>
                <w:vertAlign w:val="baseline"/>
                <w:lang w:val="en-US" w:eastAsia="zh-CN" w:bidi="ar-SA"/>
              </w:rPr>
              <w:t>单位</w:t>
            </w:r>
          </w:p>
        </w:tc>
        <w:tc>
          <w:tcPr>
            <w:tcW w:w="1032" w:type="dxa"/>
            <w:vAlign w:val="center"/>
          </w:tcPr>
          <w:p>
            <w:pPr>
              <w:jc w:val="center"/>
              <w:rPr>
                <w:rFonts w:hint="default" w:ascii="黑体" w:hAnsi="黑体" w:eastAsia="黑体" w:cs="黑体"/>
                <w:b/>
                <w:color w:val="auto"/>
                <w:kern w:val="44"/>
                <w:sz w:val="21"/>
                <w:szCs w:val="21"/>
                <w:vertAlign w:val="baseline"/>
                <w:lang w:val="en-US" w:eastAsia="zh-CN" w:bidi="ar-SA"/>
              </w:rPr>
            </w:pPr>
            <w:r>
              <w:rPr>
                <w:rFonts w:hint="eastAsia" w:ascii="黑体" w:hAnsi="黑体" w:eastAsia="黑体" w:cs="黑体"/>
                <w:b/>
                <w:color w:val="auto"/>
                <w:kern w:val="44"/>
                <w:sz w:val="21"/>
                <w:szCs w:val="21"/>
                <w:vertAlign w:val="baseline"/>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pPr>
              <w:keepNext w:val="0"/>
              <w:keepLines w:val="0"/>
              <w:widowControl/>
              <w:suppressLineNumbers w:val="0"/>
              <w:jc w:val="center"/>
              <w:textAlignment w:val="center"/>
              <w:rPr>
                <w:rFonts w:hint="default" w:ascii="黑体" w:hAnsi="黑体" w:eastAsia="黑体" w:cs="黑体"/>
                <w:b/>
                <w:color w:val="auto"/>
                <w:kern w:val="44"/>
                <w:sz w:val="21"/>
                <w:szCs w:val="21"/>
                <w:vertAlign w:val="baseline"/>
                <w:lang w:val="en-US" w:eastAsia="zh-CN" w:bidi="ar-SA"/>
              </w:rPr>
            </w:pPr>
            <w:r>
              <w:rPr>
                <w:rFonts w:hint="default" w:cs="宋体"/>
                <w:i w:val="0"/>
                <w:iCs w:val="0"/>
                <w:color w:val="auto"/>
                <w:kern w:val="0"/>
                <w:sz w:val="22"/>
                <w:szCs w:val="22"/>
                <w:u w:val="none"/>
                <w:lang w:val="en-US" w:eastAsia="zh-CN" w:bidi="ar"/>
              </w:rPr>
              <w:t>1</w:t>
            </w:r>
          </w:p>
        </w:tc>
        <w:tc>
          <w:tcPr>
            <w:tcW w:w="1521"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瓜子片</w:t>
            </w:r>
          </w:p>
        </w:tc>
        <w:tc>
          <w:tcPr>
            <w:tcW w:w="5635" w:type="dxa"/>
            <w:vAlign w:val="center"/>
          </w:tcPr>
          <w:p>
            <w:pPr>
              <w:keepNext w:val="0"/>
              <w:keepLines w:val="0"/>
              <w:widowControl/>
              <w:suppressLineNumbers w:val="0"/>
              <w:jc w:val="left"/>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粒径10-12mm；堆积密度≥1500千克/立方米；压碎值≤30%；含泥量≤0.05%；PH值7-8。并提供原石来源信息。</w:t>
            </w:r>
          </w:p>
        </w:tc>
        <w:tc>
          <w:tcPr>
            <w:tcW w:w="708"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立方</w:t>
            </w:r>
          </w:p>
        </w:tc>
        <w:tc>
          <w:tcPr>
            <w:tcW w:w="1032"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pPr>
              <w:keepNext w:val="0"/>
              <w:keepLines w:val="0"/>
              <w:widowControl/>
              <w:suppressLineNumbers w:val="0"/>
              <w:jc w:val="center"/>
              <w:textAlignment w:val="center"/>
              <w:rPr>
                <w:rFonts w:hint="default" w:ascii="黑体" w:hAnsi="黑体" w:eastAsia="黑体" w:cs="黑体"/>
                <w:b/>
                <w:color w:val="auto"/>
                <w:kern w:val="44"/>
                <w:sz w:val="21"/>
                <w:szCs w:val="21"/>
                <w:vertAlign w:val="baseline"/>
                <w:lang w:val="en-US" w:eastAsia="zh-CN" w:bidi="ar-SA"/>
              </w:rPr>
            </w:pPr>
            <w:r>
              <w:rPr>
                <w:rFonts w:hint="default" w:cs="宋体"/>
                <w:i w:val="0"/>
                <w:iCs w:val="0"/>
                <w:color w:val="auto"/>
                <w:kern w:val="0"/>
                <w:sz w:val="22"/>
                <w:szCs w:val="22"/>
                <w:u w:val="none"/>
                <w:lang w:val="en-US" w:eastAsia="zh-CN" w:bidi="ar"/>
              </w:rPr>
              <w:t>2</w:t>
            </w:r>
          </w:p>
        </w:tc>
        <w:tc>
          <w:tcPr>
            <w:tcW w:w="1521"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异型花岗岩汀步</w:t>
            </w:r>
          </w:p>
        </w:tc>
        <w:tc>
          <w:tcPr>
            <w:tcW w:w="5635" w:type="dxa"/>
            <w:vAlign w:val="center"/>
          </w:tcPr>
          <w:p>
            <w:pPr>
              <w:keepNext w:val="0"/>
              <w:keepLines w:val="0"/>
              <w:widowControl/>
              <w:suppressLineNumbers w:val="0"/>
              <w:jc w:val="left"/>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材质：做旧花岗岩石板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歩长115cm、歩宽67cm、歩厚8.5cm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抗压强度≥265Mpa;材料密度≥2.7g/立方厘米；吸水率≥0.5%；表面机切处理；其中100块荔枝面处理。</w:t>
            </w:r>
          </w:p>
        </w:tc>
        <w:tc>
          <w:tcPr>
            <w:tcW w:w="708"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块</w:t>
            </w:r>
          </w:p>
        </w:tc>
        <w:tc>
          <w:tcPr>
            <w:tcW w:w="1032"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default" w:cs="宋体"/>
                <w:i w:val="0"/>
                <w:iCs w:val="0"/>
                <w:color w:val="auto"/>
                <w:kern w:val="0"/>
                <w:sz w:val="22"/>
                <w:szCs w:val="22"/>
                <w:u w:val="none"/>
                <w:lang w:val="en-US" w:eastAsia="zh-CN" w:bidi="ar"/>
              </w:rPr>
              <w:t>3</w:t>
            </w:r>
          </w:p>
        </w:tc>
        <w:tc>
          <w:tcPr>
            <w:tcW w:w="1521"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盆景操作台</w:t>
            </w:r>
          </w:p>
        </w:tc>
        <w:tc>
          <w:tcPr>
            <w:tcW w:w="5635" w:type="dxa"/>
            <w:vAlign w:val="center"/>
          </w:tcPr>
          <w:p>
            <w:pPr>
              <w:keepNext w:val="0"/>
              <w:keepLines w:val="0"/>
              <w:widowControl/>
              <w:suppressLineNumbers w:val="0"/>
              <w:jc w:val="left"/>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1、规格：160*80*70cm；厚度≥5cm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2、材质：天然花岗岩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3、其他要求：双层储物空间隔板。</w:t>
            </w:r>
          </w:p>
        </w:tc>
        <w:tc>
          <w:tcPr>
            <w:tcW w:w="708"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1032"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default" w:cs="宋体"/>
                <w:i w:val="0"/>
                <w:iCs w:val="0"/>
                <w:color w:val="auto"/>
                <w:kern w:val="0"/>
                <w:sz w:val="22"/>
                <w:szCs w:val="22"/>
                <w:u w:val="none"/>
                <w:lang w:val="en-US" w:eastAsia="zh-CN" w:bidi="ar"/>
              </w:rPr>
              <w:t>4</w:t>
            </w:r>
          </w:p>
        </w:tc>
        <w:tc>
          <w:tcPr>
            <w:tcW w:w="1521"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太湖石景观石</w:t>
            </w:r>
          </w:p>
        </w:tc>
        <w:tc>
          <w:tcPr>
            <w:tcW w:w="5635" w:type="dxa"/>
            <w:vAlign w:val="center"/>
          </w:tcPr>
          <w:p>
            <w:pPr>
              <w:keepNext w:val="0"/>
              <w:keepLines w:val="0"/>
              <w:widowControl/>
              <w:suppressLineNumbers w:val="0"/>
              <w:jc w:val="left"/>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造型人工料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造型要求为“瘦、皱、漏”；石质光洁度≥98%；颜色为青黑色带白纹；纹理要求沟壑交错。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石材外径≥150*250*200cm</w:t>
            </w:r>
          </w:p>
        </w:tc>
        <w:tc>
          <w:tcPr>
            <w:tcW w:w="708"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块</w:t>
            </w:r>
          </w:p>
        </w:tc>
        <w:tc>
          <w:tcPr>
            <w:tcW w:w="1032"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default" w:cs="宋体"/>
                <w:i w:val="0"/>
                <w:iCs w:val="0"/>
                <w:color w:val="auto"/>
                <w:kern w:val="0"/>
                <w:sz w:val="22"/>
                <w:szCs w:val="22"/>
                <w:u w:val="none"/>
                <w:lang w:val="en-US" w:eastAsia="zh-CN" w:bidi="ar"/>
              </w:rPr>
              <w:t>5</w:t>
            </w:r>
          </w:p>
        </w:tc>
        <w:tc>
          <w:tcPr>
            <w:tcW w:w="1521"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栽培基质</w:t>
            </w:r>
          </w:p>
        </w:tc>
        <w:tc>
          <w:tcPr>
            <w:tcW w:w="5635" w:type="dxa"/>
            <w:vAlign w:val="center"/>
          </w:tcPr>
          <w:p>
            <w:pPr>
              <w:keepNext w:val="0"/>
              <w:keepLines w:val="0"/>
              <w:widowControl/>
              <w:suppressLineNumbers w:val="0"/>
              <w:jc w:val="left"/>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优质栽培基质，50L/袋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总孔隙度≥85%，容重0.25-0.35g/cm³，pH介于5.5-6，有机质≥35%；电导率ec值在0.6-1.2毫西门子/cm。</w:t>
            </w:r>
          </w:p>
        </w:tc>
        <w:tc>
          <w:tcPr>
            <w:tcW w:w="708"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袋</w:t>
            </w:r>
          </w:p>
        </w:tc>
        <w:tc>
          <w:tcPr>
            <w:tcW w:w="1032"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cs="宋体"/>
                <w:i w:val="0"/>
                <w:iCs w:val="0"/>
                <w:color w:val="auto"/>
                <w:kern w:val="0"/>
                <w:sz w:val="22"/>
                <w:szCs w:val="22"/>
                <w:u w:val="none"/>
                <w:lang w:val="en-US" w:eastAsia="zh-CN" w:bidi="ar"/>
              </w:rPr>
              <w:t>6</w:t>
            </w:r>
          </w:p>
        </w:tc>
        <w:tc>
          <w:tcPr>
            <w:tcW w:w="1521"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育苗基质</w:t>
            </w:r>
          </w:p>
        </w:tc>
        <w:tc>
          <w:tcPr>
            <w:tcW w:w="5635" w:type="dxa"/>
            <w:vAlign w:val="center"/>
          </w:tcPr>
          <w:p>
            <w:pPr>
              <w:keepNext w:val="0"/>
              <w:keepLines w:val="0"/>
              <w:widowControl/>
              <w:suppressLineNumbers w:val="0"/>
              <w:jc w:val="left"/>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优质育苗基质，50L/袋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总孔隙度≥80%，容重0.25-0.35g/cm³，pH介于6-7，有机质≥25%；电导率ec值在0.6-1.2毫西门子/cm。</w:t>
            </w:r>
          </w:p>
        </w:tc>
        <w:tc>
          <w:tcPr>
            <w:tcW w:w="708"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袋</w:t>
            </w:r>
          </w:p>
        </w:tc>
        <w:tc>
          <w:tcPr>
            <w:tcW w:w="1032" w:type="dxa"/>
            <w:vAlign w:val="center"/>
          </w:tcPr>
          <w:p>
            <w:pPr>
              <w:keepNext w:val="0"/>
              <w:keepLines w:val="0"/>
              <w:widowControl/>
              <w:suppressLineNumbers w:val="0"/>
              <w:jc w:val="center"/>
              <w:textAlignment w:val="center"/>
              <w:rPr>
                <w:rFonts w:hint="eastAsia" w:ascii="黑体" w:hAnsi="黑体" w:eastAsia="黑体" w:cs="黑体"/>
                <w:b/>
                <w:color w:val="auto"/>
                <w:kern w:val="44"/>
                <w:sz w:val="21"/>
                <w:szCs w:val="21"/>
                <w:vertAlign w:val="baseline"/>
                <w:lang w:val="en-US" w:eastAsia="zh-CN" w:bidi="ar-SA"/>
              </w:rPr>
            </w:pPr>
            <w:r>
              <w:rPr>
                <w:rFonts w:hint="eastAsia" w:ascii="宋体" w:hAnsi="宋体" w:eastAsia="宋体" w:cs="宋体"/>
                <w:i w:val="0"/>
                <w:iCs w:val="0"/>
                <w:color w:val="auto"/>
                <w:kern w:val="0"/>
                <w:sz w:val="22"/>
                <w:szCs w:val="22"/>
                <w:u w:val="none"/>
                <w:lang w:val="en-US" w:eastAsia="zh-CN" w:bidi="ar"/>
              </w:rPr>
              <w:t>300</w:t>
            </w:r>
          </w:p>
        </w:tc>
      </w:tr>
    </w:tbl>
    <w:p>
      <w:pPr>
        <w:pStyle w:val="18"/>
        <w:ind w:left="0" w:leftChars="0" w:firstLine="0" w:firstLineChars="0"/>
        <w:rPr>
          <w:rFonts w:hint="eastAsia"/>
          <w:color w:val="auto"/>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val="0"/>
        <w:spacing w:before="157" w:beforeLines="50" w:after="157" w:afterLines="50" w:line="240" w:lineRule="atLeast"/>
        <w:textAlignment w:val="auto"/>
        <w:rPr>
          <w:rFonts w:hint="eastAsia" w:ascii="黑体" w:hAnsi="黑体" w:eastAsia="黑体" w:cs="黑体"/>
          <w:b/>
          <w:color w:val="auto"/>
          <w:kern w:val="44"/>
          <w:sz w:val="24"/>
          <w:szCs w:val="24"/>
          <w:lang w:val="en-US" w:eastAsia="zh-CN" w:bidi="ar-SA"/>
        </w:rPr>
      </w:pPr>
      <w:r>
        <w:rPr>
          <w:rFonts w:hint="eastAsia" w:ascii="黑体" w:hAnsi="黑体" w:eastAsia="黑体" w:cs="黑体"/>
          <w:b/>
          <w:color w:val="auto"/>
          <w:kern w:val="44"/>
          <w:sz w:val="24"/>
          <w:szCs w:val="24"/>
          <w:lang w:val="en-US" w:eastAsia="zh-CN" w:bidi="ar-SA"/>
        </w:rPr>
        <w:t>4.履约保证金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firstLine="420" w:firstLineChars="200"/>
        <w:textAlignment w:val="auto"/>
        <w:rPr>
          <w:rFonts w:hint="default"/>
          <w:color w:val="auto"/>
          <w:lang w:val="en-US" w:eastAsia="zh-CN"/>
        </w:rPr>
      </w:pPr>
      <w:r>
        <w:rPr>
          <w:rFonts w:hint="eastAsia"/>
          <w:color w:val="auto"/>
          <w:sz w:val="21"/>
          <w:szCs w:val="21"/>
          <w:lang w:val="en-US" w:eastAsia="zh-CN"/>
        </w:rPr>
        <w:t>本项目不设履约保证金</w:t>
      </w:r>
    </w:p>
    <w:p>
      <w:pPr>
        <w:pStyle w:val="24"/>
        <w:keepNext w:val="0"/>
        <w:keepLines w:val="0"/>
        <w:pageBreakBefore w:val="0"/>
        <w:widowControl/>
        <w:kinsoku/>
        <w:wordWrap/>
        <w:overflowPunct/>
        <w:topLinePunct w:val="0"/>
        <w:autoSpaceDE/>
        <w:autoSpaceDN/>
        <w:bidi w:val="0"/>
        <w:adjustRightInd/>
        <w:snapToGrid w:val="0"/>
        <w:spacing w:before="157" w:beforeLines="50" w:after="157" w:afterLines="50" w:line="240" w:lineRule="atLeast"/>
        <w:ind w:left="0" w:leftChars="0" w:firstLine="0" w:firstLineChars="0"/>
        <w:textAlignment w:val="baseline"/>
        <w:rPr>
          <w:rFonts w:hint="eastAsia" w:ascii="黑体" w:hAnsi="黑体" w:eastAsia="黑体" w:cs="黑体"/>
          <w:b/>
          <w:color w:val="auto"/>
          <w:kern w:val="44"/>
          <w:sz w:val="24"/>
          <w:szCs w:val="24"/>
          <w:lang w:val="en-US" w:eastAsia="zh-CN" w:bidi="ar-SA"/>
        </w:rPr>
      </w:pPr>
      <w:r>
        <w:rPr>
          <w:rFonts w:hint="eastAsia" w:ascii="黑体" w:hAnsi="黑体" w:eastAsia="黑体" w:cs="黑体"/>
          <w:b/>
          <w:color w:val="auto"/>
          <w:kern w:val="44"/>
          <w:sz w:val="24"/>
          <w:szCs w:val="24"/>
          <w:lang w:val="en-US" w:eastAsia="zh-CN" w:bidi="ar-SA"/>
        </w:rPr>
        <w:t>5.供货要求</w:t>
      </w:r>
    </w:p>
    <w:p>
      <w:pPr>
        <w:keepNext w:val="0"/>
        <w:keepLines w:val="0"/>
        <w:pageBreakBefore w:val="0"/>
        <w:widowControl w:val="0"/>
        <w:kinsoku/>
        <w:wordWrap/>
        <w:overflowPunct/>
        <w:topLinePunct w:val="0"/>
        <w:autoSpaceDE/>
        <w:autoSpaceDN/>
        <w:bidi w:val="0"/>
        <w:adjustRightInd/>
        <w:snapToGrid w:val="0"/>
        <w:spacing w:line="240" w:lineRule="atLeas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标人须提供原厂全新合格产品，符合国家技术规格和质量标准，未曾开箱使用，能够与学校现有设备正常连接，并确保有关备件、附件和耗材的供应。软硬件设备安装调试完毕后，能在其功能范围内保障用户的系统安全、稳定运行。不得用假冒及伪劣产品替代。如出现质量问题，</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有权退货；如造成损失的，</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可要求中标人给予赔偿。</w:t>
      </w:r>
    </w:p>
    <w:p>
      <w:pPr>
        <w:pStyle w:val="7"/>
        <w:spacing w:line="240" w:lineRule="auto"/>
        <w:ind w:firstLine="420" w:firstLineChars="200"/>
        <w:rPr>
          <w:rFonts w:hint="eastAsia" w:ascii="宋体" w:hAnsi="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本项目在投标时必须</w:t>
      </w:r>
      <w:r>
        <w:rPr>
          <w:rFonts w:hint="eastAsia" w:ascii="宋体" w:hAnsi="宋体" w:cs="宋体"/>
          <w:color w:val="auto"/>
          <w:kern w:val="2"/>
          <w:sz w:val="21"/>
          <w:szCs w:val="21"/>
          <w:lang w:val="en-US" w:eastAsia="zh-CN" w:bidi="ar-SA"/>
        </w:rPr>
        <w:t>提供土壤砂石类（包括但不限于有机质含量、营养元素含量、水分保持力、微生物含量、PH值、无农残含量）检测报告、产地溯源地品种保证承诺书（盖鲜章）</w:t>
      </w:r>
      <w:r>
        <w:rPr>
          <w:rFonts w:hint="eastAsia" w:ascii="宋体" w:hAnsi="宋体" w:eastAsia="宋体" w:cs="宋体"/>
          <w:color w:val="auto"/>
          <w:kern w:val="2"/>
          <w:sz w:val="21"/>
          <w:szCs w:val="21"/>
          <w:lang w:val="en-US" w:eastAsia="zh-CN" w:bidi="ar-SA"/>
        </w:rPr>
        <w:t>及售后服务保证书（盖鲜章）</w:t>
      </w:r>
      <w:r>
        <w:rPr>
          <w:rFonts w:hint="eastAsia" w:ascii="宋体" w:hAnsi="宋体" w:cs="宋体"/>
          <w:color w:val="auto"/>
          <w:kern w:val="2"/>
          <w:sz w:val="21"/>
          <w:szCs w:val="21"/>
          <w:lang w:val="en-US" w:eastAsia="zh-CN" w:bidi="ar-SA"/>
        </w:rPr>
        <w:t>。</w:t>
      </w:r>
    </w:p>
    <w:p>
      <w:pPr>
        <w:pStyle w:val="7"/>
        <w:spacing w:line="240" w:lineRule="auto"/>
        <w:ind w:firstLine="420" w:firstLineChars="200"/>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所有土壤砂石类需中标人按学校要求分批次运输到场并摆放或铺设平整（太湖石景观石需由中标人提供专业园林造景工程师进行安装造型）。</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中标人应提供详细供货清单，清单中依次说明型号、数量、产地、生产厂家等内容。</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中标人应提供所有</w:t>
      </w:r>
      <w:r>
        <w:rPr>
          <w:rFonts w:hint="eastAsia" w:cs="宋体"/>
          <w:color w:val="auto"/>
          <w:sz w:val="21"/>
          <w:szCs w:val="21"/>
          <w:lang w:val="en-US" w:eastAsia="zh-CN"/>
        </w:rPr>
        <w:t>产品</w:t>
      </w:r>
      <w:r>
        <w:rPr>
          <w:rFonts w:hint="eastAsia" w:ascii="宋体" w:hAnsi="宋体" w:eastAsia="宋体" w:cs="宋体"/>
          <w:color w:val="auto"/>
          <w:sz w:val="21"/>
          <w:szCs w:val="21"/>
        </w:rPr>
        <w:t>安装</w:t>
      </w:r>
      <w:r>
        <w:rPr>
          <w:rFonts w:hint="eastAsia" w:cs="宋体"/>
          <w:color w:val="auto"/>
          <w:sz w:val="21"/>
          <w:szCs w:val="21"/>
          <w:lang w:val="en-US" w:eastAsia="zh-CN"/>
        </w:rPr>
        <w:t>服务</w:t>
      </w:r>
      <w:r>
        <w:rPr>
          <w:rFonts w:hint="eastAsia" w:ascii="宋体" w:hAnsi="宋体" w:eastAsia="宋体" w:cs="宋体"/>
          <w:color w:val="auto"/>
          <w:sz w:val="21"/>
          <w:szCs w:val="21"/>
        </w:rPr>
        <w:t>和检修所需专用工具和消耗材料等，并提供详细供货清单。</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color w:val="auto"/>
        </w:rPr>
      </w:pPr>
      <w:r>
        <w:rPr>
          <w:rFonts w:hint="eastAsia" w:ascii="宋体" w:hAnsi="宋体" w:eastAsia="宋体" w:cs="宋体"/>
          <w:color w:val="auto"/>
          <w:sz w:val="21"/>
          <w:szCs w:val="21"/>
        </w:rPr>
        <w:t>本次采购的供货除包括上述设备外，还应包括随机附带（如有）的辅助设备、随机软件、技术资料（包括操作培训手册、产品使用指南、维修指南和含维修网点在内的服务手册等）、设备运行所必需的随机消耗材料，相应的技术服务与质量保证。</w:t>
      </w:r>
    </w:p>
    <w:p>
      <w:pPr>
        <w:pStyle w:val="24"/>
        <w:keepNext w:val="0"/>
        <w:keepLines w:val="0"/>
        <w:pageBreakBefore w:val="0"/>
        <w:widowControl/>
        <w:kinsoku/>
        <w:wordWrap/>
        <w:overflowPunct/>
        <w:topLinePunct w:val="0"/>
        <w:autoSpaceDE/>
        <w:autoSpaceDN/>
        <w:bidi w:val="0"/>
        <w:adjustRightInd/>
        <w:snapToGrid w:val="0"/>
        <w:spacing w:before="157" w:beforeLines="50" w:after="157" w:afterLines="50" w:line="240" w:lineRule="atLeast"/>
        <w:ind w:left="0" w:leftChars="0" w:firstLine="0" w:firstLineChars="0"/>
        <w:textAlignment w:val="baseline"/>
        <w:rPr>
          <w:rFonts w:hint="default" w:ascii="黑体" w:hAnsi="黑体" w:eastAsia="黑体" w:cs="黑体"/>
          <w:b/>
          <w:color w:val="auto"/>
          <w:kern w:val="44"/>
          <w:sz w:val="24"/>
          <w:szCs w:val="24"/>
          <w:lang w:val="en-US" w:eastAsia="zh-CN" w:bidi="ar-SA"/>
        </w:rPr>
      </w:pPr>
      <w:r>
        <w:rPr>
          <w:rFonts w:hint="eastAsia" w:ascii="黑体" w:hAnsi="黑体" w:eastAsia="黑体" w:cs="黑体"/>
          <w:b/>
          <w:color w:val="auto"/>
          <w:kern w:val="44"/>
          <w:sz w:val="24"/>
          <w:szCs w:val="24"/>
          <w:lang w:val="en-US" w:eastAsia="zh-CN" w:bidi="ar-SA"/>
        </w:rPr>
        <w:t>6.安装调试</w:t>
      </w:r>
    </w:p>
    <w:p>
      <w:pPr>
        <w:pStyle w:val="24"/>
        <w:keepNext w:val="0"/>
        <w:keepLines w:val="0"/>
        <w:pageBreakBefore w:val="0"/>
        <w:widowControl/>
        <w:kinsoku/>
        <w:wordWrap/>
        <w:overflowPunct/>
        <w:topLinePunct w:val="0"/>
        <w:autoSpaceDE/>
        <w:autoSpaceDN/>
        <w:bidi w:val="0"/>
        <w:adjustRightInd/>
        <w:snapToGrid w:val="0"/>
        <w:spacing w:line="140" w:lineRule="atLeast"/>
        <w:ind w:firstLine="482"/>
        <w:textAlignment w:val="baseline"/>
        <w:rPr>
          <w:rFonts w:hint="default" w:ascii="宋体" w:hAnsi="宋体" w:eastAsia="宋体" w:cstheme="minorBidi"/>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中标人负责设备的安装、调试（包括</w:t>
      </w:r>
      <w:r>
        <w:rPr>
          <w:rFonts w:hint="eastAsia" w:ascii="宋体" w:hAnsi="宋体" w:cs="宋体"/>
          <w:color w:val="auto"/>
          <w:kern w:val="2"/>
          <w:sz w:val="21"/>
          <w:szCs w:val="21"/>
          <w:lang w:val="en-US" w:eastAsia="zh-CN" w:bidi="ar-SA"/>
        </w:rPr>
        <w:t>采购人</w:t>
      </w:r>
      <w:r>
        <w:rPr>
          <w:rFonts w:hint="eastAsia" w:ascii="宋体" w:hAnsi="宋体" w:eastAsia="宋体" w:cs="宋体"/>
          <w:color w:val="auto"/>
          <w:kern w:val="2"/>
          <w:sz w:val="21"/>
          <w:szCs w:val="21"/>
          <w:lang w:val="en-US" w:eastAsia="zh-CN" w:bidi="ar-SA"/>
        </w:rPr>
        <w:t>另备设备与本次采购设备的安装、调试等衔接工作，如有学校另配的设备等这方面的需求），费用由中标人承担。所有设备的安装必须符合国家相关标准，确保安装安全到位、牢固耐用。在运输及安装调试施工过程中，由于中标人原因在施工场地内及其毗邻地带造成的第三者人员伤亡和财产损失及在施工过程中如发生安全事故，中标人应全责承担由于自身安全措施不到位造成事故的责任，和因此发生的一切费用，</w:t>
      </w:r>
      <w:r>
        <w:rPr>
          <w:rFonts w:hint="eastAsia" w:ascii="宋体" w:hAnsi="宋体" w:cs="宋体"/>
          <w:color w:val="auto"/>
          <w:kern w:val="2"/>
          <w:sz w:val="21"/>
          <w:szCs w:val="21"/>
          <w:lang w:val="en-US" w:eastAsia="zh-CN" w:bidi="ar-SA"/>
        </w:rPr>
        <w:t>采购人</w:t>
      </w:r>
      <w:r>
        <w:rPr>
          <w:rFonts w:hint="eastAsia" w:ascii="宋体" w:hAnsi="宋体" w:eastAsia="宋体" w:cs="宋体"/>
          <w:color w:val="auto"/>
          <w:kern w:val="2"/>
          <w:sz w:val="21"/>
          <w:szCs w:val="21"/>
          <w:lang w:val="en-US" w:eastAsia="zh-CN" w:bidi="ar-SA"/>
        </w:rPr>
        <w:t>不承担事故任何责任。报价中还应包括安全施工措施、工伤保险等费用。</w:t>
      </w:r>
    </w:p>
    <w:p>
      <w:pPr>
        <w:pStyle w:val="24"/>
        <w:keepNext w:val="0"/>
        <w:keepLines w:val="0"/>
        <w:pageBreakBefore w:val="0"/>
        <w:widowControl/>
        <w:kinsoku/>
        <w:wordWrap/>
        <w:overflowPunct/>
        <w:topLinePunct w:val="0"/>
        <w:autoSpaceDE/>
        <w:autoSpaceDN/>
        <w:bidi w:val="0"/>
        <w:adjustRightInd/>
        <w:snapToGrid w:val="0"/>
        <w:spacing w:line="140" w:lineRule="atLeast"/>
        <w:ind w:firstLine="482"/>
        <w:textAlignment w:val="baseline"/>
        <w:rPr>
          <w:rFonts w:hint="eastAsia" w:ascii="宋体" w:hAnsi="宋体" w:eastAsia="宋体" w:cstheme="minorBidi"/>
          <w:color w:val="auto"/>
          <w:kern w:val="2"/>
          <w:sz w:val="21"/>
          <w:szCs w:val="21"/>
          <w:lang w:val="en-US" w:eastAsia="zh-CN" w:bidi="ar-SA"/>
        </w:rPr>
      </w:pPr>
      <w:r>
        <w:rPr>
          <w:rFonts w:hint="eastAsia" w:ascii="宋体" w:hAnsi="宋体" w:eastAsia="宋体" w:cstheme="minorBidi"/>
          <w:color w:val="auto"/>
          <w:kern w:val="2"/>
          <w:sz w:val="21"/>
          <w:szCs w:val="21"/>
          <w:lang w:val="en-US" w:eastAsia="zh-CN" w:bidi="ar-SA"/>
        </w:rPr>
        <w:t>本项目安装调试过程可能会涉及一些原设备拆除调整以及对项目实施地点原有设施设备的保护。同时，所有设施设备安装后产生的垃圾由中标方统一清运并负责安装场地的保洁复原等工作</w:t>
      </w:r>
      <w:r>
        <w:rPr>
          <w:rFonts w:hint="eastAsia" w:ascii="宋体" w:hAnsi="宋体" w:cstheme="minorBidi"/>
          <w:color w:val="auto"/>
          <w:kern w:val="2"/>
          <w:sz w:val="21"/>
          <w:szCs w:val="21"/>
          <w:lang w:val="en-US" w:eastAsia="zh-CN" w:bidi="ar-SA"/>
        </w:rPr>
        <w:t>。</w:t>
      </w:r>
      <w:r>
        <w:rPr>
          <w:rFonts w:hint="eastAsia" w:ascii="宋体" w:hAnsi="宋体" w:eastAsia="宋体" w:cstheme="minorBidi"/>
          <w:color w:val="auto"/>
          <w:kern w:val="2"/>
          <w:sz w:val="21"/>
          <w:szCs w:val="21"/>
          <w:lang w:val="en-US" w:eastAsia="zh-CN" w:bidi="ar-SA"/>
        </w:rPr>
        <w:t>以上要求均包含在项目报价中。</w:t>
      </w:r>
    </w:p>
    <w:p>
      <w:pPr>
        <w:pStyle w:val="24"/>
        <w:keepNext w:val="0"/>
        <w:keepLines w:val="0"/>
        <w:pageBreakBefore w:val="0"/>
        <w:widowControl/>
        <w:kinsoku/>
        <w:wordWrap/>
        <w:overflowPunct/>
        <w:topLinePunct w:val="0"/>
        <w:autoSpaceDE/>
        <w:autoSpaceDN/>
        <w:bidi w:val="0"/>
        <w:adjustRightInd/>
        <w:snapToGrid w:val="0"/>
        <w:spacing w:before="157" w:beforeLines="50" w:after="157" w:afterLines="50" w:line="240" w:lineRule="atLeast"/>
        <w:ind w:left="0" w:leftChars="0" w:firstLine="0" w:firstLineChars="0"/>
        <w:textAlignment w:val="baseline"/>
        <w:rPr>
          <w:rFonts w:hint="eastAsia" w:ascii="黑体" w:hAnsi="黑体" w:eastAsia="黑体" w:cs="黑体"/>
          <w:b/>
          <w:color w:val="auto"/>
          <w:kern w:val="44"/>
          <w:sz w:val="24"/>
          <w:szCs w:val="24"/>
          <w:lang w:val="en-US" w:eastAsia="zh-CN" w:bidi="ar-SA"/>
        </w:rPr>
      </w:pPr>
      <w:r>
        <w:rPr>
          <w:rFonts w:hint="eastAsia" w:ascii="黑体" w:hAnsi="黑体" w:eastAsia="黑体" w:cs="黑体"/>
          <w:b/>
          <w:color w:val="auto"/>
          <w:kern w:val="44"/>
          <w:sz w:val="24"/>
          <w:szCs w:val="24"/>
          <w:lang w:val="en-US" w:eastAsia="zh-CN" w:bidi="ar-SA"/>
        </w:rPr>
        <w:t>7.交货时间与地点</w:t>
      </w:r>
    </w:p>
    <w:p>
      <w:pPr>
        <w:pStyle w:val="24"/>
        <w:keepNext w:val="0"/>
        <w:keepLines w:val="0"/>
        <w:pageBreakBefore w:val="0"/>
        <w:widowControl/>
        <w:numPr>
          <w:ilvl w:val="0"/>
          <w:numId w:val="0"/>
        </w:numPr>
        <w:kinsoku/>
        <w:wordWrap/>
        <w:overflowPunct/>
        <w:topLinePunct w:val="0"/>
        <w:autoSpaceDE/>
        <w:autoSpaceDN/>
        <w:bidi w:val="0"/>
        <w:adjustRightInd/>
        <w:snapToGrid w:val="0"/>
        <w:spacing w:line="360" w:lineRule="atLeast"/>
        <w:textAlignment w:val="baseline"/>
        <w:rPr>
          <w:rFonts w:hint="eastAsia" w:ascii="黑体" w:hAnsi="黑体" w:eastAsia="黑体" w:cs="黑体"/>
          <w:b/>
          <w:color w:val="auto"/>
          <w:kern w:val="44"/>
          <w:sz w:val="21"/>
          <w:szCs w:val="21"/>
          <w:lang w:val="en-US" w:eastAsia="zh-CN" w:bidi="ar-SA"/>
        </w:rPr>
      </w:pPr>
      <w:r>
        <w:rPr>
          <w:rFonts w:hint="eastAsia" w:ascii="黑体" w:hAnsi="黑体" w:eastAsia="黑体" w:cs="黑体"/>
          <w:b/>
          <w:color w:val="auto"/>
          <w:kern w:val="44"/>
          <w:sz w:val="21"/>
          <w:szCs w:val="21"/>
          <w:lang w:val="en-US" w:eastAsia="zh-CN" w:bidi="ar-SA"/>
        </w:rPr>
        <w:t>7.1交货时间</w:t>
      </w:r>
    </w:p>
    <w:p>
      <w:pPr>
        <w:pStyle w:val="24"/>
        <w:keepNext w:val="0"/>
        <w:keepLines w:val="0"/>
        <w:pageBreakBefore w:val="0"/>
        <w:widowControl/>
        <w:numPr>
          <w:ilvl w:val="0"/>
          <w:numId w:val="0"/>
        </w:numPr>
        <w:kinsoku/>
        <w:wordWrap/>
        <w:overflowPunct/>
        <w:topLinePunct w:val="0"/>
        <w:autoSpaceDE/>
        <w:autoSpaceDN/>
        <w:bidi w:val="0"/>
        <w:adjustRightInd/>
        <w:snapToGrid w:val="0"/>
        <w:spacing w:line="360" w:lineRule="atLeast"/>
        <w:ind w:firstLine="420" w:firstLineChars="200"/>
        <w:textAlignment w:val="baseline"/>
        <w:rPr>
          <w:rFonts w:hint="default" w:ascii="宋体" w:hAnsi="宋体" w:cstheme="minorBidi"/>
          <w:color w:val="auto"/>
          <w:kern w:val="2"/>
          <w:sz w:val="21"/>
          <w:szCs w:val="21"/>
          <w:lang w:val="en-US" w:eastAsia="zh-CN" w:bidi="ar-SA"/>
        </w:rPr>
      </w:pPr>
      <w:r>
        <w:rPr>
          <w:rFonts w:hint="eastAsia" w:ascii="宋体" w:hAnsi="宋体" w:cstheme="minorBidi"/>
          <w:color w:val="auto"/>
          <w:kern w:val="2"/>
          <w:sz w:val="21"/>
          <w:szCs w:val="21"/>
          <w:lang w:val="en-US" w:eastAsia="zh-CN" w:bidi="ar-SA"/>
        </w:rPr>
        <w:t>本采购项目在合同签订后</w:t>
      </w:r>
      <w:r>
        <w:rPr>
          <w:rFonts w:hint="eastAsia" w:ascii="宋体" w:hAnsi="宋体" w:cstheme="minorBidi"/>
          <w:color w:val="auto"/>
          <w:kern w:val="2"/>
          <w:sz w:val="21"/>
          <w:szCs w:val="21"/>
          <w:u w:val="single"/>
          <w:lang w:val="en-US" w:eastAsia="zh-CN" w:bidi="ar-SA"/>
        </w:rPr>
        <w:t xml:space="preserve">  5 </w:t>
      </w:r>
      <w:r>
        <w:rPr>
          <w:rFonts w:hint="eastAsia" w:ascii="宋体" w:hAnsi="宋体" w:cstheme="minorBidi"/>
          <w:color w:val="auto"/>
          <w:kern w:val="2"/>
          <w:sz w:val="21"/>
          <w:szCs w:val="21"/>
          <w:u w:val="none"/>
          <w:lang w:val="en-US" w:eastAsia="zh-CN" w:bidi="ar-SA"/>
        </w:rPr>
        <w:t>个工作日</w:t>
      </w:r>
      <w:r>
        <w:rPr>
          <w:rFonts w:hint="eastAsia" w:ascii="宋体" w:hAnsi="宋体" w:cstheme="minorBidi"/>
          <w:color w:val="auto"/>
          <w:kern w:val="2"/>
          <w:sz w:val="21"/>
          <w:szCs w:val="21"/>
          <w:lang w:val="en-US" w:eastAsia="zh-CN" w:bidi="ar-SA"/>
        </w:rPr>
        <w:t>内供货并种植完成。</w:t>
      </w:r>
      <w:r>
        <w:rPr>
          <w:rFonts w:hint="eastAsia" w:ascii="宋体" w:hAnsi="Courier New" w:eastAsia="宋体" w:cs="Arial"/>
          <w:color w:val="auto"/>
          <w:sz w:val="21"/>
          <w:szCs w:val="21"/>
        </w:rPr>
        <w:t>符合招标文件要求的</w:t>
      </w:r>
      <w:r>
        <w:rPr>
          <w:rFonts w:hint="eastAsia" w:ascii="宋体" w:hAnsi="宋体" w:cstheme="minorBidi"/>
          <w:color w:val="auto"/>
          <w:kern w:val="2"/>
          <w:sz w:val="21"/>
          <w:szCs w:val="21"/>
          <w:u w:val="single"/>
          <w:lang w:val="en-US" w:eastAsia="zh-CN" w:bidi="ar-SA"/>
        </w:rPr>
        <w:t xml:space="preserve">  7  </w:t>
      </w:r>
      <w:r>
        <w:rPr>
          <w:rFonts w:hint="eastAsia" w:ascii="宋体" w:hAnsi="宋体" w:cstheme="minorBidi"/>
          <w:color w:val="auto"/>
          <w:kern w:val="2"/>
          <w:sz w:val="21"/>
          <w:szCs w:val="21"/>
          <w:lang w:val="en-US" w:eastAsia="zh-CN" w:bidi="ar-SA"/>
        </w:rPr>
        <w:t>个工作日后，组织验收。</w:t>
      </w:r>
    </w:p>
    <w:p>
      <w:pPr>
        <w:pStyle w:val="24"/>
        <w:keepNext w:val="0"/>
        <w:keepLines w:val="0"/>
        <w:pageBreakBefore w:val="0"/>
        <w:widowControl/>
        <w:numPr>
          <w:ilvl w:val="0"/>
          <w:numId w:val="0"/>
        </w:numPr>
        <w:kinsoku/>
        <w:wordWrap/>
        <w:overflowPunct/>
        <w:topLinePunct w:val="0"/>
        <w:autoSpaceDE/>
        <w:autoSpaceDN/>
        <w:bidi w:val="0"/>
        <w:adjustRightInd/>
        <w:snapToGrid w:val="0"/>
        <w:spacing w:line="360" w:lineRule="atLeast"/>
        <w:textAlignment w:val="baseline"/>
        <w:rPr>
          <w:rFonts w:hint="eastAsia" w:ascii="黑体" w:hAnsi="黑体" w:eastAsia="黑体" w:cs="黑体"/>
          <w:b/>
          <w:color w:val="auto"/>
          <w:kern w:val="44"/>
          <w:sz w:val="21"/>
          <w:szCs w:val="21"/>
          <w:lang w:val="en-US" w:eastAsia="zh-CN" w:bidi="ar-SA"/>
        </w:rPr>
      </w:pPr>
      <w:r>
        <w:rPr>
          <w:rFonts w:hint="eastAsia" w:ascii="黑体" w:hAnsi="黑体" w:eastAsia="黑体" w:cs="黑体"/>
          <w:b/>
          <w:color w:val="auto"/>
          <w:kern w:val="44"/>
          <w:sz w:val="21"/>
          <w:szCs w:val="21"/>
          <w:lang w:val="en-US" w:eastAsia="zh-CN" w:bidi="ar-SA"/>
        </w:rPr>
        <w:t>7.2交货地点</w:t>
      </w:r>
    </w:p>
    <w:p>
      <w:pPr>
        <w:pStyle w:val="24"/>
        <w:snapToGrid w:val="0"/>
        <w:spacing w:line="360" w:lineRule="atLeast"/>
        <w:ind w:left="0" w:leftChars="0" w:firstLine="420" w:firstLineChars="200"/>
        <w:rPr>
          <w:rFonts w:hint="eastAsia" w:ascii="宋体" w:hAnsi="宋体" w:eastAsia="宋体" w:cstheme="minorBidi"/>
          <w:color w:val="auto"/>
          <w:kern w:val="2"/>
          <w:sz w:val="21"/>
          <w:szCs w:val="21"/>
          <w:lang w:val="en-US" w:eastAsia="zh-CN" w:bidi="ar-SA"/>
        </w:rPr>
      </w:pPr>
      <w:r>
        <w:rPr>
          <w:rFonts w:hint="eastAsia" w:ascii="宋体" w:hAnsi="宋体" w:eastAsia="宋体" w:cstheme="minorBidi"/>
          <w:color w:val="auto"/>
          <w:kern w:val="2"/>
          <w:sz w:val="21"/>
          <w:szCs w:val="21"/>
          <w:lang w:val="en-US" w:eastAsia="zh-CN" w:bidi="ar-SA"/>
        </w:rPr>
        <w:t>所有货物必须原包装到指定安装地点安装，具体位置由</w:t>
      </w:r>
      <w:r>
        <w:rPr>
          <w:rFonts w:hint="eastAsia" w:ascii="宋体" w:hAnsi="宋体" w:cstheme="minorBidi"/>
          <w:color w:val="auto"/>
          <w:kern w:val="2"/>
          <w:sz w:val="21"/>
          <w:szCs w:val="21"/>
          <w:lang w:val="en-US" w:eastAsia="zh-CN" w:bidi="ar-SA"/>
        </w:rPr>
        <w:t>采购人</w:t>
      </w:r>
      <w:r>
        <w:rPr>
          <w:rFonts w:hint="eastAsia" w:ascii="宋体" w:hAnsi="宋体" w:eastAsia="宋体" w:cstheme="minorBidi"/>
          <w:color w:val="auto"/>
          <w:kern w:val="2"/>
          <w:sz w:val="21"/>
          <w:szCs w:val="21"/>
          <w:lang w:val="en-US" w:eastAsia="zh-CN" w:bidi="ar-SA"/>
        </w:rPr>
        <w:t>指定。所需一切费用均包含在投标报价中。</w:t>
      </w:r>
    </w:p>
    <w:p>
      <w:pPr>
        <w:pStyle w:val="24"/>
        <w:keepNext w:val="0"/>
        <w:keepLines w:val="0"/>
        <w:pageBreakBefore w:val="0"/>
        <w:widowControl/>
        <w:kinsoku/>
        <w:wordWrap/>
        <w:overflowPunct/>
        <w:topLinePunct w:val="0"/>
        <w:autoSpaceDE/>
        <w:autoSpaceDN/>
        <w:bidi w:val="0"/>
        <w:adjustRightInd/>
        <w:snapToGrid w:val="0"/>
        <w:spacing w:before="157" w:beforeLines="50" w:after="157" w:afterLines="50" w:line="240" w:lineRule="atLeast"/>
        <w:ind w:left="0" w:leftChars="0" w:firstLine="0" w:firstLineChars="0"/>
        <w:textAlignment w:val="baseline"/>
        <w:rPr>
          <w:rFonts w:hint="eastAsia" w:ascii="黑体" w:hAnsi="黑体" w:eastAsia="黑体" w:cs="黑体"/>
          <w:b/>
          <w:color w:val="auto"/>
          <w:kern w:val="44"/>
          <w:sz w:val="24"/>
          <w:szCs w:val="24"/>
          <w:lang w:val="en-US" w:eastAsia="zh-CN" w:bidi="ar-SA"/>
        </w:rPr>
      </w:pPr>
      <w:r>
        <w:rPr>
          <w:rFonts w:hint="eastAsia" w:ascii="黑体" w:hAnsi="黑体" w:eastAsia="黑体" w:cs="黑体"/>
          <w:b/>
          <w:color w:val="auto"/>
          <w:kern w:val="44"/>
          <w:sz w:val="24"/>
          <w:szCs w:val="24"/>
          <w:lang w:val="en-US" w:eastAsia="zh-CN" w:bidi="ar-SA"/>
        </w:rPr>
        <w:t>8.服务保障</w:t>
      </w:r>
    </w:p>
    <w:p>
      <w:pPr>
        <w:pStyle w:val="22"/>
        <w:snapToGrid w:val="0"/>
        <w:spacing w:line="360" w:lineRule="atLeast"/>
        <w:ind w:left="0" w:leftChars="0" w:firstLine="0" w:firstLineChars="0"/>
        <w:rPr>
          <w:rFonts w:hint="eastAsia" w:ascii="黑体" w:hAnsi="黑体" w:eastAsia="黑体" w:cs="黑体"/>
          <w:b/>
          <w:color w:val="auto"/>
          <w:kern w:val="44"/>
          <w:sz w:val="21"/>
          <w:szCs w:val="21"/>
          <w:lang w:val="en-US" w:eastAsia="zh-CN" w:bidi="ar-SA"/>
        </w:rPr>
      </w:pPr>
      <w:r>
        <w:rPr>
          <w:rFonts w:hint="eastAsia" w:ascii="黑体" w:hAnsi="黑体" w:eastAsia="黑体" w:cs="黑体"/>
          <w:b/>
          <w:color w:val="auto"/>
          <w:kern w:val="44"/>
          <w:sz w:val="21"/>
          <w:szCs w:val="21"/>
          <w:lang w:val="en-US" w:eastAsia="zh-CN" w:bidi="ar-SA"/>
        </w:rPr>
        <w:t>8.1质保期</w:t>
      </w:r>
    </w:p>
    <w:p>
      <w:pPr>
        <w:pStyle w:val="22"/>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黑体" w:hAnsi="黑体" w:eastAsia="黑体" w:cs="黑体"/>
          <w:b/>
          <w:color w:val="auto"/>
          <w:kern w:val="44"/>
          <w:sz w:val="21"/>
          <w:szCs w:val="21"/>
          <w:lang w:val="en-US" w:eastAsia="zh-CN" w:bidi="ar-SA"/>
        </w:rPr>
      </w:pPr>
      <w:r>
        <w:rPr>
          <w:rFonts w:hint="eastAsia" w:ascii="宋体" w:hAnsi="宋体" w:eastAsia="宋体" w:cstheme="minorBidi"/>
          <w:color w:val="auto"/>
          <w:kern w:val="2"/>
          <w:sz w:val="21"/>
          <w:szCs w:val="21"/>
          <w:lang w:val="en-US" w:eastAsia="zh-CN" w:bidi="ar-SA"/>
        </w:rPr>
        <w:t>中标人须提供经调试、试运行、验收合格后之日起，所有设备不少于</w:t>
      </w:r>
      <w:r>
        <w:rPr>
          <w:rFonts w:hint="eastAsia" w:ascii="宋体" w:hAnsi="宋体" w:cstheme="minorBidi"/>
          <w:color w:val="auto"/>
          <w:kern w:val="2"/>
          <w:sz w:val="21"/>
          <w:szCs w:val="21"/>
          <w:lang w:val="en-US" w:eastAsia="zh-CN" w:bidi="ar-SA"/>
        </w:rPr>
        <w:t>2</w:t>
      </w:r>
      <w:r>
        <w:rPr>
          <w:rFonts w:hint="eastAsia" w:ascii="宋体" w:hAnsi="宋体" w:eastAsia="宋体" w:cstheme="minorBidi"/>
          <w:color w:val="auto"/>
          <w:kern w:val="2"/>
          <w:sz w:val="21"/>
          <w:szCs w:val="21"/>
          <w:lang w:val="en-US" w:eastAsia="zh-CN" w:bidi="ar-SA"/>
        </w:rPr>
        <w:t>年的免费质保期</w:t>
      </w:r>
      <w:r>
        <w:rPr>
          <w:rFonts w:hint="eastAsia" w:ascii="宋体" w:hAnsi="宋体" w:cstheme="minorBidi"/>
          <w:color w:val="auto"/>
          <w:kern w:val="2"/>
          <w:sz w:val="21"/>
          <w:szCs w:val="21"/>
          <w:lang w:val="en-US" w:eastAsia="zh-CN" w:bidi="ar-SA"/>
        </w:rPr>
        <w:t>。</w:t>
      </w:r>
      <w:r>
        <w:rPr>
          <w:rFonts w:hint="eastAsia" w:ascii="宋体" w:hAnsi="宋体" w:eastAsia="宋体" w:cstheme="minorBidi"/>
          <w:color w:val="auto"/>
          <w:kern w:val="2"/>
          <w:sz w:val="21"/>
          <w:szCs w:val="21"/>
          <w:lang w:val="en-US" w:eastAsia="zh-CN" w:bidi="ar-SA"/>
        </w:rPr>
        <w:t>并提供原厂</w:t>
      </w:r>
      <w:r>
        <w:rPr>
          <w:rFonts w:hint="eastAsia" w:ascii="宋体" w:hAnsi="宋体" w:cstheme="minorBidi"/>
          <w:color w:val="auto"/>
          <w:kern w:val="2"/>
          <w:sz w:val="21"/>
          <w:szCs w:val="21"/>
          <w:lang w:val="en-US" w:eastAsia="zh-CN" w:bidi="ar-SA"/>
        </w:rPr>
        <w:t>3</w:t>
      </w:r>
      <w:r>
        <w:rPr>
          <w:rFonts w:hint="eastAsia" w:ascii="宋体" w:hAnsi="宋体" w:eastAsia="宋体" w:cstheme="minorBidi"/>
          <w:color w:val="auto"/>
          <w:kern w:val="2"/>
          <w:sz w:val="21"/>
          <w:szCs w:val="21"/>
          <w:lang w:val="en-US" w:eastAsia="zh-CN" w:bidi="ar-SA"/>
        </w:rPr>
        <w:t>年免费质保函。</w:t>
      </w:r>
    </w:p>
    <w:p>
      <w:pPr>
        <w:pStyle w:val="24"/>
        <w:keepNext w:val="0"/>
        <w:keepLines w:val="0"/>
        <w:pageBreakBefore w:val="0"/>
        <w:widowControl/>
        <w:numPr>
          <w:ilvl w:val="0"/>
          <w:numId w:val="0"/>
        </w:numPr>
        <w:kinsoku/>
        <w:wordWrap/>
        <w:overflowPunct/>
        <w:topLinePunct w:val="0"/>
        <w:autoSpaceDE/>
        <w:autoSpaceDN/>
        <w:bidi w:val="0"/>
        <w:adjustRightInd/>
        <w:snapToGrid w:val="0"/>
        <w:spacing w:line="360" w:lineRule="atLeast"/>
        <w:textAlignment w:val="baseline"/>
        <w:rPr>
          <w:rFonts w:hint="eastAsia" w:ascii="黑体" w:hAnsi="黑体" w:eastAsia="黑体" w:cs="黑体"/>
          <w:b/>
          <w:color w:val="auto"/>
          <w:kern w:val="44"/>
          <w:sz w:val="21"/>
          <w:szCs w:val="21"/>
          <w:lang w:val="en-US" w:eastAsia="zh-CN" w:bidi="ar-SA"/>
        </w:rPr>
      </w:pPr>
      <w:r>
        <w:rPr>
          <w:rFonts w:hint="eastAsia" w:ascii="黑体" w:hAnsi="黑体" w:eastAsia="黑体" w:cs="黑体"/>
          <w:b/>
          <w:color w:val="auto"/>
          <w:kern w:val="44"/>
          <w:sz w:val="21"/>
          <w:szCs w:val="21"/>
          <w:lang w:val="en-US" w:eastAsia="zh-CN" w:bidi="ar-SA"/>
        </w:rPr>
        <w:t>8.2售后服务</w:t>
      </w:r>
    </w:p>
    <w:p>
      <w:pPr>
        <w:pageBreakBefore w:val="0"/>
        <w:widowControl w:val="0"/>
        <w:kinsoku/>
        <w:wordWrap/>
        <w:overflowPunct/>
        <w:topLinePunct w:val="0"/>
        <w:autoSpaceDE/>
        <w:autoSpaceDN/>
        <w:bidi w:val="0"/>
        <w:adjustRightInd/>
        <w:snapToGrid w:val="0"/>
        <w:spacing w:line="240" w:lineRule="atLeast"/>
        <w:textAlignment w:val="auto"/>
        <w:rPr>
          <w:rFonts w:hint="eastAsia" w:ascii="楷体" w:hAnsi="楷体" w:eastAsia="楷体" w:cs="楷体"/>
          <w:b/>
          <w:color w:val="auto"/>
          <w:kern w:val="44"/>
          <w:sz w:val="21"/>
          <w:szCs w:val="21"/>
          <w:lang w:val="en-US" w:eastAsia="zh-CN" w:bidi="ar-SA"/>
        </w:rPr>
      </w:pPr>
      <w:r>
        <w:rPr>
          <w:rFonts w:hint="eastAsia" w:ascii="楷体" w:hAnsi="楷体" w:eastAsia="楷体" w:cs="楷体"/>
          <w:b/>
          <w:color w:val="auto"/>
          <w:kern w:val="44"/>
          <w:sz w:val="21"/>
          <w:szCs w:val="21"/>
          <w:lang w:val="en-US" w:eastAsia="zh-CN" w:bidi="ar-SA"/>
        </w:rPr>
        <w:t>8.2.1确保系统正常运行</w:t>
      </w:r>
    </w:p>
    <w:p>
      <w:pPr>
        <w:pStyle w:val="24"/>
        <w:keepNext w:val="0"/>
        <w:keepLines w:val="0"/>
        <w:pageBreakBefore w:val="0"/>
        <w:widowControl/>
        <w:kinsoku/>
        <w:wordWrap/>
        <w:overflowPunct/>
        <w:topLinePunct w:val="0"/>
        <w:autoSpaceDE/>
        <w:autoSpaceDN/>
        <w:bidi w:val="0"/>
        <w:adjustRightInd/>
        <w:snapToGrid w:val="0"/>
        <w:spacing w:line="240" w:lineRule="atLeast"/>
        <w:ind w:left="0" w:leftChars="0" w:firstLine="420" w:firstLineChars="200"/>
        <w:textAlignment w:val="baseline"/>
        <w:rPr>
          <w:rFonts w:hint="eastAsia" w:ascii="宋体" w:hAnsi="宋体" w:eastAsia="宋体" w:cstheme="minorBidi"/>
          <w:color w:val="auto"/>
          <w:kern w:val="2"/>
          <w:sz w:val="21"/>
          <w:szCs w:val="21"/>
          <w:lang w:val="en-US" w:eastAsia="zh-CN" w:bidi="ar-SA"/>
        </w:rPr>
      </w:pPr>
      <w:r>
        <w:rPr>
          <w:rFonts w:hint="eastAsia" w:ascii="宋体" w:hAnsi="宋体" w:eastAsia="宋体" w:cstheme="minorBidi"/>
          <w:color w:val="auto"/>
          <w:kern w:val="2"/>
          <w:sz w:val="21"/>
          <w:szCs w:val="21"/>
          <w:lang w:val="en-US" w:eastAsia="zh-CN" w:bidi="ar-SA"/>
        </w:rPr>
        <w:t>中标人所提供的产品应具备完整性和实用性，保证全部系统及时投入正常运行。否则若出现因投标人提供的设备不满足要求、不合理，或者其所提供的技术支持和服务不全面，而导致系统无法实现或不能完全实现的状况，中标人负全部责任。</w:t>
      </w:r>
    </w:p>
    <w:p>
      <w:pPr>
        <w:pageBreakBefore w:val="0"/>
        <w:widowControl w:val="0"/>
        <w:kinsoku/>
        <w:wordWrap/>
        <w:overflowPunct/>
        <w:topLinePunct w:val="0"/>
        <w:autoSpaceDE/>
        <w:autoSpaceDN/>
        <w:bidi w:val="0"/>
        <w:adjustRightInd/>
        <w:snapToGrid w:val="0"/>
        <w:spacing w:line="240" w:lineRule="atLeast"/>
        <w:textAlignment w:val="auto"/>
        <w:rPr>
          <w:rFonts w:hint="default" w:ascii="楷体" w:hAnsi="楷体" w:eastAsia="楷体" w:cs="楷体"/>
          <w:b/>
          <w:color w:val="auto"/>
          <w:kern w:val="44"/>
          <w:sz w:val="21"/>
          <w:szCs w:val="21"/>
          <w:lang w:val="en-US" w:eastAsia="zh-CN" w:bidi="ar-SA"/>
        </w:rPr>
      </w:pPr>
      <w:r>
        <w:rPr>
          <w:rFonts w:hint="eastAsia" w:ascii="楷体" w:hAnsi="楷体" w:eastAsia="楷体" w:cs="楷体"/>
          <w:b/>
          <w:color w:val="auto"/>
          <w:kern w:val="44"/>
          <w:sz w:val="21"/>
          <w:szCs w:val="21"/>
          <w:lang w:val="en-US" w:eastAsia="zh-CN" w:bidi="ar-SA"/>
        </w:rPr>
        <w:t>8.2.2响应时间与内容</w:t>
      </w:r>
    </w:p>
    <w:p>
      <w:pPr>
        <w:pStyle w:val="24"/>
        <w:keepNext w:val="0"/>
        <w:keepLines w:val="0"/>
        <w:pageBreakBefore w:val="0"/>
        <w:widowControl/>
        <w:kinsoku/>
        <w:wordWrap/>
        <w:overflowPunct/>
        <w:topLinePunct w:val="0"/>
        <w:autoSpaceDE/>
        <w:autoSpaceDN/>
        <w:bidi w:val="0"/>
        <w:adjustRightInd/>
        <w:snapToGrid w:val="0"/>
        <w:spacing w:line="240" w:lineRule="atLeast"/>
        <w:ind w:left="0" w:leftChars="0" w:firstLine="420" w:firstLineChars="200"/>
        <w:textAlignment w:val="baseline"/>
        <w:rPr>
          <w:rFonts w:hint="eastAsia" w:ascii="宋体" w:hAnsi="宋体" w:eastAsia="宋体" w:cstheme="minorBidi"/>
          <w:color w:val="auto"/>
          <w:kern w:val="2"/>
          <w:sz w:val="21"/>
          <w:szCs w:val="21"/>
          <w:lang w:val="en-US" w:eastAsia="zh-CN" w:bidi="ar-SA"/>
        </w:rPr>
      </w:pPr>
      <w:r>
        <w:rPr>
          <w:rFonts w:hint="eastAsia" w:ascii="宋体" w:hAnsi="宋体" w:eastAsia="宋体" w:cstheme="minorBidi"/>
          <w:color w:val="auto"/>
          <w:kern w:val="2"/>
          <w:sz w:val="21"/>
          <w:szCs w:val="21"/>
          <w:lang w:val="en-US" w:eastAsia="zh-CN" w:bidi="ar-SA"/>
        </w:rPr>
        <w:t>质保期内需免费提供升级、维护、维修上门服务</w:t>
      </w:r>
      <w:r>
        <w:rPr>
          <w:rFonts w:hint="eastAsia" w:ascii="宋体" w:hAnsi="宋体" w:cstheme="minorBidi"/>
          <w:color w:val="auto"/>
          <w:kern w:val="2"/>
          <w:sz w:val="21"/>
          <w:szCs w:val="21"/>
          <w:lang w:val="en-US" w:eastAsia="zh-CN" w:bidi="ar-SA"/>
        </w:rPr>
        <w:t>，</w:t>
      </w:r>
      <w:r>
        <w:rPr>
          <w:rFonts w:hint="eastAsia" w:ascii="宋体" w:hAnsi="宋体" w:eastAsia="宋体" w:cstheme="minorBidi"/>
          <w:color w:val="auto"/>
          <w:kern w:val="2"/>
          <w:sz w:val="21"/>
          <w:szCs w:val="21"/>
          <w:lang w:val="en-US" w:eastAsia="zh-CN" w:bidi="ar-SA"/>
        </w:rPr>
        <w:t>免费更换零部件。提供软件系统免费维护及升级服务，免费提供相应解决方案等技术支持。提供7*24小时技术上门支持服务，接到故障报修后2工作小时内响应，一般问题48小时内到达现场，重大问题24小时内到达现场，48小时内修复到位，硬件产品72小时内不能修复的需免费提供备品备件替用；系统软件提供终身免费升级，或提供代用件。在</w:t>
      </w:r>
      <w:r>
        <w:rPr>
          <w:rFonts w:hint="eastAsia" w:ascii="宋体" w:hAnsi="宋体" w:cstheme="minorBidi"/>
          <w:color w:val="auto"/>
          <w:kern w:val="2"/>
          <w:sz w:val="21"/>
          <w:szCs w:val="21"/>
          <w:lang w:val="en-US" w:eastAsia="zh-CN" w:bidi="ar-SA"/>
        </w:rPr>
        <w:t>质保</w:t>
      </w:r>
      <w:r>
        <w:rPr>
          <w:rFonts w:hint="eastAsia" w:ascii="宋体" w:hAnsi="宋体" w:eastAsia="宋体" w:cstheme="minorBidi"/>
          <w:color w:val="auto"/>
          <w:kern w:val="2"/>
          <w:sz w:val="21"/>
          <w:szCs w:val="21"/>
          <w:lang w:val="en-US" w:eastAsia="zh-CN" w:bidi="ar-SA"/>
        </w:rPr>
        <w:t>期内中标人</w:t>
      </w:r>
      <w:r>
        <w:rPr>
          <w:rFonts w:hint="eastAsia" w:ascii="宋体" w:hAnsi="宋体" w:cstheme="minorBidi"/>
          <w:color w:val="auto"/>
          <w:kern w:val="2"/>
          <w:sz w:val="21"/>
          <w:szCs w:val="21"/>
          <w:lang w:val="en-US" w:eastAsia="zh-CN" w:bidi="ar-SA"/>
        </w:rPr>
        <w:t>未</w:t>
      </w:r>
      <w:r>
        <w:rPr>
          <w:rFonts w:hint="eastAsia" w:ascii="宋体" w:hAnsi="宋体" w:eastAsia="宋体" w:cstheme="minorBidi"/>
          <w:color w:val="auto"/>
          <w:kern w:val="2"/>
          <w:sz w:val="21"/>
          <w:szCs w:val="21"/>
          <w:lang w:val="en-US" w:eastAsia="zh-CN" w:bidi="ar-SA"/>
        </w:rPr>
        <w:t>及时予以响应（免费上门服务）</w:t>
      </w:r>
      <w:r>
        <w:rPr>
          <w:rFonts w:hint="eastAsia" w:ascii="宋体" w:hAnsi="宋体" w:cstheme="minorBidi"/>
          <w:color w:val="auto"/>
          <w:kern w:val="2"/>
          <w:sz w:val="21"/>
          <w:szCs w:val="21"/>
          <w:lang w:val="en-US" w:eastAsia="zh-CN" w:bidi="ar-SA"/>
        </w:rPr>
        <w:t>，</w:t>
      </w:r>
      <w:r>
        <w:rPr>
          <w:rFonts w:hint="eastAsia" w:ascii="宋体" w:hAnsi="宋体" w:eastAsia="宋体" w:cstheme="minorBidi"/>
          <w:color w:val="auto"/>
          <w:kern w:val="2"/>
          <w:sz w:val="21"/>
          <w:szCs w:val="21"/>
          <w:lang w:val="en-US" w:eastAsia="zh-CN" w:bidi="ar-SA"/>
        </w:rPr>
        <w:t>招标方将自行采取必要的措施，由此产生风险和费用由中标人承担。</w:t>
      </w:r>
    </w:p>
    <w:p>
      <w:pPr>
        <w:pStyle w:val="24"/>
        <w:keepNext w:val="0"/>
        <w:keepLines w:val="0"/>
        <w:pageBreakBefore w:val="0"/>
        <w:widowControl/>
        <w:kinsoku/>
        <w:wordWrap/>
        <w:overflowPunct/>
        <w:topLinePunct w:val="0"/>
        <w:autoSpaceDE/>
        <w:autoSpaceDN/>
        <w:bidi w:val="0"/>
        <w:adjustRightInd/>
        <w:snapToGrid w:val="0"/>
        <w:spacing w:line="240" w:lineRule="atLeast"/>
        <w:textAlignment w:val="baseline"/>
        <w:rPr>
          <w:rFonts w:hint="eastAsia" w:ascii="宋体" w:hAnsi="宋体" w:eastAsia="宋体" w:cstheme="minorBidi"/>
          <w:color w:val="auto"/>
          <w:kern w:val="2"/>
          <w:sz w:val="21"/>
          <w:szCs w:val="21"/>
          <w:lang w:val="en-US" w:eastAsia="zh-CN" w:bidi="ar-SA"/>
        </w:rPr>
      </w:pPr>
      <w:r>
        <w:rPr>
          <w:rFonts w:hint="eastAsia" w:ascii="宋体" w:hAnsi="宋体" w:eastAsia="宋体" w:cstheme="minorBidi"/>
          <w:color w:val="auto"/>
          <w:kern w:val="2"/>
          <w:sz w:val="21"/>
          <w:szCs w:val="21"/>
          <w:lang w:val="en-US" w:eastAsia="zh-CN" w:bidi="ar-SA"/>
        </w:rPr>
        <w:t>质保期过后，提供</w:t>
      </w:r>
      <w:r>
        <w:rPr>
          <w:rFonts w:hint="eastAsia" w:ascii="宋体" w:hAnsi="宋体" w:cstheme="minorBidi"/>
          <w:color w:val="auto"/>
          <w:kern w:val="2"/>
          <w:sz w:val="21"/>
          <w:szCs w:val="21"/>
          <w:lang w:val="en-US" w:eastAsia="zh-CN" w:bidi="ar-SA"/>
        </w:rPr>
        <w:t>上门服务、远程维护等终</w:t>
      </w:r>
      <w:r>
        <w:rPr>
          <w:rFonts w:hint="eastAsia" w:ascii="宋体" w:hAnsi="宋体" w:eastAsia="宋体" w:cstheme="minorBidi"/>
          <w:color w:val="auto"/>
          <w:kern w:val="2"/>
          <w:sz w:val="21"/>
          <w:szCs w:val="21"/>
          <w:lang w:val="en-US" w:eastAsia="zh-CN" w:bidi="ar-SA"/>
        </w:rPr>
        <w:t>身维护</w:t>
      </w:r>
      <w:r>
        <w:rPr>
          <w:rFonts w:hint="eastAsia" w:ascii="宋体" w:hAnsi="宋体" w:cstheme="minorBidi"/>
          <w:color w:val="auto"/>
          <w:kern w:val="2"/>
          <w:sz w:val="21"/>
          <w:szCs w:val="21"/>
          <w:lang w:val="en-US" w:eastAsia="zh-CN" w:bidi="ar-SA"/>
        </w:rPr>
        <w:t>，</w:t>
      </w:r>
      <w:r>
        <w:rPr>
          <w:rFonts w:hint="eastAsia" w:ascii="宋体" w:hAnsi="宋体" w:eastAsia="宋体" w:cstheme="minorBidi"/>
          <w:color w:val="auto"/>
          <w:kern w:val="2"/>
          <w:sz w:val="21"/>
          <w:szCs w:val="21"/>
          <w:lang w:val="en-US" w:eastAsia="zh-CN" w:bidi="ar-SA"/>
        </w:rPr>
        <w:t>软件如需升级则收取软件成本费用。</w:t>
      </w:r>
    </w:p>
    <w:p>
      <w:pPr>
        <w:pStyle w:val="24"/>
        <w:keepNext w:val="0"/>
        <w:keepLines w:val="0"/>
        <w:pageBreakBefore w:val="0"/>
        <w:widowControl/>
        <w:numPr>
          <w:ilvl w:val="0"/>
          <w:numId w:val="0"/>
        </w:numPr>
        <w:kinsoku/>
        <w:wordWrap/>
        <w:overflowPunct/>
        <w:topLinePunct w:val="0"/>
        <w:autoSpaceDE/>
        <w:autoSpaceDN/>
        <w:bidi w:val="0"/>
        <w:adjustRightInd/>
        <w:snapToGrid w:val="0"/>
        <w:spacing w:line="360" w:lineRule="atLeast"/>
        <w:textAlignment w:val="baseline"/>
        <w:rPr>
          <w:rFonts w:hint="eastAsia" w:ascii="楷体" w:hAnsi="楷体" w:eastAsia="楷体" w:cs="楷体"/>
          <w:b/>
          <w:color w:val="auto"/>
          <w:kern w:val="44"/>
          <w:sz w:val="21"/>
          <w:szCs w:val="21"/>
          <w:lang w:val="en-US" w:eastAsia="zh-CN" w:bidi="ar-SA"/>
        </w:rPr>
      </w:pPr>
      <w:r>
        <w:rPr>
          <w:rFonts w:hint="eastAsia" w:ascii="楷体" w:hAnsi="楷体" w:eastAsia="楷体" w:cs="楷体"/>
          <w:b/>
          <w:color w:val="auto"/>
          <w:kern w:val="44"/>
          <w:sz w:val="21"/>
          <w:szCs w:val="21"/>
          <w:lang w:val="en-US" w:eastAsia="zh-CN" w:bidi="ar-SA"/>
        </w:rPr>
        <w:t xml:space="preserve">8.2.3人员培训 </w:t>
      </w:r>
    </w:p>
    <w:p>
      <w:pPr>
        <w:pStyle w:val="24"/>
        <w:keepNext w:val="0"/>
        <w:keepLines w:val="0"/>
        <w:pageBreakBefore w:val="0"/>
        <w:widowControl/>
        <w:kinsoku/>
        <w:wordWrap/>
        <w:overflowPunct/>
        <w:topLinePunct w:val="0"/>
        <w:autoSpaceDE/>
        <w:autoSpaceDN/>
        <w:bidi w:val="0"/>
        <w:adjustRightInd/>
        <w:snapToGrid w:val="0"/>
        <w:spacing w:line="240" w:lineRule="atLeast"/>
        <w:textAlignment w:val="baseline"/>
        <w:rPr>
          <w:rFonts w:hint="eastAsia" w:ascii="宋体" w:hAnsi="宋体" w:eastAsia="宋体" w:cstheme="minorBidi"/>
          <w:color w:val="auto"/>
          <w:kern w:val="2"/>
          <w:sz w:val="21"/>
          <w:szCs w:val="21"/>
          <w:lang w:val="en-US" w:eastAsia="zh-CN" w:bidi="ar-SA"/>
        </w:rPr>
      </w:pPr>
      <w:r>
        <w:rPr>
          <w:rFonts w:hint="eastAsia" w:ascii="宋体" w:hAnsi="宋体" w:eastAsia="宋体" w:cstheme="minorBidi"/>
          <w:color w:val="auto"/>
          <w:kern w:val="2"/>
          <w:sz w:val="21"/>
          <w:szCs w:val="21"/>
          <w:lang w:val="en-US" w:eastAsia="zh-CN" w:bidi="ar-SA"/>
        </w:rPr>
        <w:t>施工安装调试完成后，中标人应提供免费的安装培训和使用操作培训服务</w:t>
      </w:r>
      <w:r>
        <w:rPr>
          <w:rFonts w:hint="eastAsia" w:ascii="宋体" w:hAnsi="宋体" w:cstheme="minorBidi"/>
          <w:color w:val="auto"/>
          <w:kern w:val="2"/>
          <w:sz w:val="21"/>
          <w:szCs w:val="21"/>
          <w:lang w:val="en-US" w:eastAsia="zh-CN" w:bidi="ar-SA"/>
        </w:rPr>
        <w:t>，</w:t>
      </w:r>
      <w:r>
        <w:rPr>
          <w:rFonts w:hint="eastAsia" w:ascii="宋体" w:hAnsi="宋体" w:eastAsia="宋体" w:cstheme="minorBidi"/>
          <w:color w:val="auto"/>
          <w:kern w:val="2"/>
          <w:sz w:val="21"/>
          <w:szCs w:val="21"/>
          <w:lang w:val="en-US" w:eastAsia="zh-CN" w:bidi="ar-SA"/>
        </w:rPr>
        <w:t>保证招标方技术人员达到熟练操作、维护的程度，能进行一般的日常维护管理和检修，并能够处理简单的软、硬件故障。中标人须在投标文件中提供详细的培训计划，包括培训内容、培训时间等，培训费用应包含在投标总价中。</w:t>
      </w:r>
    </w:p>
    <w:p>
      <w:pPr>
        <w:pStyle w:val="24"/>
        <w:keepNext w:val="0"/>
        <w:keepLines w:val="0"/>
        <w:pageBreakBefore w:val="0"/>
        <w:widowControl/>
        <w:kinsoku/>
        <w:wordWrap/>
        <w:overflowPunct/>
        <w:topLinePunct w:val="0"/>
        <w:autoSpaceDE/>
        <w:autoSpaceDN/>
        <w:bidi w:val="0"/>
        <w:adjustRightInd/>
        <w:snapToGrid w:val="0"/>
        <w:spacing w:before="157" w:beforeLines="50" w:after="157" w:afterLines="50" w:line="240" w:lineRule="atLeast"/>
        <w:ind w:left="0" w:leftChars="0" w:firstLine="0" w:firstLineChars="0"/>
        <w:textAlignment w:val="baseline"/>
        <w:rPr>
          <w:rFonts w:hint="eastAsia" w:ascii="黑体" w:hAnsi="黑体" w:eastAsia="黑体" w:cs="黑体"/>
          <w:b/>
          <w:color w:val="auto"/>
          <w:kern w:val="44"/>
          <w:sz w:val="24"/>
          <w:szCs w:val="24"/>
          <w:lang w:val="en-US" w:eastAsia="zh-CN" w:bidi="ar-SA"/>
        </w:rPr>
      </w:pPr>
      <w:r>
        <w:rPr>
          <w:rFonts w:hint="eastAsia" w:ascii="黑体" w:hAnsi="黑体" w:eastAsia="黑体" w:cs="黑体"/>
          <w:b/>
          <w:color w:val="auto"/>
          <w:kern w:val="44"/>
          <w:sz w:val="24"/>
          <w:szCs w:val="24"/>
          <w:lang w:val="en-US" w:eastAsia="zh-CN" w:bidi="ar-SA"/>
        </w:rPr>
        <w:t>9.验收要求</w:t>
      </w:r>
    </w:p>
    <w:p>
      <w:pPr>
        <w:pStyle w:val="24"/>
        <w:keepNext w:val="0"/>
        <w:keepLines w:val="0"/>
        <w:pageBreakBefore w:val="0"/>
        <w:widowControl/>
        <w:kinsoku/>
        <w:wordWrap/>
        <w:overflowPunct/>
        <w:topLinePunct w:val="0"/>
        <w:autoSpaceDE/>
        <w:autoSpaceDN/>
        <w:bidi w:val="0"/>
        <w:adjustRightInd/>
        <w:snapToGrid w:val="0"/>
        <w:spacing w:line="240" w:lineRule="atLeast"/>
        <w:ind w:left="0" w:leftChars="0" w:firstLine="420" w:firstLineChars="200"/>
        <w:textAlignment w:val="baseline"/>
        <w:rPr>
          <w:rFonts w:hint="eastAsia" w:ascii="宋体" w:hAnsi="宋体" w:eastAsia="宋体" w:cstheme="minorBidi"/>
          <w:color w:val="auto"/>
          <w:kern w:val="2"/>
          <w:sz w:val="21"/>
          <w:szCs w:val="21"/>
          <w:lang w:val="en-US" w:eastAsia="zh-CN" w:bidi="ar-SA"/>
        </w:rPr>
      </w:pPr>
      <w:r>
        <w:rPr>
          <w:rFonts w:hint="eastAsia" w:ascii="宋体" w:hAnsi="宋体" w:eastAsia="宋体" w:cstheme="minorBidi"/>
          <w:color w:val="auto"/>
          <w:kern w:val="2"/>
          <w:sz w:val="21"/>
          <w:szCs w:val="21"/>
          <w:lang w:val="en-US" w:eastAsia="zh-CN" w:bidi="ar-SA"/>
        </w:rPr>
        <w:t>按照相关质量标准、技术规范要求、合同规定的验收标准及招、投标文件的要求，采购人组织相关部门、人员进行验收（若采购人组织第三方验收，验收费用由中标人承担）。验收前所有货物的随箱保修卡、说明书和有关技术资料等其他一切附带物品，都已提交采购人并得到接受。如资料不符合要求需要整改的，中标人必须无条件接受。</w:t>
      </w:r>
    </w:p>
    <w:p>
      <w:pPr>
        <w:pStyle w:val="22"/>
        <w:keepNext w:val="0"/>
        <w:keepLines w:val="0"/>
        <w:pageBreakBefore w:val="0"/>
        <w:kinsoku/>
        <w:wordWrap/>
        <w:overflowPunct/>
        <w:topLinePunct w:val="0"/>
        <w:autoSpaceDE/>
        <w:autoSpaceDN/>
        <w:bidi w:val="0"/>
        <w:snapToGrid w:val="0"/>
        <w:spacing w:line="340" w:lineRule="atLeast"/>
        <w:ind w:firstLine="0" w:firstLineChars="0"/>
        <w:textAlignment w:val="auto"/>
        <w:rPr>
          <w:rFonts w:hint="eastAsia" w:ascii="黑体" w:hAnsi="黑体" w:eastAsia="黑体" w:cs="黑体"/>
          <w:b/>
          <w:color w:val="auto"/>
          <w:kern w:val="44"/>
          <w:sz w:val="24"/>
          <w:szCs w:val="24"/>
          <w:lang w:val="en-US" w:eastAsia="zh-CN" w:bidi="ar-SA"/>
        </w:rPr>
      </w:pPr>
      <w:r>
        <w:rPr>
          <w:rFonts w:hint="eastAsia" w:ascii="黑体" w:hAnsi="黑体" w:eastAsia="黑体" w:cs="黑体"/>
          <w:b/>
          <w:color w:val="auto"/>
          <w:kern w:val="44"/>
          <w:sz w:val="24"/>
          <w:szCs w:val="24"/>
          <w:lang w:val="en-US" w:eastAsia="zh-CN" w:bidi="ar-SA"/>
        </w:rPr>
        <w:t>10.知识产权</w:t>
      </w:r>
    </w:p>
    <w:p>
      <w:pPr>
        <w:keepNext w:val="0"/>
        <w:keepLines w:val="0"/>
        <w:pageBreakBefore w:val="0"/>
        <w:kinsoku/>
        <w:wordWrap/>
        <w:overflowPunct/>
        <w:topLinePunct w:val="0"/>
        <w:autoSpaceDE/>
        <w:autoSpaceDN/>
        <w:bidi w:val="0"/>
        <w:snapToGrid w:val="0"/>
        <w:spacing w:line="340" w:lineRule="atLeast"/>
        <w:ind w:firstLine="420" w:firstLineChars="200"/>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stheme="minorBidi"/>
          <w:color w:val="auto"/>
          <w:kern w:val="2"/>
          <w:sz w:val="21"/>
          <w:szCs w:val="21"/>
          <w:lang w:val="en-US" w:eastAsia="zh-CN" w:bidi="ar-SA"/>
        </w:rPr>
        <w:t>乙方应保证甲方有该标的物的终身使用权。在使用该标的物或其任何一部分时不受任何第三方提出的侵犯其著作权、商标权、专利权等知识产权方面的起诉影响；如果任何第三方提出侵权指控，乙方须与该第三方交涉并承担由此发生的一切责任、费用和赔偿。</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240" w:lineRule="atLeast"/>
        <w:textAlignment w:val="auto"/>
        <w:rPr>
          <w:rFonts w:hint="default" w:ascii="黑体" w:hAnsi="黑体" w:eastAsia="黑体" w:cs="黑体"/>
          <w:b/>
          <w:color w:val="auto"/>
          <w:kern w:val="44"/>
          <w:sz w:val="24"/>
          <w:szCs w:val="24"/>
          <w:lang w:val="en-US" w:eastAsia="zh-CN" w:bidi="ar-SA"/>
        </w:rPr>
      </w:pPr>
      <w:r>
        <w:rPr>
          <w:rFonts w:hint="eastAsia" w:ascii="黑体" w:hAnsi="黑体" w:eastAsia="黑体" w:cs="黑体"/>
          <w:b/>
          <w:color w:val="auto"/>
          <w:kern w:val="44"/>
          <w:sz w:val="24"/>
          <w:szCs w:val="24"/>
          <w:lang w:val="en-US" w:eastAsia="zh-CN" w:bidi="ar-SA"/>
        </w:rPr>
        <w:t>11.违约责任</w:t>
      </w:r>
    </w:p>
    <w:p>
      <w:pPr>
        <w:pStyle w:val="24"/>
        <w:keepNext w:val="0"/>
        <w:keepLines w:val="0"/>
        <w:pageBreakBefore w:val="0"/>
        <w:widowControl/>
        <w:kinsoku/>
        <w:wordWrap/>
        <w:overflowPunct/>
        <w:topLinePunct w:val="0"/>
        <w:autoSpaceDE/>
        <w:autoSpaceDN/>
        <w:bidi w:val="0"/>
        <w:adjustRightInd/>
        <w:snapToGrid w:val="0"/>
        <w:spacing w:line="240" w:lineRule="atLeast"/>
        <w:textAlignment w:val="baseline"/>
        <w:rPr>
          <w:rFonts w:hint="eastAsia" w:ascii="宋体" w:hAnsi="宋体" w:eastAsia="宋体" w:cstheme="minorBidi"/>
          <w:color w:val="auto"/>
          <w:kern w:val="2"/>
          <w:sz w:val="21"/>
          <w:szCs w:val="21"/>
          <w:lang w:val="en-US" w:eastAsia="zh-CN" w:bidi="ar-SA"/>
        </w:rPr>
      </w:pPr>
      <w:r>
        <w:rPr>
          <w:rFonts w:hint="eastAsia" w:ascii="宋体" w:hAnsi="宋体" w:cstheme="minorBidi"/>
          <w:color w:val="auto"/>
          <w:kern w:val="2"/>
          <w:sz w:val="21"/>
          <w:szCs w:val="21"/>
          <w:lang w:val="en-US" w:eastAsia="zh-CN" w:bidi="ar-SA"/>
        </w:rPr>
        <w:t>11</w:t>
      </w:r>
      <w:r>
        <w:rPr>
          <w:rFonts w:hint="eastAsia" w:ascii="宋体" w:hAnsi="宋体" w:eastAsia="宋体" w:cstheme="minorBidi"/>
          <w:color w:val="auto"/>
          <w:kern w:val="2"/>
          <w:sz w:val="21"/>
          <w:szCs w:val="21"/>
          <w:lang w:val="en-US" w:eastAsia="zh-CN" w:bidi="ar-SA"/>
        </w:rPr>
        <w:t>.1具体安装施工期限以中标人在接到</w:t>
      </w:r>
      <w:r>
        <w:rPr>
          <w:rFonts w:hint="eastAsia" w:ascii="宋体" w:hAnsi="宋体" w:cstheme="minorBidi"/>
          <w:color w:val="auto"/>
          <w:kern w:val="2"/>
          <w:sz w:val="21"/>
          <w:szCs w:val="21"/>
          <w:lang w:val="en-US" w:eastAsia="zh-CN" w:bidi="ar-SA"/>
        </w:rPr>
        <w:t>采购人</w:t>
      </w:r>
      <w:r>
        <w:rPr>
          <w:rFonts w:hint="eastAsia" w:ascii="宋体" w:hAnsi="宋体" w:eastAsia="宋体" w:cstheme="minorBidi"/>
          <w:color w:val="auto"/>
          <w:kern w:val="2"/>
          <w:sz w:val="21"/>
          <w:szCs w:val="21"/>
          <w:lang w:val="en-US" w:eastAsia="zh-CN" w:bidi="ar-SA"/>
        </w:rPr>
        <w:t>通知可以正式开始进行施工之日起计，中标人须如期完工，不得拖延。除不可抗力外，如果中标人没有按照约定的期限、地点和方式交付货物，那么</w:t>
      </w:r>
      <w:r>
        <w:rPr>
          <w:rFonts w:hint="eastAsia" w:ascii="宋体" w:hAnsi="宋体" w:cstheme="minorBidi"/>
          <w:color w:val="auto"/>
          <w:kern w:val="2"/>
          <w:sz w:val="21"/>
          <w:szCs w:val="21"/>
          <w:lang w:val="en-US" w:eastAsia="zh-CN" w:bidi="ar-SA"/>
        </w:rPr>
        <w:t>采购人</w:t>
      </w:r>
      <w:r>
        <w:rPr>
          <w:rFonts w:hint="eastAsia" w:ascii="宋体" w:hAnsi="宋体" w:eastAsia="宋体" w:cstheme="minorBidi"/>
          <w:color w:val="auto"/>
          <w:kern w:val="2"/>
          <w:sz w:val="21"/>
          <w:szCs w:val="21"/>
          <w:lang w:val="en-US" w:eastAsia="zh-CN" w:bidi="ar-SA"/>
        </w:rPr>
        <w:t>可要求中标人支付违约金，违约金按每迟延交付货物一日的应交付而未交付货物价格的0.5 %计算，最高限额为总价的5 %；由</w:t>
      </w:r>
      <w:r>
        <w:rPr>
          <w:rFonts w:hint="eastAsia" w:ascii="宋体" w:hAnsi="宋体" w:cstheme="minorBidi"/>
          <w:color w:val="auto"/>
          <w:kern w:val="2"/>
          <w:sz w:val="21"/>
          <w:szCs w:val="21"/>
          <w:lang w:val="en-US" w:eastAsia="zh-CN" w:bidi="ar-SA"/>
        </w:rPr>
        <w:t>采购人</w:t>
      </w:r>
      <w:r>
        <w:rPr>
          <w:rFonts w:hint="eastAsia" w:ascii="宋体" w:hAnsi="宋体" w:eastAsia="宋体" w:cstheme="minorBidi"/>
          <w:color w:val="auto"/>
          <w:kern w:val="2"/>
          <w:sz w:val="21"/>
          <w:szCs w:val="21"/>
          <w:lang w:val="en-US" w:eastAsia="zh-CN" w:bidi="ar-SA"/>
        </w:rPr>
        <w:t>从待付款中扣除。迟延交付货物的违约金计算数额达到前述最高限额之日起，</w:t>
      </w:r>
      <w:r>
        <w:rPr>
          <w:rFonts w:hint="eastAsia" w:ascii="宋体" w:hAnsi="宋体" w:cstheme="minorBidi"/>
          <w:color w:val="auto"/>
          <w:kern w:val="2"/>
          <w:sz w:val="21"/>
          <w:szCs w:val="21"/>
          <w:lang w:val="en-US" w:eastAsia="zh-CN" w:bidi="ar-SA"/>
        </w:rPr>
        <w:t>采购人</w:t>
      </w:r>
      <w:r>
        <w:rPr>
          <w:rFonts w:hint="eastAsia" w:ascii="宋体" w:hAnsi="宋体" w:eastAsia="宋体" w:cstheme="minorBidi"/>
          <w:color w:val="auto"/>
          <w:kern w:val="2"/>
          <w:sz w:val="21"/>
          <w:szCs w:val="21"/>
          <w:lang w:val="en-US" w:eastAsia="zh-CN" w:bidi="ar-SA"/>
        </w:rPr>
        <w:t>有权在要求中标人支付违约金的同时，书面通知中标人解除合同，并要求中标人在7个工作日内返还已付款。</w:t>
      </w:r>
    </w:p>
    <w:p>
      <w:pPr>
        <w:pStyle w:val="24"/>
        <w:keepNext w:val="0"/>
        <w:keepLines w:val="0"/>
        <w:pageBreakBefore w:val="0"/>
        <w:widowControl/>
        <w:kinsoku/>
        <w:wordWrap/>
        <w:overflowPunct/>
        <w:topLinePunct w:val="0"/>
        <w:autoSpaceDE/>
        <w:autoSpaceDN/>
        <w:bidi w:val="0"/>
        <w:adjustRightInd/>
        <w:snapToGrid w:val="0"/>
        <w:spacing w:line="240" w:lineRule="atLeast"/>
        <w:textAlignment w:val="baseline"/>
        <w:rPr>
          <w:rFonts w:hint="eastAsia" w:ascii="宋体" w:hAnsi="宋体" w:eastAsia="宋体" w:cstheme="minorBidi"/>
          <w:color w:val="auto"/>
          <w:kern w:val="2"/>
          <w:sz w:val="21"/>
          <w:szCs w:val="21"/>
          <w:lang w:val="en-US" w:eastAsia="zh-CN" w:bidi="ar-SA"/>
        </w:rPr>
      </w:pPr>
      <w:r>
        <w:rPr>
          <w:rFonts w:hint="eastAsia" w:ascii="宋体" w:hAnsi="宋体" w:cstheme="minorBidi"/>
          <w:color w:val="auto"/>
          <w:kern w:val="2"/>
          <w:sz w:val="21"/>
          <w:szCs w:val="21"/>
          <w:lang w:val="en-US" w:eastAsia="zh-CN" w:bidi="ar-SA"/>
        </w:rPr>
        <w:t>11</w:t>
      </w:r>
      <w:r>
        <w:rPr>
          <w:rFonts w:hint="eastAsia" w:ascii="宋体" w:hAnsi="宋体" w:eastAsia="宋体" w:cstheme="minorBidi"/>
          <w:color w:val="auto"/>
          <w:kern w:val="2"/>
          <w:sz w:val="21"/>
          <w:szCs w:val="21"/>
          <w:lang w:val="en-US" w:eastAsia="zh-CN" w:bidi="ar-SA"/>
        </w:rPr>
        <w:t>.2按照前述</w:t>
      </w:r>
      <w:r>
        <w:rPr>
          <w:rFonts w:hint="eastAsia" w:ascii="宋体" w:hAnsi="宋体" w:cstheme="minorBidi"/>
          <w:color w:val="auto"/>
          <w:kern w:val="2"/>
          <w:sz w:val="21"/>
          <w:szCs w:val="21"/>
          <w:lang w:val="en-US" w:eastAsia="zh-CN" w:bidi="ar-SA"/>
        </w:rPr>
        <w:t>11</w:t>
      </w:r>
      <w:r>
        <w:rPr>
          <w:rFonts w:hint="eastAsia" w:ascii="宋体" w:hAnsi="宋体" w:eastAsia="宋体" w:cstheme="minorBidi"/>
          <w:color w:val="auto"/>
          <w:kern w:val="2"/>
          <w:sz w:val="21"/>
          <w:szCs w:val="21"/>
          <w:lang w:val="en-US" w:eastAsia="zh-CN" w:bidi="ar-SA"/>
        </w:rPr>
        <w:t>.1约定要求支付违约金的同时，</w:t>
      </w:r>
      <w:r>
        <w:rPr>
          <w:rFonts w:hint="eastAsia" w:ascii="宋体" w:hAnsi="宋体" w:cstheme="minorBidi"/>
          <w:color w:val="auto"/>
          <w:kern w:val="2"/>
          <w:sz w:val="21"/>
          <w:szCs w:val="21"/>
          <w:lang w:val="en-US" w:eastAsia="zh-CN" w:bidi="ar-SA"/>
        </w:rPr>
        <w:t>采购人</w:t>
      </w:r>
      <w:r>
        <w:rPr>
          <w:rFonts w:hint="eastAsia" w:ascii="宋体" w:hAnsi="宋体" w:eastAsia="宋体" w:cstheme="minorBidi"/>
          <w:color w:val="auto"/>
          <w:kern w:val="2"/>
          <w:sz w:val="21"/>
          <w:szCs w:val="21"/>
          <w:lang w:val="en-US" w:eastAsia="zh-CN" w:bidi="ar-SA"/>
        </w:rPr>
        <w:t>仍有权要求中标人继续履行义务，采取补救措施，并有权按照</w:t>
      </w:r>
      <w:r>
        <w:rPr>
          <w:rFonts w:hint="eastAsia" w:ascii="宋体" w:hAnsi="宋体" w:cstheme="minorBidi"/>
          <w:color w:val="auto"/>
          <w:kern w:val="2"/>
          <w:sz w:val="21"/>
          <w:szCs w:val="21"/>
          <w:lang w:val="en-US" w:eastAsia="zh-CN" w:bidi="ar-SA"/>
        </w:rPr>
        <w:t>采购人</w:t>
      </w:r>
      <w:r>
        <w:rPr>
          <w:rFonts w:hint="eastAsia" w:ascii="宋体" w:hAnsi="宋体" w:eastAsia="宋体" w:cstheme="minorBidi"/>
          <w:color w:val="auto"/>
          <w:kern w:val="2"/>
          <w:sz w:val="21"/>
          <w:szCs w:val="21"/>
          <w:lang w:val="en-US" w:eastAsia="zh-CN" w:bidi="ar-SA"/>
        </w:rPr>
        <w:t>实际损失情况要求中标人赔偿损失。</w:t>
      </w:r>
    </w:p>
    <w:p>
      <w:pPr>
        <w:pStyle w:val="24"/>
        <w:keepNext w:val="0"/>
        <w:keepLines w:val="0"/>
        <w:pageBreakBefore w:val="0"/>
        <w:widowControl/>
        <w:kinsoku/>
        <w:wordWrap/>
        <w:overflowPunct/>
        <w:topLinePunct w:val="0"/>
        <w:autoSpaceDE/>
        <w:autoSpaceDN/>
        <w:bidi w:val="0"/>
        <w:adjustRightInd/>
        <w:snapToGrid w:val="0"/>
        <w:spacing w:line="240" w:lineRule="atLeast"/>
        <w:textAlignment w:val="baseline"/>
        <w:rPr>
          <w:rFonts w:hint="default" w:ascii="宋体" w:hAnsi="宋体" w:eastAsia="宋体" w:cstheme="minorBidi"/>
          <w:color w:val="auto"/>
          <w:kern w:val="2"/>
          <w:sz w:val="21"/>
          <w:szCs w:val="21"/>
          <w:lang w:val="en-US" w:eastAsia="zh-CN" w:bidi="ar-SA"/>
        </w:rPr>
      </w:pPr>
      <w:r>
        <w:rPr>
          <w:rFonts w:hint="eastAsia" w:ascii="宋体" w:hAnsi="宋体" w:cstheme="minorBidi"/>
          <w:color w:val="auto"/>
          <w:kern w:val="2"/>
          <w:sz w:val="21"/>
          <w:szCs w:val="21"/>
          <w:lang w:val="en-US" w:eastAsia="zh-CN" w:bidi="ar-SA"/>
        </w:rPr>
        <w:t>11</w:t>
      </w:r>
      <w:r>
        <w:rPr>
          <w:rFonts w:hint="eastAsia" w:ascii="宋体" w:hAnsi="宋体" w:eastAsia="宋体" w:cstheme="minorBidi"/>
          <w:color w:val="auto"/>
          <w:kern w:val="2"/>
          <w:sz w:val="21"/>
          <w:szCs w:val="21"/>
          <w:lang w:val="en-US" w:eastAsia="zh-CN" w:bidi="ar-SA"/>
        </w:rPr>
        <w:t>.3如果出现政府采购监督管理部门在处理投诉事项期间，通知暂停采购活动的情形，或者询问或质疑事项可能影响中标结果的，导致</w:t>
      </w:r>
      <w:r>
        <w:rPr>
          <w:rFonts w:hint="eastAsia" w:ascii="宋体" w:hAnsi="宋体" w:cstheme="minorBidi"/>
          <w:color w:val="auto"/>
          <w:kern w:val="2"/>
          <w:sz w:val="21"/>
          <w:szCs w:val="21"/>
          <w:lang w:val="en-US" w:eastAsia="zh-CN" w:bidi="ar-SA"/>
        </w:rPr>
        <w:t>采购人</w:t>
      </w:r>
      <w:r>
        <w:rPr>
          <w:rFonts w:hint="eastAsia" w:ascii="宋体" w:hAnsi="宋体" w:eastAsia="宋体" w:cstheme="minorBidi"/>
          <w:color w:val="auto"/>
          <w:kern w:val="2"/>
          <w:sz w:val="21"/>
          <w:szCs w:val="21"/>
          <w:lang w:val="en-US" w:eastAsia="zh-CN" w:bidi="ar-SA"/>
        </w:rPr>
        <w:t>中止履行合同的情形，均不视为</w:t>
      </w:r>
      <w:r>
        <w:rPr>
          <w:rFonts w:hint="eastAsia" w:ascii="宋体" w:hAnsi="宋体" w:cstheme="minorBidi"/>
          <w:color w:val="auto"/>
          <w:kern w:val="2"/>
          <w:sz w:val="21"/>
          <w:szCs w:val="21"/>
          <w:lang w:val="en-US" w:eastAsia="zh-CN" w:bidi="ar-SA"/>
        </w:rPr>
        <w:t>采购人</w:t>
      </w:r>
      <w:r>
        <w:rPr>
          <w:rFonts w:hint="eastAsia" w:ascii="宋体" w:hAnsi="宋体" w:eastAsia="宋体" w:cstheme="minorBidi"/>
          <w:color w:val="auto"/>
          <w:kern w:val="2"/>
          <w:sz w:val="21"/>
          <w:szCs w:val="21"/>
          <w:lang w:val="en-US" w:eastAsia="zh-CN" w:bidi="ar-SA"/>
        </w:rPr>
        <w:t>违约。</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240" w:lineRule="atLeast"/>
        <w:textAlignment w:val="auto"/>
        <w:rPr>
          <w:rFonts w:hint="eastAsia" w:ascii="黑体" w:hAnsi="黑体" w:eastAsia="黑体" w:cs="黑体"/>
          <w:b/>
          <w:color w:val="auto"/>
          <w:kern w:val="44"/>
          <w:sz w:val="24"/>
          <w:szCs w:val="24"/>
          <w:lang w:val="en-US" w:eastAsia="zh-CN" w:bidi="ar-SA"/>
        </w:rPr>
      </w:pPr>
      <w:r>
        <w:rPr>
          <w:rFonts w:hint="eastAsia" w:ascii="黑体" w:hAnsi="黑体" w:eastAsia="黑体" w:cs="黑体"/>
          <w:b/>
          <w:color w:val="auto"/>
          <w:kern w:val="44"/>
          <w:sz w:val="24"/>
          <w:szCs w:val="24"/>
          <w:lang w:val="en-US" w:eastAsia="zh-CN" w:bidi="ar-SA"/>
        </w:rPr>
        <w:t>12.违约解除合同</w:t>
      </w:r>
    </w:p>
    <w:p>
      <w:pPr>
        <w:keepNext w:val="0"/>
        <w:keepLines w:val="0"/>
        <w:pageBreakBefore w:val="0"/>
        <w:kinsoku/>
        <w:wordWrap/>
        <w:overflowPunct/>
        <w:topLinePunct w:val="0"/>
        <w:autoSpaceDE/>
        <w:autoSpaceDN/>
        <w:bidi w:val="0"/>
        <w:snapToGrid w:val="0"/>
        <w:spacing w:line="340" w:lineRule="atLeast"/>
        <w:ind w:firstLine="420" w:firstLineChars="200"/>
        <w:textAlignment w:val="auto"/>
        <w:rPr>
          <w:rFonts w:hint="eastAsia" w:ascii="宋体" w:hAnsi="宋体" w:eastAsia="宋体" w:cstheme="minorBidi"/>
          <w:color w:val="auto"/>
          <w:kern w:val="2"/>
          <w:sz w:val="21"/>
          <w:szCs w:val="21"/>
          <w:lang w:val="en-US" w:eastAsia="zh-CN" w:bidi="ar-SA"/>
        </w:rPr>
      </w:pPr>
      <w:r>
        <w:rPr>
          <w:rFonts w:hint="eastAsia" w:cstheme="minorBidi"/>
          <w:color w:val="auto"/>
          <w:kern w:val="2"/>
          <w:sz w:val="21"/>
          <w:szCs w:val="21"/>
          <w:lang w:val="en-US" w:eastAsia="zh-CN" w:bidi="ar-SA"/>
        </w:rPr>
        <w:t>12.</w:t>
      </w:r>
      <w:r>
        <w:rPr>
          <w:rFonts w:hint="eastAsia" w:ascii="宋体" w:hAnsi="宋体" w:eastAsia="宋体" w:cstheme="minorBidi"/>
          <w:color w:val="auto"/>
          <w:kern w:val="2"/>
          <w:sz w:val="21"/>
          <w:szCs w:val="21"/>
          <w:lang w:val="en-US" w:eastAsia="zh-CN" w:bidi="ar-SA"/>
        </w:rPr>
        <w:t>1在乙方违约的情况下，甲方可向乙方发出书面通知，部分或全部终止合同,同时保留向乙方追诉的权利：</w:t>
      </w:r>
    </w:p>
    <w:p>
      <w:pPr>
        <w:keepNext w:val="0"/>
        <w:keepLines w:val="0"/>
        <w:pageBreakBefore w:val="0"/>
        <w:kinsoku/>
        <w:wordWrap/>
        <w:overflowPunct/>
        <w:topLinePunct w:val="0"/>
        <w:autoSpaceDE/>
        <w:autoSpaceDN/>
        <w:bidi w:val="0"/>
        <w:snapToGrid w:val="0"/>
        <w:spacing w:line="340" w:lineRule="atLeast"/>
        <w:ind w:firstLine="420" w:firstLineChars="200"/>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stheme="minorBidi"/>
          <w:color w:val="auto"/>
          <w:kern w:val="2"/>
          <w:sz w:val="21"/>
          <w:szCs w:val="21"/>
          <w:lang w:val="en-US" w:eastAsia="zh-CN" w:bidi="ar-SA"/>
        </w:rPr>
        <w:t>乙方未能在合同规定的限期或甲方同意延长的限期内，提供全部或部分标的物的；</w:t>
      </w:r>
    </w:p>
    <w:p>
      <w:pPr>
        <w:keepNext w:val="0"/>
        <w:keepLines w:val="0"/>
        <w:pageBreakBefore w:val="0"/>
        <w:kinsoku/>
        <w:wordWrap/>
        <w:overflowPunct/>
        <w:topLinePunct w:val="0"/>
        <w:autoSpaceDE/>
        <w:autoSpaceDN/>
        <w:bidi w:val="0"/>
        <w:snapToGrid w:val="0"/>
        <w:spacing w:line="340" w:lineRule="atLeast"/>
        <w:ind w:firstLine="420" w:firstLineChars="200"/>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stheme="minorBidi"/>
          <w:color w:val="auto"/>
          <w:kern w:val="2"/>
          <w:sz w:val="21"/>
          <w:szCs w:val="21"/>
          <w:lang w:val="en-US" w:eastAsia="zh-CN" w:bidi="ar-SA"/>
        </w:rPr>
        <w:t>乙方未能履行合同规定的其它主要义务的；</w:t>
      </w:r>
    </w:p>
    <w:p>
      <w:pPr>
        <w:keepNext w:val="0"/>
        <w:keepLines w:val="0"/>
        <w:pageBreakBefore w:val="0"/>
        <w:kinsoku/>
        <w:wordWrap/>
        <w:overflowPunct/>
        <w:topLinePunct w:val="0"/>
        <w:autoSpaceDE/>
        <w:autoSpaceDN/>
        <w:bidi w:val="0"/>
        <w:snapToGrid w:val="0"/>
        <w:spacing w:line="340" w:lineRule="atLeast"/>
        <w:ind w:firstLine="420" w:firstLineChars="200"/>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stheme="minorBidi"/>
          <w:color w:val="auto"/>
          <w:kern w:val="2"/>
          <w:sz w:val="21"/>
          <w:szCs w:val="21"/>
          <w:lang w:val="en-US" w:eastAsia="zh-CN" w:bidi="ar-SA"/>
        </w:rPr>
        <w:t>甲方认为乙方在本合同履行过程中有腐败和欺诈等行为的。</w:t>
      </w:r>
    </w:p>
    <w:p>
      <w:pPr>
        <w:keepNext w:val="0"/>
        <w:keepLines w:val="0"/>
        <w:pageBreakBefore w:val="0"/>
        <w:kinsoku/>
        <w:wordWrap/>
        <w:overflowPunct/>
        <w:topLinePunct w:val="0"/>
        <w:autoSpaceDE/>
        <w:autoSpaceDN/>
        <w:bidi w:val="0"/>
        <w:snapToGrid w:val="0"/>
        <w:spacing w:line="340" w:lineRule="atLeast"/>
        <w:ind w:firstLine="420" w:firstLineChars="200"/>
        <w:textAlignment w:val="auto"/>
        <w:rPr>
          <w:rFonts w:hint="eastAsia" w:ascii="黑体" w:hAnsi="黑体" w:eastAsia="黑体" w:cs="黑体"/>
          <w:b/>
          <w:color w:val="auto"/>
          <w:kern w:val="44"/>
          <w:sz w:val="24"/>
          <w:szCs w:val="24"/>
          <w:lang w:val="en-US" w:eastAsia="zh-CN" w:bidi="ar-SA"/>
        </w:rPr>
      </w:pPr>
      <w:r>
        <w:rPr>
          <w:rFonts w:hint="eastAsia" w:cstheme="minorBidi"/>
          <w:color w:val="auto"/>
          <w:kern w:val="2"/>
          <w:sz w:val="21"/>
          <w:szCs w:val="21"/>
          <w:lang w:val="en-US" w:eastAsia="zh-CN" w:bidi="ar-SA"/>
        </w:rPr>
        <w:t>12.</w:t>
      </w:r>
      <w:r>
        <w:rPr>
          <w:rFonts w:hint="eastAsia" w:ascii="宋体" w:hAnsi="宋体" w:eastAsia="宋体" w:cstheme="minorBidi"/>
          <w:color w:val="auto"/>
          <w:kern w:val="2"/>
          <w:sz w:val="21"/>
          <w:szCs w:val="21"/>
          <w:lang w:val="en-US" w:eastAsia="zh-CN" w:bidi="ar-SA"/>
        </w:rPr>
        <w:t>2.甲方解除合同的，合同于甲方发出书面解除合同通知书送达乙方之日起解除。乙方应在合同解除后 7 日内退还甲方已支付的合同款，逾期退还合同款的，每日按未退还金额的  0.5   %支付违约金。</w:t>
      </w:r>
    </w:p>
    <w:p>
      <w:pPr>
        <w:pStyle w:val="24"/>
        <w:keepNext w:val="0"/>
        <w:keepLines w:val="0"/>
        <w:pageBreakBefore w:val="0"/>
        <w:widowControl/>
        <w:kinsoku/>
        <w:wordWrap/>
        <w:overflowPunct/>
        <w:topLinePunct w:val="0"/>
        <w:autoSpaceDE/>
        <w:autoSpaceDN/>
        <w:bidi w:val="0"/>
        <w:adjustRightInd/>
        <w:snapToGrid w:val="0"/>
        <w:spacing w:before="157" w:beforeLines="50" w:after="157" w:afterLines="50" w:line="240" w:lineRule="atLeast"/>
        <w:ind w:left="0" w:leftChars="0" w:firstLine="0" w:firstLineChars="0"/>
        <w:textAlignment w:val="baseline"/>
        <w:rPr>
          <w:rFonts w:hint="eastAsia" w:ascii="黑体" w:hAnsi="黑体" w:eastAsia="黑体" w:cs="黑体"/>
          <w:b/>
          <w:color w:val="auto"/>
          <w:kern w:val="44"/>
          <w:sz w:val="24"/>
          <w:szCs w:val="24"/>
          <w:lang w:val="en-US" w:eastAsia="zh-CN" w:bidi="ar-SA"/>
        </w:rPr>
      </w:pPr>
      <w:r>
        <w:rPr>
          <w:rFonts w:hint="eastAsia" w:ascii="黑体" w:hAnsi="黑体" w:eastAsia="黑体" w:cs="黑体"/>
          <w:b/>
          <w:color w:val="auto"/>
          <w:kern w:val="44"/>
          <w:sz w:val="24"/>
          <w:szCs w:val="24"/>
          <w:lang w:val="en-US" w:eastAsia="zh-CN" w:bidi="ar-SA"/>
        </w:rPr>
        <w:t>13. 付款方式</w:t>
      </w:r>
    </w:p>
    <w:p>
      <w:pPr>
        <w:keepNext w:val="0"/>
        <w:keepLines w:val="0"/>
        <w:pageBreakBefore w:val="0"/>
        <w:widowControl w:val="0"/>
        <w:kinsoku/>
        <w:wordWrap/>
        <w:overflowPunct/>
        <w:topLinePunct w:val="0"/>
        <w:autoSpaceDE/>
        <w:autoSpaceDN/>
        <w:bidi w:val="0"/>
        <w:adjustRightInd/>
        <w:snapToGrid w:val="0"/>
        <w:spacing w:line="240" w:lineRule="atLeast"/>
        <w:ind w:firstLine="420" w:firstLineChars="200"/>
        <w:textAlignment w:val="auto"/>
        <w:rPr>
          <w:rFonts w:hint="default" w:cs="宋体"/>
          <w:sz w:val="21"/>
          <w:szCs w:val="21"/>
          <w:lang w:val="en-US" w:eastAsia="zh-CN"/>
        </w:rPr>
      </w:pPr>
      <w:r>
        <w:rPr>
          <w:rFonts w:hint="eastAsia" w:ascii="Times New Roman" w:hAnsi="Times New Roman" w:eastAsia="宋体" w:cs="Times New Roman"/>
          <w:kern w:val="2"/>
          <w:sz w:val="21"/>
          <w:szCs w:val="21"/>
          <w:lang w:val="en-US" w:eastAsia="zh-CN" w:bidi="ar-SA"/>
        </w:rPr>
        <w:t>合同生效及到货后，按照相关质量标准、技术规范要求等，采购人组织人员对货物进行验收。验收合格并收到中标人正规发票后</w:t>
      </w:r>
      <w:r>
        <w:rPr>
          <w:rFonts w:hint="eastAsia" w:ascii="Times New Roman" w:hAnsi="Times New Roman" w:cs="Times New Roman"/>
          <w:kern w:val="2"/>
          <w:sz w:val="21"/>
          <w:szCs w:val="21"/>
          <w:lang w:val="en-US" w:eastAsia="zh-CN" w:bidi="ar-SA"/>
        </w:rPr>
        <w:t>3</w:t>
      </w:r>
      <w:r>
        <w:rPr>
          <w:rFonts w:hint="eastAsia" w:ascii="Times New Roman" w:hAnsi="Times New Roman" w:eastAsia="宋体" w:cs="Times New Roman"/>
          <w:kern w:val="2"/>
          <w:sz w:val="21"/>
          <w:szCs w:val="21"/>
          <w:lang w:val="en-US" w:eastAsia="zh-CN" w:bidi="ar-SA"/>
        </w:rPr>
        <w:t>个月内付给合同总价的100％。</w:t>
      </w:r>
    </w:p>
    <w:p>
      <w:pPr>
        <w:keepNext w:val="0"/>
        <w:keepLines w:val="0"/>
        <w:pageBreakBefore w:val="0"/>
        <w:widowControl w:val="0"/>
        <w:kinsoku/>
        <w:wordWrap/>
        <w:overflowPunct/>
        <w:topLinePunct w:val="0"/>
        <w:autoSpaceDE/>
        <w:autoSpaceDN/>
        <w:bidi w:val="0"/>
        <w:adjustRightInd/>
        <w:snapToGrid w:val="0"/>
        <w:spacing w:line="240" w:lineRule="atLeast"/>
        <w:ind w:firstLine="420" w:firstLineChars="200"/>
        <w:textAlignment w:val="auto"/>
        <w:rPr>
          <w:rFonts w:hint="default" w:cs="宋体"/>
          <w:color w:val="auto"/>
          <w:sz w:val="21"/>
          <w:szCs w:val="21"/>
          <w:lang w:val="en-US" w:eastAsia="zh-CN"/>
        </w:rPr>
      </w:pPr>
    </w:p>
    <w:sectPr>
      <w:headerReference r:id="rId5" w:type="default"/>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default"/>
        <w:u w:val="single"/>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ZTIyOGYyYTg0Njg3MThjZjI3NDkzZDllYjYyZmMifQ=="/>
  </w:docVars>
  <w:rsids>
    <w:rsidRoot w:val="1FA12579"/>
    <w:rsid w:val="018A4C16"/>
    <w:rsid w:val="032469B6"/>
    <w:rsid w:val="0442342B"/>
    <w:rsid w:val="04960E16"/>
    <w:rsid w:val="053C7025"/>
    <w:rsid w:val="091D7F95"/>
    <w:rsid w:val="0B026A4C"/>
    <w:rsid w:val="0C1E10EA"/>
    <w:rsid w:val="112D7C3E"/>
    <w:rsid w:val="11417D8B"/>
    <w:rsid w:val="11FF54AF"/>
    <w:rsid w:val="12EB6997"/>
    <w:rsid w:val="14541A21"/>
    <w:rsid w:val="14915774"/>
    <w:rsid w:val="182A737F"/>
    <w:rsid w:val="19C51476"/>
    <w:rsid w:val="1A136368"/>
    <w:rsid w:val="1DF93C56"/>
    <w:rsid w:val="1E1E3C0F"/>
    <w:rsid w:val="1E3619DE"/>
    <w:rsid w:val="1ECA0E06"/>
    <w:rsid w:val="1FA12579"/>
    <w:rsid w:val="20123FFB"/>
    <w:rsid w:val="22A06118"/>
    <w:rsid w:val="22AE7F72"/>
    <w:rsid w:val="2425540A"/>
    <w:rsid w:val="25334C71"/>
    <w:rsid w:val="25531093"/>
    <w:rsid w:val="25D428C0"/>
    <w:rsid w:val="26155B04"/>
    <w:rsid w:val="27054714"/>
    <w:rsid w:val="27540495"/>
    <w:rsid w:val="27D15277"/>
    <w:rsid w:val="283156C0"/>
    <w:rsid w:val="284931A9"/>
    <w:rsid w:val="29117C6C"/>
    <w:rsid w:val="29380C2C"/>
    <w:rsid w:val="2A340E9D"/>
    <w:rsid w:val="2A97411D"/>
    <w:rsid w:val="2B88197A"/>
    <w:rsid w:val="2C0B7F09"/>
    <w:rsid w:val="2E616BA4"/>
    <w:rsid w:val="2EF372B0"/>
    <w:rsid w:val="2F2A7F8F"/>
    <w:rsid w:val="3043761E"/>
    <w:rsid w:val="31592BFE"/>
    <w:rsid w:val="37E47D09"/>
    <w:rsid w:val="393947EE"/>
    <w:rsid w:val="3B7F6860"/>
    <w:rsid w:val="3CB27B78"/>
    <w:rsid w:val="3DB31617"/>
    <w:rsid w:val="3F1F151D"/>
    <w:rsid w:val="3FA24F9B"/>
    <w:rsid w:val="41D66D16"/>
    <w:rsid w:val="42833C74"/>
    <w:rsid w:val="42D96D28"/>
    <w:rsid w:val="44225F56"/>
    <w:rsid w:val="4464431A"/>
    <w:rsid w:val="45A721F6"/>
    <w:rsid w:val="489A4311"/>
    <w:rsid w:val="49EA0AC2"/>
    <w:rsid w:val="50F2121D"/>
    <w:rsid w:val="52291BB1"/>
    <w:rsid w:val="544C3A5E"/>
    <w:rsid w:val="55FE2EAE"/>
    <w:rsid w:val="57551918"/>
    <w:rsid w:val="57DE6609"/>
    <w:rsid w:val="5A663888"/>
    <w:rsid w:val="5AA26A33"/>
    <w:rsid w:val="5C561925"/>
    <w:rsid w:val="5E6E6CFF"/>
    <w:rsid w:val="5EE30705"/>
    <w:rsid w:val="60653561"/>
    <w:rsid w:val="60A50CDE"/>
    <w:rsid w:val="60AA20C1"/>
    <w:rsid w:val="60AE372D"/>
    <w:rsid w:val="6107416B"/>
    <w:rsid w:val="612977F3"/>
    <w:rsid w:val="6245254A"/>
    <w:rsid w:val="66B738FA"/>
    <w:rsid w:val="66C804EC"/>
    <w:rsid w:val="67635FFD"/>
    <w:rsid w:val="67E9320A"/>
    <w:rsid w:val="695573B5"/>
    <w:rsid w:val="6986744D"/>
    <w:rsid w:val="69E23CC6"/>
    <w:rsid w:val="6AAD5E11"/>
    <w:rsid w:val="6D3D2C47"/>
    <w:rsid w:val="6E315BD0"/>
    <w:rsid w:val="6FD9549C"/>
    <w:rsid w:val="6FE93988"/>
    <w:rsid w:val="70F45B67"/>
    <w:rsid w:val="71302523"/>
    <w:rsid w:val="72517F8C"/>
    <w:rsid w:val="744F3A05"/>
    <w:rsid w:val="75AB1AAB"/>
    <w:rsid w:val="769874C7"/>
    <w:rsid w:val="77581CEF"/>
    <w:rsid w:val="77923858"/>
    <w:rsid w:val="77E800B0"/>
    <w:rsid w:val="79900CE6"/>
    <w:rsid w:val="7EFE6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ascii="宋体" w:hAnsi="宋体" w:eastAsia="宋体" w:cstheme="minorBidi"/>
      <w:kern w:val="2"/>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b/>
      <w:kern w:val="44"/>
      <w:sz w:val="30"/>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宋体" w:hAnsi="宋体" w:eastAsia="宋体"/>
      <w:b/>
      <w:sz w:val="28"/>
    </w:rPr>
  </w:style>
  <w:style w:type="paragraph" w:styleId="4">
    <w:name w:val="heading 3"/>
    <w:basedOn w:val="1"/>
    <w:next w:val="1"/>
    <w:unhideWhenUsed/>
    <w:qFormat/>
    <w:uiPriority w:val="0"/>
    <w:pPr>
      <w:keepNext/>
      <w:keepLines/>
      <w:spacing w:beforeLines="0" w:beforeAutospacing="0" w:afterLines="0" w:afterAutospacing="0" w:line="360" w:lineRule="auto"/>
      <w:outlineLvl w:val="2"/>
    </w:pPr>
    <w:rPr>
      <w:b/>
      <w:sz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0"/>
    <w:pPr>
      <w:spacing w:line="240" w:lineRule="auto"/>
      <w:ind w:firstLine="420" w:firstLineChars="200"/>
    </w:pPr>
    <w:rPr>
      <w:szCs w:val="24"/>
    </w:rPr>
  </w:style>
  <w:style w:type="paragraph" w:styleId="6">
    <w:name w:val="annotation text"/>
    <w:basedOn w:val="1"/>
    <w:qFormat/>
    <w:uiPriority w:val="0"/>
    <w:pPr>
      <w:jc w:val="left"/>
    </w:pPr>
  </w:style>
  <w:style w:type="paragraph" w:styleId="7">
    <w:name w:val="Body Text"/>
    <w:basedOn w:val="1"/>
    <w:next w:val="1"/>
    <w:semiHidden/>
    <w:unhideWhenUsed/>
    <w:qFormat/>
    <w:uiPriority w:val="0"/>
    <w:pPr>
      <w:autoSpaceDE w:val="0"/>
      <w:autoSpaceDN w:val="0"/>
      <w:adjustRightInd w:val="0"/>
      <w:spacing w:after="120"/>
    </w:pPr>
    <w:rPr>
      <w:rFonts w:ascii="Calibri" w:hAnsi="Calibri" w:eastAsia="宋体" w:cs="Times New Roman"/>
      <w:color w:val="000000"/>
      <w:kern w:val="0"/>
      <w:szCs w:val="21"/>
    </w:rPr>
  </w:style>
  <w:style w:type="paragraph" w:styleId="8">
    <w:name w:val="Body Text Indent"/>
    <w:basedOn w:val="1"/>
    <w:next w:val="1"/>
    <w:unhideWhenUsed/>
    <w:qFormat/>
    <w:uiPriority w:val="99"/>
    <w:pPr>
      <w:spacing w:after="120"/>
      <w:ind w:left="420" w:leftChars="200"/>
    </w:pPr>
    <w:rPr>
      <w:kern w:val="0"/>
      <w:szCs w:val="20"/>
    </w:r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Default"/>
    <w:basedOn w:val="1"/>
    <w:next w:val="18"/>
    <w:qFormat/>
    <w:uiPriority w:val="0"/>
    <w:pPr>
      <w:autoSpaceDE w:val="0"/>
      <w:autoSpaceDN w:val="0"/>
      <w:adjustRightInd w:val="0"/>
      <w:jc w:val="left"/>
    </w:pPr>
    <w:rPr>
      <w:rFonts w:ascii="......." w:hAnsi="......." w:eastAsia="宋体" w:cs="宋体"/>
      <w:color w:val="000000"/>
      <w:kern w:val="0"/>
    </w:rPr>
  </w:style>
  <w:style w:type="paragraph" w:customStyle="1" w:styleId="18">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19">
    <w:name w:val="toc 7"/>
    <w:next w:val="1"/>
    <w:qFormat/>
    <w:uiPriority w:val="0"/>
    <w:pPr>
      <w:wordWrap w:val="0"/>
      <w:ind w:left="2550"/>
      <w:jc w:val="both"/>
    </w:pPr>
    <w:rPr>
      <w:rFonts w:ascii="Calibri" w:hAnsi="Calibri" w:eastAsiaTheme="minorEastAsia" w:cstheme="minorBidi"/>
      <w:sz w:val="21"/>
      <w:szCs w:val="22"/>
      <w:lang w:val="en-US" w:eastAsia="zh-CN" w:bidi="ar-SA"/>
    </w:rPr>
  </w:style>
  <w:style w:type="character" w:customStyle="1" w:styleId="20">
    <w:name w:val="font21"/>
    <w:basedOn w:val="16"/>
    <w:qFormat/>
    <w:uiPriority w:val="0"/>
    <w:rPr>
      <w:rFonts w:hint="eastAsia" w:ascii="宋体" w:hAnsi="宋体" w:eastAsia="宋体" w:cs="宋体"/>
      <w:color w:val="000000"/>
      <w:sz w:val="16"/>
      <w:szCs w:val="16"/>
      <w:u w:val="none"/>
    </w:rPr>
  </w:style>
  <w:style w:type="character" w:customStyle="1" w:styleId="21">
    <w:name w:val="font31"/>
    <w:basedOn w:val="16"/>
    <w:qFormat/>
    <w:uiPriority w:val="0"/>
    <w:rPr>
      <w:rFonts w:hint="eastAsia" w:ascii="宋体" w:hAnsi="宋体" w:eastAsia="宋体" w:cs="宋体"/>
      <w:color w:val="000000"/>
      <w:sz w:val="22"/>
      <w:szCs w:val="22"/>
      <w:u w:val="none"/>
    </w:rPr>
  </w:style>
  <w:style w:type="paragraph" w:customStyle="1" w:styleId="22">
    <w:name w:val="文本正文宋体缩进"/>
    <w:basedOn w:val="1"/>
    <w:next w:val="1"/>
    <w:qFormat/>
    <w:uiPriority w:val="0"/>
    <w:pPr>
      <w:spacing w:line="360" w:lineRule="auto"/>
      <w:ind w:firstLine="480" w:firstLineChars="200"/>
    </w:pPr>
    <w:rPr>
      <w:rFonts w:ascii="Times New Roman" w:hAnsi="Times New Roman" w:eastAsia="宋体" w:cs="Times New Roman"/>
      <w:sz w:val="24"/>
      <w:szCs w:val="21"/>
    </w:rPr>
  </w:style>
  <w:style w:type="character" w:customStyle="1" w:styleId="23">
    <w:name w:val="NormalCharacter"/>
    <w:qFormat/>
    <w:uiPriority w:val="0"/>
  </w:style>
  <w:style w:type="paragraph" w:customStyle="1" w:styleId="24">
    <w:name w:val="UserStyle_20"/>
    <w:basedOn w:val="1"/>
    <w:next w:val="1"/>
    <w:qFormat/>
    <w:uiPriority w:val="0"/>
    <w:pPr>
      <w:widowControl/>
      <w:spacing w:line="360" w:lineRule="auto"/>
      <w:ind w:firstLine="480" w:firstLineChars="200"/>
      <w:textAlignment w:val="baseline"/>
    </w:pPr>
    <w:rPr>
      <w:rFonts w:ascii="Times New Roman" w:hAnsi="Times New Roman" w:eastAsia="宋体" w:cs="Times New Roman"/>
      <w:sz w:val="24"/>
      <w:szCs w:val="21"/>
    </w:rPr>
  </w:style>
  <w:style w:type="paragraph" w:customStyle="1" w:styleId="25">
    <w:name w:val="BodyText1I"/>
    <w:basedOn w:val="26"/>
    <w:next w:val="1"/>
    <w:qFormat/>
    <w:uiPriority w:val="0"/>
    <w:pPr>
      <w:spacing w:line="360" w:lineRule="auto"/>
      <w:ind w:firstLine="420"/>
      <w:jc w:val="both"/>
      <w:textAlignment w:val="baseline"/>
    </w:pPr>
    <w:rPr>
      <w:rFonts w:ascii="宋体" w:hAnsi="Times New Roman" w:eastAsia="宋体"/>
      <w:kern w:val="2"/>
      <w:sz w:val="24"/>
      <w:szCs w:val="20"/>
      <w:lang w:val="zh-CN" w:eastAsia="zh-CN" w:bidi="ar-SA"/>
    </w:rPr>
  </w:style>
  <w:style w:type="paragraph" w:customStyle="1" w:styleId="26">
    <w:name w:val="BodyText"/>
    <w:basedOn w:val="1"/>
    <w:next w:val="25"/>
    <w:qFormat/>
    <w:uiPriority w:val="0"/>
    <w:pPr>
      <w:spacing w:line="360" w:lineRule="auto"/>
      <w:jc w:val="both"/>
      <w:textAlignment w:val="baseline"/>
    </w:pPr>
    <w:rPr>
      <w:rFonts w:ascii="宋体" w:hAnsi="Arial" w:eastAsia="宋体"/>
      <w:kern w:val="2"/>
      <w:sz w:val="24"/>
      <w:szCs w:val="21"/>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3344</Words>
  <Characters>3905</Characters>
  <Lines>0</Lines>
  <Paragraphs>0</Paragraphs>
  <TotalTime>8</TotalTime>
  <ScaleCrop>false</ScaleCrop>
  <LinksUpToDate>false</LinksUpToDate>
  <CharactersWithSpaces>3926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2021-04-27T01:09:00Z</dcterms:created>
  <dc:creator>，</dc:creator>
  <cp:lastModifiedBy>Administrator</cp:lastModifiedBy>
  <dcterms:modified xsi:type="dcterms:W3CDTF">2024-11-12T10:22:22Z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F441366A88034F6D9E60D73419158369_13</vt:lpwstr>
  </property>
</Properties>
</file>