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店口镇中心学校多媒体教学一体机项目</w:t>
      </w:r>
    </w:p>
    <w:p>
      <w:pPr>
        <w:pStyle w:val="14"/>
      </w:pPr>
    </w:p>
    <w:p>
      <w:pPr>
        <w:pStyle w:val="4"/>
        <w:keepLines w:val="0"/>
        <w:numPr>
          <w:ilvl w:val="0"/>
          <w:numId w:val="2"/>
        </w:numPr>
        <w:autoSpaceDE w:val="0"/>
        <w:autoSpaceDN w:val="0"/>
        <w:snapToGrid w:val="0"/>
        <w:spacing w:before="0" w:after="0" w:line="360" w:lineRule="auto"/>
        <w:ind w:left="0" w:firstLine="0"/>
        <w:jc w:val="left"/>
        <w:textAlignment w:val="bottom"/>
        <w:rPr>
          <w:rFonts w:ascii="宋体" w:eastAsia="宋体"/>
          <w:sz w:val="32"/>
          <w:szCs w:val="32"/>
          <w:lang w:eastAsia="zh-CN"/>
        </w:rPr>
      </w:pPr>
      <w:r>
        <w:rPr>
          <w:rFonts w:hint="eastAsia" w:ascii="宋体" w:eastAsia="宋体"/>
          <w:sz w:val="32"/>
          <w:szCs w:val="32"/>
          <w:lang w:eastAsia="zh-CN"/>
        </w:rPr>
        <w:t>项目概况</w:t>
      </w:r>
    </w:p>
    <w:p>
      <w:pPr>
        <w:ind w:firstLine="640" w:firstLineChars="200"/>
        <w:jc w:val="left"/>
      </w:pPr>
      <w:r>
        <w:rPr>
          <w:rFonts w:hint="eastAsia" w:ascii="仿宋" w:hAnsi="仿宋" w:eastAsia="仿宋"/>
          <w:sz w:val="32"/>
          <w:szCs w:val="32"/>
        </w:rPr>
        <w:t>为进一步改善学校信息化教学环境，升级部分原有教室多媒体投影机设备，提高办公及课堂效率，根据学校申报和实地考察，拟采购</w:t>
      </w:r>
      <w:bookmarkStart w:id="0" w:name="OLE_LINK3"/>
      <w:r>
        <w:rPr>
          <w:rFonts w:hint="eastAsia" w:ascii="仿宋" w:hAnsi="仿宋" w:eastAsia="仿宋"/>
          <w:sz w:val="32"/>
          <w:szCs w:val="32"/>
          <w:lang w:val="en-US" w:eastAsia="zh-CN"/>
        </w:rPr>
        <w:t>14</w:t>
      </w:r>
      <w:r>
        <w:rPr>
          <w:rFonts w:hint="eastAsia" w:ascii="仿宋" w:hAnsi="仿宋" w:eastAsia="仿宋"/>
          <w:sz w:val="32"/>
          <w:szCs w:val="32"/>
        </w:rPr>
        <w:t>台75寸触控一体机</w:t>
      </w:r>
      <w:r>
        <w:rPr>
          <w:rFonts w:hint="eastAsia" w:ascii="仿宋" w:hAnsi="仿宋" w:eastAsia="仿宋"/>
          <w:sz w:val="32"/>
          <w:szCs w:val="32"/>
          <w:lang w:val="en-US" w:eastAsia="zh-CN"/>
        </w:rPr>
        <w:t>及配套支架或者移动黑板</w:t>
      </w:r>
      <w:bookmarkEnd w:id="0"/>
      <w:r>
        <w:rPr>
          <w:rFonts w:hint="eastAsia" w:ascii="仿宋" w:hAnsi="仿宋" w:eastAsia="仿宋"/>
          <w:sz w:val="32"/>
          <w:szCs w:val="32"/>
          <w:lang w:val="en-US" w:eastAsia="zh-CN"/>
        </w:rPr>
        <w:t>，</w:t>
      </w:r>
      <w:r>
        <w:rPr>
          <w:rFonts w:hint="eastAsia" w:ascii="仿宋" w:hAnsi="仿宋" w:eastAsia="仿宋"/>
          <w:sz w:val="32"/>
          <w:szCs w:val="32"/>
        </w:rPr>
        <w:t xml:space="preserve">用于学校日常教育教学及会议活动。                           </w:t>
      </w:r>
    </w:p>
    <w:p>
      <w:pPr>
        <w:pStyle w:val="7"/>
        <w:rPr>
          <w:rFonts w:hint="eastAsia"/>
        </w:rPr>
      </w:pPr>
    </w:p>
    <w:p>
      <w:pPr>
        <w:pStyle w:val="4"/>
        <w:keepLines w:val="0"/>
        <w:numPr>
          <w:ilvl w:val="0"/>
          <w:numId w:val="0"/>
        </w:numPr>
        <w:autoSpaceDE w:val="0"/>
        <w:autoSpaceDN w:val="0"/>
        <w:snapToGrid w:val="0"/>
        <w:spacing w:before="0" w:after="0" w:line="360" w:lineRule="auto"/>
        <w:jc w:val="left"/>
        <w:textAlignment w:val="bottom"/>
        <w:rPr>
          <w:rFonts w:ascii="宋体" w:hAnsi="Calibri" w:eastAsia="宋体"/>
          <w:kern w:val="0"/>
          <w:sz w:val="32"/>
          <w:szCs w:val="32"/>
          <w:lang w:eastAsia="zh-CN"/>
        </w:rPr>
      </w:pPr>
      <w:r>
        <w:rPr>
          <w:rFonts w:hint="eastAsia" w:ascii="宋体" w:hAnsi="Calibri" w:eastAsia="宋体"/>
          <w:kern w:val="0"/>
          <w:sz w:val="32"/>
          <w:szCs w:val="32"/>
          <w:lang w:val="en-US" w:eastAsia="zh-CN"/>
        </w:rPr>
        <w:t>二</w:t>
      </w:r>
      <w:r>
        <w:rPr>
          <w:rFonts w:hint="eastAsia" w:ascii="宋体" w:hAnsi="Calibri" w:eastAsia="宋体"/>
          <w:kern w:val="0"/>
          <w:sz w:val="32"/>
          <w:szCs w:val="32"/>
          <w:lang w:eastAsia="zh-CN"/>
        </w:rPr>
        <w:t>、建设清单及预算（元）</w:t>
      </w:r>
    </w:p>
    <w:tbl>
      <w:tblPr>
        <w:tblStyle w:val="12"/>
        <w:tblW w:w="4998" w:type="pct"/>
        <w:tblInd w:w="0" w:type="dxa"/>
        <w:tblLayout w:type="autofit"/>
        <w:tblCellMar>
          <w:top w:w="0" w:type="dxa"/>
          <w:left w:w="108" w:type="dxa"/>
          <w:bottom w:w="0" w:type="dxa"/>
          <w:right w:w="108" w:type="dxa"/>
        </w:tblCellMar>
      </w:tblPr>
      <w:tblGrid>
        <w:gridCol w:w="859"/>
        <w:gridCol w:w="3408"/>
        <w:gridCol w:w="1144"/>
        <w:gridCol w:w="859"/>
        <w:gridCol w:w="1051"/>
        <w:gridCol w:w="1198"/>
      </w:tblGrid>
      <w:tr>
        <w:tblPrEx>
          <w:tblCellMar>
            <w:top w:w="0" w:type="dxa"/>
            <w:left w:w="108" w:type="dxa"/>
            <w:bottom w:w="0" w:type="dxa"/>
            <w:right w:w="108" w:type="dxa"/>
          </w:tblCellMar>
        </w:tblPrEx>
        <w:trPr>
          <w:trHeight w:val="52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b/>
                <w:bCs/>
                <w:sz w:val="32"/>
                <w:szCs w:val="32"/>
              </w:rPr>
            </w:pPr>
            <w:r>
              <w:rPr>
                <w:rFonts w:hint="eastAsia" w:ascii="仿宋" w:hAnsi="仿宋" w:eastAsia="仿宋"/>
                <w:b/>
                <w:bCs/>
                <w:sz w:val="32"/>
                <w:szCs w:val="32"/>
              </w:rPr>
              <w:t>序号</w:t>
            </w:r>
          </w:p>
        </w:tc>
        <w:tc>
          <w:tcPr>
            <w:tcW w:w="2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b/>
                <w:bCs/>
                <w:sz w:val="32"/>
                <w:szCs w:val="32"/>
                <w:lang w:val="en-US" w:eastAsia="zh-CN"/>
              </w:rPr>
            </w:pPr>
            <w:r>
              <w:rPr>
                <w:rFonts w:hint="eastAsia" w:ascii="仿宋" w:hAnsi="仿宋" w:eastAsia="仿宋"/>
                <w:b/>
                <w:bCs/>
                <w:sz w:val="32"/>
                <w:szCs w:val="32"/>
              </w:rPr>
              <w:t>具体内容</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b/>
                <w:bCs/>
                <w:sz w:val="32"/>
                <w:szCs w:val="32"/>
              </w:rPr>
            </w:pPr>
            <w:r>
              <w:rPr>
                <w:rFonts w:hint="eastAsia" w:ascii="仿宋" w:hAnsi="仿宋" w:eastAsia="仿宋"/>
                <w:b/>
                <w:bCs/>
                <w:sz w:val="32"/>
                <w:szCs w:val="32"/>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b/>
                <w:bCs/>
                <w:sz w:val="32"/>
                <w:szCs w:val="32"/>
              </w:rPr>
            </w:pPr>
            <w:r>
              <w:rPr>
                <w:rFonts w:hint="eastAsia" w:ascii="仿宋" w:hAnsi="仿宋" w:eastAsia="仿宋"/>
                <w:b/>
                <w:bCs/>
                <w:sz w:val="32"/>
                <w:szCs w:val="32"/>
              </w:rPr>
              <w:t>数量</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b/>
                <w:bCs/>
                <w:sz w:val="32"/>
                <w:szCs w:val="32"/>
              </w:rPr>
            </w:pPr>
            <w:r>
              <w:rPr>
                <w:rFonts w:hint="eastAsia" w:ascii="仿宋" w:hAnsi="仿宋" w:eastAsia="仿宋"/>
                <w:b/>
                <w:bCs/>
                <w:sz w:val="32"/>
                <w:szCs w:val="32"/>
              </w:rPr>
              <w:t>单价</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b/>
                <w:bCs/>
                <w:sz w:val="32"/>
                <w:szCs w:val="32"/>
              </w:rPr>
            </w:pPr>
            <w:r>
              <w:rPr>
                <w:rFonts w:hint="eastAsia" w:ascii="仿宋" w:hAnsi="仿宋" w:eastAsia="仿宋"/>
                <w:b/>
                <w:bCs/>
                <w:sz w:val="32"/>
                <w:szCs w:val="32"/>
              </w:rPr>
              <w:t>总价</w:t>
            </w:r>
          </w:p>
        </w:tc>
      </w:tr>
      <w:tr>
        <w:tblPrEx>
          <w:tblCellMar>
            <w:top w:w="0" w:type="dxa"/>
            <w:left w:w="108" w:type="dxa"/>
            <w:bottom w:w="0" w:type="dxa"/>
            <w:right w:w="108" w:type="dxa"/>
          </w:tblCellMar>
        </w:tblPrEx>
        <w:trPr>
          <w:trHeight w:val="9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b/>
                <w:bCs/>
                <w:sz w:val="32"/>
                <w:szCs w:val="32"/>
              </w:rPr>
            </w:pPr>
          </w:p>
        </w:tc>
        <w:tc>
          <w:tcPr>
            <w:tcW w:w="44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32"/>
                <w:szCs w:val="32"/>
              </w:rPr>
            </w:pPr>
            <w:r>
              <w:rPr>
                <w:rFonts w:hint="eastAsia" w:ascii="仿宋" w:hAnsi="仿宋" w:eastAsia="仿宋"/>
                <w:b/>
                <w:bCs/>
                <w:sz w:val="32"/>
                <w:szCs w:val="32"/>
              </w:rPr>
              <w:t>多媒体教学一体机设备清单</w:t>
            </w:r>
          </w:p>
        </w:tc>
      </w:tr>
      <w:tr>
        <w:tblPrEx>
          <w:tblCellMar>
            <w:top w:w="0" w:type="dxa"/>
            <w:left w:w="108" w:type="dxa"/>
            <w:bottom w:w="0" w:type="dxa"/>
            <w:right w:w="108" w:type="dxa"/>
          </w:tblCellMar>
        </w:tblPrEx>
        <w:trPr>
          <w:trHeight w:val="9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32"/>
                <w:szCs w:val="32"/>
              </w:rPr>
            </w:pPr>
            <w:r>
              <w:rPr>
                <w:rFonts w:hint="eastAsia" w:ascii="仿宋" w:hAnsi="仿宋" w:eastAsia="仿宋"/>
                <w:sz w:val="32"/>
                <w:szCs w:val="32"/>
              </w:rPr>
              <w:t>1</w:t>
            </w:r>
          </w:p>
        </w:tc>
        <w:tc>
          <w:tcPr>
            <w:tcW w:w="2000"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color w:val="000000"/>
                <w:szCs w:val="21"/>
              </w:rPr>
            </w:pPr>
            <w:r>
              <w:rPr>
                <w:rFonts w:hint="eastAsia"/>
                <w:color w:val="000000"/>
                <w:szCs w:val="21"/>
              </w:rPr>
              <w:t>75寸一体机</w:t>
            </w:r>
            <w:r>
              <w:rPr>
                <w:rFonts w:hint="eastAsia"/>
                <w:color w:val="000000"/>
                <w:szCs w:val="21"/>
                <w:lang w:val="en-US" w:eastAsia="zh-CN"/>
              </w:rPr>
              <w:t>含</w:t>
            </w:r>
            <w:r>
              <w:rPr>
                <w:rFonts w:hint="eastAsia"/>
                <w:color w:val="000000"/>
                <w:szCs w:val="21"/>
              </w:rPr>
              <w:t>移动支架</w:t>
            </w:r>
          </w:p>
          <w:p>
            <w:pPr>
              <w:jc w:val="center"/>
              <w:rPr>
                <w:rFonts w:hint="eastAsia"/>
                <w:color w:val="000000"/>
                <w:szCs w:val="21"/>
              </w:rPr>
            </w:pPr>
            <w:r>
              <w:rPr>
                <w:rFonts w:hint="eastAsia"/>
                <w:color w:val="000000"/>
                <w:szCs w:val="21"/>
                <w:lang w:val="en-US" w:eastAsia="zh-CN"/>
              </w:rPr>
              <w:t>品牌：希沃  型号：</w:t>
            </w:r>
            <w:bookmarkStart w:id="1" w:name="OLE_LINK1"/>
            <w:r>
              <w:rPr>
                <w:rFonts w:hint="eastAsia"/>
                <w:color w:val="000000"/>
                <w:szCs w:val="21"/>
              </w:rPr>
              <w:t>FE75EN</w:t>
            </w:r>
            <w:bookmarkEnd w:id="1"/>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color w:val="000000"/>
                <w:szCs w:val="21"/>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Theme="minorEastAsia"/>
                <w:color w:val="000000"/>
                <w:szCs w:val="21"/>
                <w:lang w:val="en-US" w:eastAsia="zh-CN"/>
              </w:rPr>
            </w:pPr>
            <w:r>
              <w:rPr>
                <w:rFonts w:hint="eastAsia"/>
                <w:color w:val="000000"/>
                <w:szCs w:val="21"/>
                <w:lang w:val="en-US" w:eastAsia="zh-CN"/>
              </w:rPr>
              <w:t>11</w:t>
            </w:r>
          </w:p>
        </w:tc>
        <w:tc>
          <w:tcPr>
            <w:tcW w:w="616"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color w:val="000000"/>
                <w:szCs w:val="21"/>
                <w:lang w:val="en-US" w:eastAsia="zh-CN"/>
              </w:rPr>
            </w:pPr>
          </w:p>
          <w:p>
            <w:pPr>
              <w:jc w:val="center"/>
              <w:rPr>
                <w:rFonts w:hint="default"/>
                <w:color w:val="000000"/>
                <w:szCs w:val="21"/>
                <w:lang w:val="en-US" w:eastAsia="zh-CN"/>
              </w:rPr>
            </w:pPr>
            <w:r>
              <w:rPr>
                <w:rFonts w:hint="eastAsia"/>
                <w:color w:val="000000"/>
                <w:szCs w:val="21"/>
                <w:lang w:val="en-US" w:eastAsia="zh-CN"/>
              </w:rPr>
              <w:t>14200.00</w:t>
            </w:r>
          </w:p>
        </w:tc>
        <w:tc>
          <w:tcPr>
            <w:tcW w:w="703"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color w:val="000000"/>
                <w:szCs w:val="21"/>
                <w:lang w:val="en-US" w:eastAsia="zh-CN"/>
              </w:rPr>
            </w:pPr>
          </w:p>
          <w:p>
            <w:pPr>
              <w:jc w:val="center"/>
              <w:rPr>
                <w:rFonts w:hint="default"/>
                <w:color w:val="000000"/>
                <w:szCs w:val="21"/>
                <w:lang w:val="en-US" w:eastAsia="zh-CN"/>
              </w:rPr>
            </w:pPr>
            <w:r>
              <w:rPr>
                <w:rFonts w:hint="eastAsia"/>
                <w:color w:val="000000"/>
                <w:szCs w:val="21"/>
                <w:lang w:val="en-US" w:eastAsia="zh-CN"/>
              </w:rPr>
              <w:t>156200.00</w:t>
            </w:r>
          </w:p>
        </w:tc>
      </w:tr>
      <w:tr>
        <w:tblPrEx>
          <w:tblCellMar>
            <w:top w:w="0" w:type="dxa"/>
            <w:left w:w="108" w:type="dxa"/>
            <w:bottom w:w="0" w:type="dxa"/>
            <w:right w:w="108" w:type="dxa"/>
          </w:tblCellMar>
        </w:tblPrEx>
        <w:trPr>
          <w:trHeight w:val="9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sz w:val="32"/>
                <w:szCs w:val="32"/>
              </w:rPr>
            </w:pPr>
            <w:r>
              <w:rPr>
                <w:rFonts w:hint="eastAsia" w:ascii="仿宋" w:hAnsi="仿宋" w:eastAsia="仿宋"/>
                <w:sz w:val="32"/>
                <w:szCs w:val="32"/>
              </w:rPr>
              <w:t>2</w:t>
            </w:r>
          </w:p>
        </w:tc>
        <w:tc>
          <w:tcPr>
            <w:tcW w:w="2000" w:type="pct"/>
            <w:tcBorders>
              <w:top w:val="nil"/>
              <w:left w:val="single" w:color="auto" w:sz="4" w:space="0"/>
              <w:bottom w:val="single" w:color="auto" w:sz="4" w:space="0"/>
              <w:right w:val="single" w:color="000000" w:sz="4" w:space="0"/>
            </w:tcBorders>
            <w:shd w:val="clear" w:color="auto" w:fill="auto"/>
            <w:vAlign w:val="center"/>
          </w:tcPr>
          <w:p>
            <w:pPr>
              <w:jc w:val="center"/>
              <w:rPr>
                <w:rFonts w:hint="default" w:eastAsiaTheme="minorEastAsia"/>
                <w:color w:val="000000"/>
                <w:szCs w:val="21"/>
                <w:lang w:val="en-US" w:eastAsia="zh-CN"/>
              </w:rPr>
            </w:pPr>
            <w:r>
              <w:rPr>
                <w:rFonts w:hint="eastAsia"/>
                <w:color w:val="000000"/>
                <w:szCs w:val="21"/>
              </w:rPr>
              <w:t>75寸一体机</w:t>
            </w:r>
            <w:r>
              <w:rPr>
                <w:rFonts w:hint="eastAsia"/>
                <w:color w:val="000000"/>
                <w:szCs w:val="21"/>
                <w:lang w:val="en-US" w:eastAsia="zh-CN"/>
              </w:rPr>
              <w:t>含移动黑板</w:t>
            </w:r>
          </w:p>
          <w:p>
            <w:pPr>
              <w:jc w:val="center"/>
              <w:rPr>
                <w:rFonts w:hint="eastAsia"/>
                <w:color w:val="000000"/>
                <w:szCs w:val="21"/>
              </w:rPr>
            </w:pPr>
            <w:r>
              <w:rPr>
                <w:rFonts w:hint="eastAsia"/>
                <w:color w:val="000000"/>
                <w:szCs w:val="21"/>
                <w:lang w:val="en-US" w:eastAsia="zh-CN"/>
              </w:rPr>
              <w:t>品牌：希沃  型号：</w:t>
            </w:r>
            <w:bookmarkStart w:id="2" w:name="OLE_LINK2"/>
            <w:r>
              <w:rPr>
                <w:rFonts w:hint="eastAsia"/>
                <w:color w:val="000000"/>
                <w:szCs w:val="21"/>
              </w:rPr>
              <w:t>FE75EN</w:t>
            </w:r>
            <w:bookmarkEnd w:id="2"/>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Theme="minorEastAsia"/>
                <w:color w:val="000000"/>
                <w:szCs w:val="21"/>
                <w:lang w:val="en-US" w:eastAsia="zh-CN"/>
              </w:rPr>
            </w:pPr>
            <w:r>
              <w:rPr>
                <w:rFonts w:hint="eastAsia"/>
                <w:color w:val="000000"/>
                <w:szCs w:val="21"/>
                <w:lang w:val="en-US" w:eastAsia="zh-CN"/>
              </w:rPr>
              <w:t>套</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Cs w:val="21"/>
                <w:lang w:val="en-US" w:eastAsia="zh-CN"/>
              </w:rPr>
            </w:pPr>
            <w:r>
              <w:rPr>
                <w:rFonts w:hint="eastAsia"/>
                <w:color w:val="000000"/>
                <w:szCs w:val="21"/>
                <w:lang w:val="en-US" w:eastAsia="zh-CN"/>
              </w:rPr>
              <w:t>3</w:t>
            </w:r>
          </w:p>
        </w:tc>
        <w:tc>
          <w:tcPr>
            <w:tcW w:w="616"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color w:val="000000"/>
                <w:szCs w:val="21"/>
                <w:lang w:val="en-US" w:eastAsia="zh-CN"/>
              </w:rPr>
            </w:pPr>
          </w:p>
          <w:p>
            <w:pPr>
              <w:jc w:val="center"/>
              <w:rPr>
                <w:rFonts w:hint="default"/>
                <w:color w:val="000000"/>
                <w:szCs w:val="21"/>
                <w:lang w:val="en-US" w:eastAsia="zh-CN"/>
              </w:rPr>
            </w:pPr>
            <w:r>
              <w:rPr>
                <w:rFonts w:hint="eastAsia"/>
                <w:color w:val="000000"/>
                <w:szCs w:val="21"/>
                <w:lang w:val="en-US" w:eastAsia="zh-CN"/>
              </w:rPr>
              <w:t>14508.00</w:t>
            </w:r>
          </w:p>
        </w:tc>
        <w:tc>
          <w:tcPr>
            <w:tcW w:w="703" w:type="pct"/>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color w:val="000000"/>
                <w:szCs w:val="21"/>
                <w:lang w:val="en-US" w:eastAsia="zh-CN"/>
              </w:rPr>
            </w:pPr>
          </w:p>
          <w:p>
            <w:pPr>
              <w:jc w:val="center"/>
              <w:rPr>
                <w:rFonts w:hint="default"/>
                <w:color w:val="000000"/>
                <w:szCs w:val="21"/>
                <w:lang w:val="en-US" w:eastAsia="zh-CN"/>
              </w:rPr>
            </w:pPr>
            <w:r>
              <w:rPr>
                <w:rFonts w:hint="eastAsia"/>
                <w:color w:val="000000"/>
                <w:szCs w:val="21"/>
                <w:lang w:val="en-US" w:eastAsia="zh-CN"/>
              </w:rPr>
              <w:t>43524.00</w:t>
            </w:r>
          </w:p>
        </w:tc>
      </w:tr>
      <w:tr>
        <w:tblPrEx>
          <w:tblCellMar>
            <w:top w:w="0" w:type="dxa"/>
            <w:left w:w="108" w:type="dxa"/>
            <w:bottom w:w="0" w:type="dxa"/>
            <w:right w:w="108" w:type="dxa"/>
          </w:tblCellMar>
        </w:tblPrEx>
        <w:trPr>
          <w:trHeight w:val="62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sz w:val="32"/>
                <w:szCs w:val="32"/>
              </w:rPr>
            </w:pPr>
          </w:p>
        </w:tc>
        <w:tc>
          <w:tcPr>
            <w:tcW w:w="379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sz w:val="32"/>
                <w:szCs w:val="32"/>
                <w:lang w:val="en-US" w:eastAsia="zh-CN"/>
              </w:rPr>
            </w:pPr>
            <w:r>
              <w:rPr>
                <w:rFonts w:hint="eastAsia" w:ascii="仿宋" w:hAnsi="仿宋" w:eastAsia="仿宋"/>
                <w:sz w:val="32"/>
                <w:szCs w:val="32"/>
              </w:rPr>
              <w:t>共计（元）</w:t>
            </w:r>
            <w:r>
              <w:rPr>
                <w:rFonts w:hint="eastAsia" w:ascii="仿宋" w:hAnsi="仿宋" w:eastAsia="仿宋"/>
                <w:sz w:val="32"/>
                <w:szCs w:val="32"/>
                <w:lang w:val="en-US" w:eastAsia="zh-CN"/>
              </w:rPr>
              <w:t>199724.00</w:t>
            </w:r>
            <w:bookmarkStart w:id="7" w:name="_GoBack"/>
            <w:bookmarkEnd w:id="7"/>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rPr>
            </w:pPr>
          </w:p>
        </w:tc>
      </w:tr>
    </w:tbl>
    <w:p/>
    <w:p>
      <w:pPr>
        <w:pStyle w:val="7"/>
      </w:pPr>
    </w:p>
    <w:p>
      <w:pPr>
        <w:pStyle w:val="7"/>
      </w:pPr>
    </w:p>
    <w:p>
      <w:pPr>
        <w:pStyle w:val="7"/>
      </w:pPr>
    </w:p>
    <w:p>
      <w:pPr>
        <w:pStyle w:val="7"/>
      </w:pPr>
    </w:p>
    <w:p>
      <w:pPr>
        <w:rPr>
          <w:rFonts w:hAnsi="Calibri" w:eastAsia="宋体" w:cs="Times New Roman"/>
          <w:b/>
          <w:bCs/>
          <w:kern w:val="0"/>
          <w:sz w:val="32"/>
          <w:szCs w:val="32"/>
        </w:rPr>
      </w:pPr>
      <w:r>
        <w:rPr>
          <w:rFonts w:hint="eastAsia" w:hAnsi="Calibri" w:eastAsia="宋体" w:cs="Times New Roman"/>
          <w:b/>
          <w:bCs/>
          <w:kern w:val="0"/>
          <w:sz w:val="32"/>
          <w:szCs w:val="32"/>
          <w:lang w:val="en-US" w:eastAsia="zh-CN"/>
        </w:rPr>
        <w:t>三</w:t>
      </w:r>
      <w:r>
        <w:rPr>
          <w:rFonts w:hint="eastAsia" w:hAnsi="Calibri" w:eastAsia="宋体" w:cs="Times New Roman"/>
          <w:b/>
          <w:bCs/>
          <w:kern w:val="0"/>
          <w:sz w:val="32"/>
          <w:szCs w:val="32"/>
        </w:rPr>
        <w:t>、产品详细配置</w:t>
      </w:r>
    </w:p>
    <w:tbl>
      <w:tblPr>
        <w:tblStyle w:val="12"/>
        <w:tblW w:w="5732" w:type="pct"/>
        <w:tblInd w:w="0" w:type="dxa"/>
        <w:tblLayout w:type="fixed"/>
        <w:tblCellMar>
          <w:top w:w="0" w:type="dxa"/>
          <w:left w:w="108" w:type="dxa"/>
          <w:bottom w:w="0" w:type="dxa"/>
          <w:right w:w="108" w:type="dxa"/>
        </w:tblCellMar>
      </w:tblPr>
      <w:tblGrid>
        <w:gridCol w:w="560"/>
        <w:gridCol w:w="846"/>
        <w:gridCol w:w="1062"/>
        <w:gridCol w:w="7302"/>
      </w:tblGrid>
      <w:tr>
        <w:tblPrEx>
          <w:tblCellMar>
            <w:top w:w="0" w:type="dxa"/>
            <w:left w:w="108" w:type="dxa"/>
            <w:bottom w:w="0" w:type="dxa"/>
            <w:right w:w="108" w:type="dxa"/>
          </w:tblCellMar>
        </w:tblPrEx>
        <w:trPr>
          <w:trHeight w:val="5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设备名称</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配置设备系统</w:t>
            </w:r>
          </w:p>
        </w:tc>
        <w:tc>
          <w:tcPr>
            <w:tcW w:w="3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参数</w:t>
            </w:r>
          </w:p>
        </w:tc>
      </w:tr>
      <w:tr>
        <w:tblPrEx>
          <w:tblCellMar>
            <w:top w:w="0" w:type="dxa"/>
            <w:left w:w="108" w:type="dxa"/>
            <w:bottom w:w="0" w:type="dxa"/>
            <w:right w:w="108" w:type="dxa"/>
          </w:tblCellMar>
        </w:tblPrEx>
        <w:trPr>
          <w:trHeight w:val="900" w:hRule="atLeast"/>
        </w:trPr>
        <w:tc>
          <w:tcPr>
            <w:tcW w:w="286" w:type="pct"/>
            <w:vMerge w:val="restart"/>
            <w:tcBorders>
              <w:top w:val="single" w:color="000000" w:sz="4" w:space="0"/>
              <w:left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rPr>
            </w:pPr>
            <w:r>
              <w:rPr>
                <w:rFonts w:hint="eastAsia" w:ascii="宋体" w:hAnsi="宋体"/>
              </w:rPr>
              <w:t>1</w:t>
            </w:r>
          </w:p>
        </w:tc>
        <w:tc>
          <w:tcPr>
            <w:tcW w:w="432" w:type="pct"/>
            <w:vMerge w:val="restart"/>
            <w:tcBorders>
              <w:top w:val="single" w:color="000000" w:sz="4" w:space="0"/>
              <w:left w:val="single" w:color="000000" w:sz="4" w:space="0"/>
              <w:right w:val="single" w:color="000000" w:sz="4" w:space="0"/>
            </w:tcBorders>
            <w:shd w:val="clear" w:color="auto" w:fill="auto"/>
            <w:vAlign w:val="center"/>
          </w:tcPr>
          <w:p>
            <w:pPr>
              <w:pStyle w:val="17"/>
              <w:spacing w:line="336" w:lineRule="auto"/>
              <w:ind w:firstLine="0" w:firstLineChars="0"/>
              <w:rPr>
                <w:rFonts w:hint="default" w:ascii="宋体" w:hAnsi="宋体"/>
                <w:lang w:val="en-US" w:eastAsia="zh-CN"/>
              </w:rPr>
            </w:pPr>
            <w:r>
              <w:rPr>
                <w:rFonts w:hint="eastAsia" w:ascii="宋体" w:hAnsi="宋体"/>
                <w:lang w:val="en-US" w:eastAsia="zh-CN"/>
              </w:rPr>
              <w:t>75寸触控一体机</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default" w:ascii="宋体" w:hAnsi="宋体"/>
                <w:lang w:val="en-US" w:eastAsia="zh-CN"/>
              </w:rPr>
            </w:pPr>
            <w:r>
              <w:rPr>
                <w:rFonts w:hint="eastAsia" w:ascii="宋体" w:hAnsi="宋体"/>
              </w:rPr>
              <w:t>75寸触控</w:t>
            </w:r>
            <w:r>
              <w:rPr>
                <w:rFonts w:hint="eastAsia" w:ascii="宋体" w:hAnsi="宋体"/>
                <w:lang w:val="en-US" w:eastAsia="zh-CN"/>
              </w:rPr>
              <w:t>大屏主机</w:t>
            </w:r>
          </w:p>
        </w:tc>
        <w:tc>
          <w:tcPr>
            <w:tcW w:w="3736"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line="336" w:lineRule="auto"/>
              <w:ind w:firstLine="0" w:firstLineChars="0"/>
              <w:rPr>
                <w:rFonts w:hint="eastAsia" w:ascii="宋体" w:hAnsi="宋体"/>
                <w:lang w:val="en-US" w:eastAsia="zh-CN"/>
              </w:rPr>
            </w:pPr>
            <w:r>
              <w:rPr>
                <w:rFonts w:hint="eastAsia" w:ascii="宋体" w:hAnsi="宋体"/>
                <w:lang w:val="en-US" w:eastAsia="zh-CN"/>
              </w:rPr>
              <w:t>一、整体设计</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1、整机采用一体化设计，外部无任何可见内部功能模块连接线。整机采用全金属外壳设计，边角采用弧形设计，表面无尖锐边缘或凸起。</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2、整机屏幕边缘采用金属圆角包边防护，整机背板采用金属材质，有效屏蔽内部电路器件辐射；防潮耐盐雾蚀锈，适应多种教学环境。</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★3、整机屏幕采用75英寸液晶显示器。</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4、整机采用UHD超高清LED液晶屏，显示比例16:9，分辨率3840*2160。</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5、灰度等级≥256级。</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6、触控一体机表面使用钢化玻璃，表面硬度达到9H，接近钻石硬度，有效保护教师及学生授课安全。</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7、整机采用硬件低蓝光背光技术，还原真实教学色彩的同时有效降低蓝光同时保护教师。</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8，▲</w:t>
            </w:r>
            <w:r>
              <w:rPr>
                <w:rFonts w:hint="default" w:ascii="宋体" w:hAnsi="宋体"/>
                <w:lang w:val="en-US" w:eastAsia="zh-CN"/>
              </w:rPr>
              <w:t>整机背光系统支持DC调光方式，多级亮度调节，支持白颜色背景下最暗亮度≤100nit，用于提升显示对比度。（提供国家认可的具备CMA认证的检测机构所出具的检测报告复印件并加盖公章）</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二、硬件设计</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1、整机内置音箱顶置朝前发声，2.2声道扬声器，额定总功率60W。（提供国家认可的具备CMA认证的检测机构所出具的权威检测报告复印件并加盖厂家公章）</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2、整机支持高级音效设置、左右声道平衡、可根据实际需要设置不同频段调节功能，以满足不同课程授课声音还原需求。</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3、整机内置非独立外扩展的4阵列麦克风，可用于对教室环境音频进行采集，拾音距离≥12m。</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5、整机无需外接无线网卡，在Windows系统下可实现Wi-Fi无线上网连接、AP无线热点发射和BT蓝牙连接功能。</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6、Wi-Fi和AP热点工作距离≥12m。</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8、▲</w:t>
            </w:r>
            <w:r>
              <w:rPr>
                <w:rFonts w:hint="default" w:ascii="宋体" w:hAnsi="宋体"/>
                <w:lang w:val="en-US" w:eastAsia="zh-CN"/>
              </w:rPr>
              <w:t>整机支持蓝牙Bluetooth 5.4标准，</w:t>
            </w:r>
            <w:r>
              <w:rPr>
                <w:rFonts w:hint="eastAsia" w:ascii="宋体" w:hAnsi="宋体"/>
                <w:lang w:val="en-US" w:eastAsia="zh-CN"/>
              </w:rPr>
              <w:t>电脑</w:t>
            </w:r>
            <w:r>
              <w:rPr>
                <w:rFonts w:hint="default" w:ascii="宋体" w:hAnsi="宋体"/>
                <w:lang w:val="en-US" w:eastAsia="zh-CN"/>
              </w:rPr>
              <w:t>端支持主动发现蓝牙外设从而连接（无需整机进入发现模式），支持连接外部蓝牙音箱播放音频。</w:t>
            </w:r>
            <w:r>
              <w:rPr>
                <w:rFonts w:hint="eastAsia" w:ascii="宋体" w:hAnsi="宋体"/>
                <w:lang w:val="en-US" w:eastAsia="zh-CN"/>
              </w:rPr>
              <w:t>（提供国家认可的具备CMA认证的检测机构所出具的权威检测报告复印件并加盖厂家公章）</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9、整机无需外接无线网卡，在Windows系统下接入无线网络，切换到嵌入式Android系统下可直接实现无线上网功能，不需手动重复设置。</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10、▲为提升传输速率和降低能耗，整机支持Wi-Fi6；Wi-Fi及AP热点支持频段2.4GHz/5GHz（提供国家认可的具备CMA认证的检测机构所出具的权威检测报告复印件并加盖厂家公章）</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三、主要功能</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1、部署单根网线可实现Android、Windows双系统有线网络连通。</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2、整机可通过前置物理按键快捷进行系统还原，无需额外工具辅助。</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3、支持降半屏功能，降半屏后依然可以正常触控操作Windows系统；可一键退出该模式。</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4、支持外接信号输入时自动唤醒功能，整机处于关机通电状态，外接电脑显示信号通过HDMI传输线连接至整机时，整机可智能识别外接电脑设备信号输入并自动开机。</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5、整机内置专业硬件自检维护工具（非第三方工具），支持对触摸框和PC模块进行检测，并针对不同模块给出问题代码提示。</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6、当整机处于黑暗环境中并无人操作，一分钟后整机将可以自动进入熄屏模式。</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7、支持将自定义图片设置为开机画面。</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8、整机具备供电保护模块，能够检测内置电脑是否插好在位，在内置电脑未在位的情况下，内置电脑无法上电工作。</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9、支持云端在线系统固件升级。</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四、触摸系统</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w:t>
            </w:r>
            <w:r>
              <w:rPr>
                <w:rFonts w:hint="default" w:ascii="宋体" w:hAnsi="宋体"/>
                <w:lang w:val="en-US" w:eastAsia="zh-CN"/>
              </w:rPr>
              <w:t>采用红外触控方式，支持Windows系统中进行40点或以上触控，支持在Android系统中进行40点或以上触控</w:t>
            </w:r>
            <w:r>
              <w:rPr>
                <w:rFonts w:hint="eastAsia" w:ascii="宋体" w:hAnsi="宋体"/>
              </w:rPr>
              <w:t>（提供国家认可的具备CMA认证的检测机构所出具的权威检测报告复印件并加盖厂家公章）</w:t>
            </w:r>
            <w:r>
              <w:rPr>
                <w:rFonts w:hint="default" w:ascii="宋体" w:hAnsi="宋体"/>
                <w:lang w:val="en-US" w:eastAsia="zh-CN"/>
              </w:rPr>
              <w:t>。</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2、从内部Android通道切换到内部PC通道后，触摸框在1s内达到可触控状态。从内部PC通道切换到外部通道后，触摸框在3s内达到可触控状态。</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3、触摸屏在照度100K LUX（勒克斯）环境下仍能正常工作。</w:t>
            </w:r>
            <w:r>
              <w:rPr>
                <w:rFonts w:hint="eastAsia" w:ascii="宋体" w:hAnsi="宋体"/>
                <w:lang w:val="en-US" w:eastAsia="zh-CN"/>
              </w:rPr>
              <w:br w:type="textWrapping"/>
            </w:r>
            <w:r>
              <w:rPr>
                <w:rFonts w:hint="eastAsia" w:ascii="宋体" w:hAnsi="宋体"/>
                <w:lang w:val="en-US" w:eastAsia="zh-CN"/>
              </w:rPr>
              <w:t>五，嵌入式系统</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 xml:space="preserve">1. </w:t>
            </w:r>
            <w:r>
              <w:rPr>
                <w:rFonts w:hint="default" w:ascii="宋体" w:hAnsi="宋体"/>
                <w:lang w:val="en-US" w:eastAsia="zh-CN"/>
              </w:rPr>
              <w:t>★嵌入式系统版本不低于Android 13，内存≥2GB，存储空间≥8GB。（提供国家认可的具备CMA认证的检测机构所出具的检测报告复印件并加盖公章）</w:t>
            </w:r>
          </w:p>
          <w:p>
            <w:pPr>
              <w:pStyle w:val="17"/>
              <w:spacing w:line="336" w:lineRule="auto"/>
              <w:ind w:firstLine="0" w:firstLineChars="0"/>
              <w:rPr>
                <w:rFonts w:hint="eastAsia" w:ascii="宋体" w:hAnsi="宋体"/>
              </w:rPr>
            </w:pPr>
            <w:r>
              <w:rPr>
                <w:rFonts w:hint="eastAsia" w:ascii="宋体" w:hAnsi="宋体"/>
                <w:lang w:val="en-US" w:eastAsia="zh-CN"/>
              </w:rPr>
              <w:t xml:space="preserve">2. </w:t>
            </w:r>
            <w:r>
              <w:rPr>
                <w:rFonts w:hint="default" w:ascii="宋体" w:hAnsi="宋体"/>
                <w:lang w:val="en-US" w:eastAsia="zh-CN"/>
              </w:rPr>
              <w:t>无PC状态下，嵌入式Android操作系统下可使用白板书写、WPS软件和网页浏览。</w:t>
            </w:r>
          </w:p>
        </w:tc>
      </w:tr>
      <w:tr>
        <w:tblPrEx>
          <w:tblCellMar>
            <w:top w:w="0" w:type="dxa"/>
            <w:left w:w="108" w:type="dxa"/>
            <w:bottom w:w="0" w:type="dxa"/>
            <w:right w:w="108" w:type="dxa"/>
          </w:tblCellMar>
        </w:tblPrEx>
        <w:trPr>
          <w:trHeight w:val="900" w:hRule="atLeast"/>
        </w:trPr>
        <w:tc>
          <w:tcPr>
            <w:tcW w:w="286" w:type="pct"/>
            <w:vMerge w:val="continue"/>
            <w:tcBorders>
              <w:left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rPr>
            </w:pPr>
          </w:p>
        </w:tc>
        <w:tc>
          <w:tcPr>
            <w:tcW w:w="432" w:type="pct"/>
            <w:vMerge w:val="continue"/>
            <w:tcBorders>
              <w:left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lang w:val="en-US" w:eastAsia="zh-CN"/>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default" w:ascii="宋体" w:hAnsi="宋体"/>
                <w:lang w:val="en-US" w:eastAsia="zh-CN"/>
              </w:rPr>
            </w:pPr>
            <w:r>
              <w:rPr>
                <w:rFonts w:hint="eastAsia" w:ascii="宋体" w:hAnsi="宋体"/>
                <w:lang w:val="en-US" w:eastAsia="zh-CN"/>
              </w:rPr>
              <w:t>电脑模块OPS</w:t>
            </w:r>
          </w:p>
        </w:tc>
        <w:tc>
          <w:tcPr>
            <w:tcW w:w="3736" w:type="pct"/>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line="336" w:lineRule="auto"/>
              <w:ind w:firstLine="0" w:firstLineChars="0"/>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采用模块化电脑方案，抽拉内置式，PC模块可完全插入整机，保护PC模块不易受教室灰尘影响，PC模块可抽拉式插入整机，可实现无单独接线的插拔。</w:t>
            </w:r>
          </w:p>
          <w:p>
            <w:pPr>
              <w:pStyle w:val="17"/>
              <w:spacing w:line="336" w:lineRule="auto"/>
              <w:ind w:firstLine="0" w:firstLineChars="0"/>
              <w:rPr>
                <w:rFonts w:hint="eastAsia" w:ascii="宋体" w:hAnsi="宋体"/>
              </w:rPr>
            </w:pPr>
            <w:r>
              <w:rPr>
                <w:rFonts w:hint="eastAsia" w:ascii="宋体" w:hAnsi="宋体"/>
              </w:rPr>
              <w:t>2</w:t>
            </w:r>
            <w:r>
              <w:rPr>
                <w:rFonts w:hint="eastAsia" w:ascii="宋体" w:hAnsi="宋体"/>
                <w:lang w:eastAsia="zh-CN"/>
              </w:rPr>
              <w:t>、</w:t>
            </w:r>
            <w:r>
              <w:rPr>
                <w:rFonts w:hint="eastAsia" w:ascii="宋体" w:hAnsi="宋体"/>
              </w:rPr>
              <w:t xml:space="preserve">PC和整机的连接采用万兆级接口，传输速率≥10Gbps。 </w:t>
            </w:r>
          </w:p>
          <w:p>
            <w:pPr>
              <w:pStyle w:val="17"/>
              <w:spacing w:line="336" w:lineRule="auto"/>
              <w:ind w:firstLine="0" w:firstLineChars="0"/>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▲采用按压式卡扣，无需工具即可快速拆卸电脑模块（提供国家认可的具备CMA认证的检测机构所出具的权威检测报告复印件并加盖厂家公章）。</w:t>
            </w:r>
          </w:p>
          <w:p>
            <w:pPr>
              <w:pStyle w:val="17"/>
              <w:spacing w:line="336" w:lineRule="auto"/>
              <w:ind w:firstLine="0" w:firstLineChars="0"/>
              <w:rPr>
                <w:rFonts w:hint="eastAsia" w:ascii="宋体" w:hAnsi="宋体"/>
              </w:rPr>
            </w:pPr>
            <w:r>
              <w:rPr>
                <w:rFonts w:hint="eastAsia" w:ascii="宋体" w:hAnsi="宋体"/>
              </w:rPr>
              <w:t>4</w:t>
            </w:r>
            <w:r>
              <w:rPr>
                <w:rFonts w:hint="eastAsia" w:ascii="宋体" w:hAnsi="宋体"/>
                <w:lang w:eastAsia="zh-CN"/>
              </w:rPr>
              <w:t>、</w:t>
            </w:r>
            <w:r>
              <w:rPr>
                <w:rFonts w:hint="eastAsia" w:ascii="宋体" w:hAnsi="宋体"/>
              </w:rPr>
              <w:t>处理器：</w:t>
            </w:r>
            <w:r>
              <w:rPr>
                <w:rFonts w:hint="eastAsia" w:ascii="宋体" w:hAnsi="宋体"/>
                <w:lang w:val="en-US" w:eastAsia="zh-CN"/>
              </w:rPr>
              <w:t>四核八线或以上，主频2.0或以上</w:t>
            </w:r>
          </w:p>
          <w:p>
            <w:pPr>
              <w:pStyle w:val="17"/>
              <w:spacing w:line="336" w:lineRule="auto"/>
              <w:ind w:firstLine="0" w:firstLineChars="0"/>
              <w:rPr>
                <w:rFonts w:hint="eastAsia" w:ascii="宋体" w:hAnsi="宋体"/>
              </w:rPr>
            </w:pPr>
            <w:r>
              <w:rPr>
                <w:rFonts w:hint="eastAsia" w:ascii="宋体" w:hAnsi="宋体"/>
                <w:lang w:val="en-US" w:eastAsia="zh-CN"/>
              </w:rPr>
              <w:t>5</w:t>
            </w:r>
            <w:r>
              <w:rPr>
                <w:rFonts w:hint="eastAsia" w:ascii="宋体" w:hAnsi="宋体"/>
                <w:lang w:eastAsia="zh-CN"/>
              </w:rPr>
              <w:t>、</w:t>
            </w:r>
            <w:r>
              <w:rPr>
                <w:rFonts w:hint="eastAsia" w:ascii="宋体" w:hAnsi="宋体"/>
              </w:rPr>
              <w:t>内存：8G DDR4笔记本内存或以上配置。</w:t>
            </w:r>
          </w:p>
          <w:p>
            <w:pPr>
              <w:pStyle w:val="17"/>
              <w:spacing w:line="336" w:lineRule="auto"/>
              <w:ind w:firstLine="0" w:firstLineChars="0"/>
              <w:rPr>
                <w:rFonts w:hint="eastAsia" w:ascii="宋体" w:hAnsi="宋体"/>
              </w:rPr>
            </w:pPr>
            <w:r>
              <w:rPr>
                <w:rFonts w:hint="eastAsia" w:ascii="宋体" w:hAnsi="宋体"/>
                <w:lang w:val="en-US" w:eastAsia="zh-CN"/>
              </w:rPr>
              <w:t>6</w:t>
            </w:r>
            <w:r>
              <w:rPr>
                <w:rFonts w:hint="eastAsia" w:ascii="宋体" w:hAnsi="宋体"/>
                <w:lang w:eastAsia="zh-CN"/>
              </w:rPr>
              <w:t>、</w:t>
            </w:r>
            <w:r>
              <w:rPr>
                <w:rFonts w:hint="eastAsia" w:ascii="宋体" w:hAnsi="宋体"/>
              </w:rPr>
              <w:t xml:space="preserve">硬盘：256G或以上SSD </w:t>
            </w:r>
          </w:p>
          <w:p>
            <w:pPr>
              <w:pStyle w:val="17"/>
              <w:spacing w:line="336" w:lineRule="auto"/>
              <w:ind w:firstLine="0" w:firstLineChars="0"/>
              <w:rPr>
                <w:rFonts w:hint="eastAsia" w:ascii="宋体" w:hAnsi="宋体"/>
              </w:rPr>
            </w:pPr>
            <w:r>
              <w:rPr>
                <w:rFonts w:hint="eastAsia" w:ascii="宋体" w:hAnsi="宋体"/>
                <w:lang w:val="en-US" w:eastAsia="zh-CN"/>
              </w:rPr>
              <w:t>7</w:t>
            </w:r>
            <w:r>
              <w:rPr>
                <w:rFonts w:hint="eastAsia" w:ascii="宋体" w:hAnsi="宋体"/>
                <w:lang w:eastAsia="zh-CN"/>
              </w:rPr>
              <w:t>、</w:t>
            </w:r>
            <w:r>
              <w:rPr>
                <w:rFonts w:hint="eastAsia" w:ascii="宋体" w:hAnsi="宋体"/>
              </w:rPr>
              <w:t>具有独立非外扩展的视频输出接口：≥1路HDMI ，具有独立非外扩展的电脑USB接口：≥3路USB。</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8、▲</w:t>
            </w:r>
            <w:r>
              <w:rPr>
                <w:rFonts w:hint="default" w:ascii="宋体" w:hAnsi="宋体"/>
                <w:lang w:val="en-US" w:eastAsia="zh-CN"/>
              </w:rPr>
              <w:t>在配置管理平台使用终端设备时，支持统一互通的用户身份认证服务，账号登录进入云桌面镜像后，打开教学白板软件、学生行为评价软件的教学应用工具时无需再次输入账号密码重复登录</w:t>
            </w:r>
            <w:r>
              <w:rPr>
                <w:rFonts w:hint="eastAsia" w:ascii="宋体" w:hAnsi="宋体"/>
                <w:lang w:val="en-US" w:eastAsia="zh-CN"/>
              </w:rPr>
              <w:t>（提供第三方检测机构所出具的检测报告扫描件并加盖公章）</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9.▲支持当使用桌面镜像功能时发生系统无法启动、系统异常等情况，可通过手势在屏幕上调取触摸中控菜单，进行系统恢复至出厂默认状态，无需连接网络、无需连接管理平台、无需额外工具辅助（提供第三方检测机构所出具的检测报告扫描件并加盖公章）。</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10.支持交互大屏在系统恢复后，公共数据分区（如D盘等非系统分区）的数据能够得到保留，不受还原影响，从而不影响教学使用</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11.支持诊断网络，支持检测与管理平台的通讯状态，支持TCP延迟、ICMP延迟、上传下载速度检测</w:t>
            </w:r>
          </w:p>
          <w:p>
            <w:pPr>
              <w:pStyle w:val="17"/>
              <w:spacing w:line="336" w:lineRule="auto"/>
              <w:ind w:firstLine="0" w:firstLineChars="0"/>
              <w:rPr>
                <w:rFonts w:hint="eastAsia" w:ascii="宋体" w:hAnsi="宋体"/>
              </w:rPr>
            </w:pPr>
            <w:r>
              <w:rPr>
                <w:rFonts w:hint="eastAsia" w:ascii="宋体" w:hAnsi="宋体"/>
                <w:lang w:val="en-US" w:eastAsia="zh-CN"/>
              </w:rPr>
              <w:t>12.▲.支持终端设备运行时无需运行独立的虚拟化系统，终端设备配置的IP与进入云桌面镜像后的IP能够保持一致，同一个终端无需使用多个IP，简化运维管理与网络规划复杂度（提供第三方检测机构所出具的检测报告扫描件并加盖公章）</w:t>
            </w:r>
          </w:p>
        </w:tc>
      </w:tr>
      <w:tr>
        <w:tblPrEx>
          <w:tblCellMar>
            <w:top w:w="0" w:type="dxa"/>
            <w:left w:w="108" w:type="dxa"/>
            <w:bottom w:w="0" w:type="dxa"/>
            <w:right w:w="108" w:type="dxa"/>
          </w:tblCellMar>
        </w:tblPrEx>
        <w:trPr>
          <w:trHeight w:val="900" w:hRule="atLeast"/>
        </w:trPr>
        <w:tc>
          <w:tcPr>
            <w:tcW w:w="286" w:type="pct"/>
            <w:vMerge w:val="continue"/>
            <w:tcBorders>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rPr>
            </w:pPr>
          </w:p>
        </w:tc>
        <w:tc>
          <w:tcPr>
            <w:tcW w:w="432" w:type="pct"/>
            <w:vMerge w:val="continue"/>
            <w:tcBorders>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lang w:val="en-US" w:eastAsia="zh-CN"/>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default" w:ascii="宋体" w:hAnsi="宋体"/>
                <w:lang w:val="en-US" w:eastAsia="zh-CN"/>
              </w:rPr>
            </w:pPr>
            <w:r>
              <w:rPr>
                <w:rFonts w:hint="eastAsia" w:ascii="宋体" w:hAnsi="宋体"/>
                <w:lang w:val="en-US" w:eastAsia="zh-CN"/>
              </w:rPr>
              <w:t>系统工具软件</w:t>
            </w:r>
          </w:p>
        </w:tc>
        <w:tc>
          <w:tcPr>
            <w:tcW w:w="37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
              <w:spacing w:line="336" w:lineRule="auto"/>
              <w:ind w:firstLine="0" w:firstLineChars="0"/>
              <w:rPr>
                <w:rFonts w:hint="eastAsia" w:ascii="宋体" w:hAnsi="宋体"/>
                <w:lang w:val="en-US" w:eastAsia="zh-CN"/>
              </w:rPr>
            </w:pPr>
            <w:r>
              <w:rPr>
                <w:rFonts w:hint="eastAsia" w:ascii="宋体" w:hAnsi="宋体"/>
                <w:lang w:val="en-US" w:eastAsia="zh-CN"/>
              </w:rPr>
              <w:t>线上教学工具：</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1)软件支持微信扫码登录，无需输入帐号密码即可实现登录互动课堂。</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2)支持按键拨号形式，直接拨号呼叫连接动课堂连，实现远程教学。</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3)互动课堂视频界面支持至少两种画面设置，适应不同场景画面布局需求。</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4)线上教学应用提供不少于9个学科工具，支持语文、数学、英语等。</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5)支持用户在线打开云课件，无需下载，即可在线打开并展示课件及讲授。</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6)▲互动课堂活动：支持互动课堂中可对本地班级、听课班级中表现好的班级发送点评奖励，每堂课可统计各班点评总分，并在课上一键展示最高得分的班级进行表扬。（提供具备CMA认证的检测机构所出具的权威检测报告复印件并加盖投标人公章）。</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7）</w:t>
            </w:r>
            <w:r>
              <w:rPr>
                <w:rFonts w:hint="eastAsia" w:ascii="宋体" w:hAnsi="宋体"/>
                <w:lang w:val="zh-CN" w:eastAsia="zh-CN"/>
              </w:rPr>
              <w:t>▲</w:t>
            </w:r>
            <w:r>
              <w:rPr>
                <w:rFonts w:hint="eastAsia" w:ascii="宋体" w:hAnsi="宋体"/>
                <w:lang w:val="en-US" w:eastAsia="zh-CN"/>
              </w:rPr>
              <w:t>支持用户无需通过平台，直接创建网络教研，即时生成教研二维码，扫码可进行查看教研简介、发送点评等。（提供国家认可的具备CMA认证的检测机构所出具的权威检测报告复印件并加盖厂家公章）</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8）</w:t>
            </w:r>
            <w:r>
              <w:rPr>
                <w:rFonts w:hint="eastAsia" w:ascii="宋体" w:hAnsi="宋体"/>
              </w:rPr>
              <w:t>具有多系统兼容性。除适配Windows操作系统外，至少能与主流国产操作系统（鸿蒙、UOS、麒麟、深度）其中一个适配并正常安装运行。</w:t>
            </w:r>
            <w:r>
              <w:rPr>
                <w:rFonts w:hint="eastAsia" w:ascii="宋体" w:hAnsi="宋体"/>
                <w:lang w:val="en-US" w:eastAsia="zh-CN"/>
              </w:rPr>
              <w:t xml:space="preserve"> </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9）、具有互动式教学课件资源，包含学科教育各学段教材版本全部教学章节、专题教育多个主题教育、特殊教育3大分类的不少于150000份的互动课件，其中学科教育各学段各地区教材版本不少于140个。。</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10）、课件定向分享：互动教学课件支持定向分享，分享者可将互动课件、课件组推送至指定接收方账号云空间，接收方可在云空间接收并打开分享课件。</w:t>
            </w:r>
          </w:p>
          <w:p>
            <w:pPr>
              <w:pStyle w:val="17"/>
              <w:spacing w:line="336" w:lineRule="auto"/>
              <w:ind w:firstLine="0" w:firstLineChars="0"/>
              <w:rPr>
                <w:rFonts w:hint="eastAsia" w:ascii="宋体" w:hAnsi="宋体"/>
                <w:lang w:val="en-US" w:eastAsia="zh-CN"/>
              </w:rPr>
            </w:pPr>
            <w:r>
              <w:rPr>
                <w:rFonts w:hint="eastAsia" w:ascii="宋体" w:hAnsi="宋体"/>
                <w:lang w:val="en-US" w:eastAsia="zh-CN"/>
              </w:rPr>
              <w:t>11）、▲支持电子化听评课，支持在授课模式中发起授课评价，根据课程和评课表生成二维码，可选择是否分享课件，若选择分享课件，评课人通过扫码即可参与评课并获取课件。（提供具备CMA认证的检测机构所出具的权威检测报告复印件并加盖投标人公章）</w:t>
            </w:r>
            <w:r>
              <w:rPr>
                <w:rFonts w:hint="eastAsia" w:ascii="宋体" w:hAnsi="宋体"/>
                <w:lang w:val="en-US" w:eastAsia="zh-CN"/>
              </w:rPr>
              <w:br w:type="textWrapping"/>
            </w:r>
            <w:r>
              <w:rPr>
                <w:rFonts w:hint="eastAsia" w:ascii="宋体" w:hAnsi="宋体"/>
                <w:lang w:val="en-US" w:eastAsia="zh-CN"/>
              </w:rPr>
              <w:t>校园控制：</w:t>
            </w:r>
            <w:r>
              <w:rPr>
                <w:rFonts w:hint="eastAsia" w:ascii="宋体" w:hAnsi="宋体"/>
                <w:lang w:val="en-US" w:eastAsia="zh-CN"/>
              </w:rPr>
              <w:br w:type="textWrapping"/>
            </w:r>
            <w:r>
              <w:rPr>
                <w:rFonts w:hint="eastAsia" w:ascii="宋体" w:hAnsi="宋体"/>
                <w:lang w:val="en-US" w:eastAsia="zh-CN"/>
              </w:rPr>
              <w:t>1．远程监控：在控制端网页可实时监控已连接的一体机，可远程查看开关机状态、使用状态评估、整机温度、以及系统内存、硬盘空间等设备信息。</w:t>
            </w:r>
            <w:r>
              <w:rPr>
                <w:rFonts w:hint="eastAsia" w:ascii="宋体" w:hAnsi="宋体"/>
                <w:lang w:val="en-US" w:eastAsia="zh-CN"/>
              </w:rPr>
              <w:br w:type="textWrapping"/>
            </w:r>
            <w:r>
              <w:rPr>
                <w:rFonts w:hint="eastAsia" w:ascii="宋体" w:hAnsi="宋体"/>
                <w:lang w:val="en-US" w:eastAsia="zh-CN"/>
              </w:rPr>
              <w:t>2．远程设备控制：在控制端网页可对已连接的一体机进行实时控制，包括开关机、切换通道、更改图像及声音模式、锁屏等功能。</w:t>
            </w:r>
            <w:r>
              <w:rPr>
                <w:rFonts w:hint="eastAsia" w:ascii="宋体" w:hAnsi="宋体"/>
                <w:lang w:val="en-US" w:eastAsia="zh-CN"/>
              </w:rPr>
              <w:br w:type="textWrapping"/>
            </w:r>
            <w:r>
              <w:rPr>
                <w:rFonts w:hint="eastAsia" w:ascii="宋体" w:hAnsi="宋体"/>
                <w:lang w:val="en-US" w:eastAsia="zh-CN"/>
              </w:rPr>
              <w:t>3．▲弹窗AI拦截：支持一键开启全校班班通设备的不良弹窗AI拦截过滤能力，设备辅助管理软件实时监测弹出窗口，当有窗口弹出时，会自动使用“不良弹窗AI模型”判断，判断为不良弹窗时，自动拦截该窗口，以保证课堂教学稳定进行。（提供具备CMA认证的检测机构所出具的权威检测报告复印件并加盖投标人公章）。</w:t>
            </w:r>
            <w:r>
              <w:rPr>
                <w:rFonts w:hint="eastAsia" w:ascii="宋体" w:hAnsi="宋体"/>
                <w:lang w:val="en-US" w:eastAsia="zh-CN"/>
              </w:rPr>
              <w:br w:type="textWrapping"/>
            </w:r>
            <w:r>
              <w:rPr>
                <w:rFonts w:hint="eastAsia" w:ascii="宋体" w:hAnsi="宋体"/>
                <w:lang w:val="en-US" w:eastAsia="zh-CN"/>
              </w:rPr>
              <w:t>4．▲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提供具备CMA认证的检测机构所出具的权威检测报告复印件并加盖投标人公章）。</w:t>
            </w:r>
            <w:r>
              <w:rPr>
                <w:rFonts w:hint="eastAsia" w:ascii="宋体" w:hAnsi="宋体"/>
                <w:lang w:val="en-US" w:eastAsia="zh-CN"/>
              </w:rPr>
              <w:br w:type="textWrapping"/>
            </w:r>
            <w:r>
              <w:rPr>
                <w:rFonts w:hint="eastAsia" w:ascii="宋体" w:hAnsi="宋体"/>
                <w:lang w:val="en-US" w:eastAsia="zh-CN"/>
              </w:rPr>
              <w:t>5．分组管理：顶级管理员可按照年级、楼层等，将一体机控制、监控等权限分配给对应的普通管理员，进行分组管理。</w:t>
            </w:r>
          </w:p>
          <w:p>
            <w:pPr>
              <w:pStyle w:val="17"/>
              <w:spacing w:line="336" w:lineRule="auto"/>
              <w:ind w:firstLine="0" w:firstLineChars="0"/>
              <w:rPr>
                <w:rFonts w:hint="eastAsia" w:ascii="宋体" w:hAnsi="宋体"/>
              </w:rPr>
            </w:pPr>
            <w:r>
              <w:rPr>
                <w:rFonts w:hint="eastAsia" w:ascii="宋体" w:hAnsi="宋体"/>
                <w:lang w:val="en-US" w:eastAsia="zh-CN"/>
              </w:rPr>
              <w:t>6．</w:t>
            </w:r>
            <w:r>
              <w:rPr>
                <w:rFonts w:hint="eastAsia" w:ascii="宋体" w:hAnsi="宋体"/>
                <w:lang w:val="zh-CN" w:eastAsia="zh-CN"/>
              </w:rPr>
              <w:t>▲</w:t>
            </w:r>
            <w:r>
              <w:rPr>
                <w:rFonts w:hint="eastAsia" w:ascii="宋体" w:hAnsi="宋体"/>
                <w:lang w:val="en-US" w:eastAsia="zh-CN"/>
              </w:rPr>
              <w:t>为确保教育数据托付管理能力、存储能力及信息安全能力，所投产品制造商通过GB/T36073-2018《数据管理能力成熟度评估模型》认定（提供该证书原件或复印件并加盖原厂公章及官网截图）</w:t>
            </w:r>
          </w:p>
        </w:tc>
      </w:tr>
      <w:tr>
        <w:tblPrEx>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lang w:eastAsia="zh-CN"/>
              </w:rPr>
            </w:pPr>
            <w:r>
              <w:rPr>
                <w:rFonts w:hint="eastAsia" w:ascii="宋体" w:hAnsi="宋体"/>
                <w:lang w:val="en-US" w:eastAsia="zh-CN"/>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rPr>
            </w:pPr>
            <w:r>
              <w:rPr>
                <w:rFonts w:hint="eastAsia" w:ascii="宋体" w:hAnsi="宋体"/>
              </w:rPr>
              <w:t>移动支架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rPr>
            </w:pPr>
            <w:r>
              <w:rPr>
                <w:rFonts w:hint="eastAsia" w:ascii="宋体" w:hAnsi="宋体"/>
              </w:rPr>
              <w:t>移动支架</w:t>
            </w:r>
          </w:p>
        </w:tc>
        <w:tc>
          <w:tcPr>
            <w:tcW w:w="37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
              <w:spacing w:line="336" w:lineRule="auto"/>
              <w:ind w:firstLine="0" w:firstLineChars="0"/>
              <w:rPr>
                <w:rFonts w:hint="eastAsia" w:ascii="宋体" w:hAnsi="宋体"/>
              </w:rPr>
            </w:pPr>
            <w:r>
              <w:rPr>
                <w:rFonts w:hint="eastAsia" w:ascii="宋体" w:hAnsi="宋体"/>
              </w:rPr>
              <w:t>1.支架材料采用优质冷轧管材，底座采用80*40*1.5mm方管经冷管处理外形呈对外弧形状，支架主立柱采用60*60*2.5mm；</w:t>
            </w:r>
          </w:p>
          <w:p>
            <w:pPr>
              <w:pStyle w:val="17"/>
              <w:spacing w:line="336" w:lineRule="auto"/>
              <w:ind w:firstLine="0" w:firstLineChars="0"/>
              <w:rPr>
                <w:rFonts w:hint="eastAsia" w:ascii="宋体" w:hAnsi="宋体"/>
              </w:rPr>
            </w:pPr>
            <w:r>
              <w:rPr>
                <w:rFonts w:hint="eastAsia" w:ascii="宋体" w:hAnsi="宋体"/>
              </w:rPr>
              <w:t>2.铝合金型材，所有连接部位可拆卸组装；</w:t>
            </w:r>
          </w:p>
          <w:p>
            <w:pPr>
              <w:pStyle w:val="17"/>
              <w:spacing w:line="336" w:lineRule="auto"/>
              <w:ind w:firstLine="0" w:firstLineChars="0"/>
              <w:rPr>
                <w:rFonts w:hint="eastAsia" w:ascii="宋体" w:hAnsi="宋体"/>
              </w:rPr>
            </w:pPr>
            <w:r>
              <w:rPr>
                <w:rFonts w:hint="eastAsia" w:ascii="宋体" w:hAnsi="宋体"/>
              </w:rPr>
              <w:t>3.表面经酸洗磷化处理，采用静电粉末喷涂工艺，表面呈亚光黑色磨砂状；</w:t>
            </w:r>
          </w:p>
          <w:p>
            <w:pPr>
              <w:pStyle w:val="17"/>
              <w:spacing w:line="336" w:lineRule="auto"/>
              <w:ind w:firstLine="0" w:firstLineChars="0"/>
              <w:rPr>
                <w:rFonts w:hint="eastAsia" w:ascii="宋体" w:hAnsi="宋体"/>
              </w:rPr>
            </w:pPr>
            <w:r>
              <w:rPr>
                <w:rFonts w:hint="eastAsia" w:ascii="宋体" w:hAnsi="宋体"/>
              </w:rPr>
              <w:t>4.通用型安装支架提供最大1000*600标准孔位可满足55“-100”一体机的安装；</w:t>
            </w:r>
          </w:p>
          <w:p>
            <w:pPr>
              <w:pStyle w:val="17"/>
              <w:spacing w:line="336" w:lineRule="auto"/>
              <w:ind w:firstLine="0" w:firstLineChars="0"/>
              <w:rPr>
                <w:rFonts w:hint="eastAsia" w:ascii="宋体" w:hAnsi="宋体"/>
              </w:rPr>
            </w:pPr>
            <w:r>
              <w:rPr>
                <w:rFonts w:hint="eastAsia" w:ascii="宋体" w:hAnsi="宋体"/>
              </w:rPr>
              <w:t>5.支架主体提供不同安装空位，一体机安装高度可在一定范围内调整；</w:t>
            </w:r>
          </w:p>
          <w:p>
            <w:pPr>
              <w:pStyle w:val="17"/>
              <w:spacing w:line="336" w:lineRule="auto"/>
              <w:ind w:firstLine="0" w:firstLineChars="0"/>
              <w:rPr>
                <w:rFonts w:hint="eastAsia" w:ascii="宋体" w:hAnsi="宋体"/>
              </w:rPr>
            </w:pPr>
            <w:r>
              <w:rPr>
                <w:rFonts w:hint="eastAsia" w:ascii="宋体" w:hAnsi="宋体"/>
              </w:rPr>
              <w:t>6.标配3寸静音万向刹车轮滑，移动方便，推动无声；</w:t>
            </w:r>
          </w:p>
          <w:p>
            <w:pPr>
              <w:pStyle w:val="17"/>
              <w:spacing w:line="336" w:lineRule="auto"/>
              <w:ind w:firstLine="0" w:firstLineChars="0"/>
              <w:rPr>
                <w:rFonts w:hint="eastAsia" w:ascii="宋体" w:hAnsi="宋体"/>
              </w:rPr>
            </w:pPr>
            <w:r>
              <w:rPr>
                <w:rFonts w:hint="eastAsia" w:ascii="宋体" w:hAnsi="宋体"/>
              </w:rPr>
              <w:t>7.中层720*320搁板可放置笔记本等各类音视频设备；</w:t>
            </w:r>
          </w:p>
          <w:p>
            <w:pPr>
              <w:pStyle w:val="17"/>
              <w:spacing w:line="336" w:lineRule="auto"/>
              <w:ind w:firstLine="0" w:firstLineChars="0"/>
              <w:rPr>
                <w:rFonts w:hint="eastAsia" w:ascii="宋体" w:hAnsi="宋体"/>
              </w:rPr>
            </w:pPr>
            <w:r>
              <w:rPr>
                <w:rFonts w:hint="eastAsia" w:ascii="宋体" w:hAnsi="宋体"/>
              </w:rPr>
              <w:t>8.底座配置2只可调节地脚螺丝大大增加了支架的稳定性；</w:t>
            </w:r>
          </w:p>
        </w:tc>
      </w:tr>
      <w:tr>
        <w:tblPrEx>
          <w:tblCellMar>
            <w:top w:w="0" w:type="dxa"/>
            <w:left w:w="108" w:type="dxa"/>
            <w:bottom w:w="0" w:type="dxa"/>
            <w:right w:w="108" w:type="dxa"/>
          </w:tblCellMar>
        </w:tblPrEx>
        <w:trPr>
          <w:trHeight w:val="900" w:hRule="atLeast"/>
        </w:trPr>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default" w:ascii="宋体" w:hAnsi="宋体"/>
                <w:lang w:val="en-US" w:eastAsia="zh-CN"/>
              </w:rPr>
            </w:pPr>
            <w:r>
              <w:rPr>
                <w:rFonts w:hint="eastAsia" w:ascii="宋体" w:hAnsi="宋体"/>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rPr>
            </w:pPr>
            <w:r>
              <w:rPr>
                <w:rFonts w:hint="eastAsia" w:ascii="宋体" w:hAnsi="宋体"/>
              </w:rPr>
              <w:t>推拉绿板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336" w:lineRule="auto"/>
              <w:ind w:firstLine="0" w:firstLineChars="0"/>
              <w:rPr>
                <w:rFonts w:hint="eastAsia" w:ascii="宋体" w:hAnsi="宋体"/>
              </w:rPr>
            </w:pPr>
            <w:r>
              <w:rPr>
                <w:rFonts w:hint="eastAsia" w:ascii="宋体" w:hAnsi="宋体"/>
              </w:rPr>
              <w:t>推拉绿板</w:t>
            </w:r>
          </w:p>
        </w:tc>
        <w:tc>
          <w:tcPr>
            <w:tcW w:w="7302" w:type="dxa"/>
            <w:tcBorders>
              <w:top w:val="single" w:color="000000" w:sz="4" w:space="0"/>
              <w:left w:val="single" w:color="000000" w:sz="4" w:space="0"/>
              <w:bottom w:val="single" w:color="000000" w:sz="4" w:space="0"/>
              <w:right w:val="single" w:color="000000" w:sz="4" w:space="0"/>
            </w:tcBorders>
            <w:shd w:val="clear" w:color="auto" w:fill="FFFFFF"/>
            <w:vAlign w:val="top"/>
          </w:tcPr>
          <w:p>
            <w:pPr>
              <w:pStyle w:val="17"/>
              <w:spacing w:line="336" w:lineRule="auto"/>
              <w:ind w:firstLine="0" w:firstLineChars="0"/>
              <w:rPr>
                <w:rFonts w:hint="eastAsia" w:ascii="宋体" w:hAnsi="宋体"/>
              </w:rPr>
            </w:pPr>
            <w:r>
              <w:rPr>
                <w:rFonts w:hint="eastAsia" w:ascii="宋体" w:hAnsi="宋体"/>
              </w:rPr>
              <w:t>四开门推拉绿板 1、规格：左右推拉双层结构， (内置轨道,外框和轨道一体化设计)；基本尺寸约：外径400*130cm，设备四开居中安装，需保证与交互智能平板物理尺寸有效对接；并可根据学校实际情况进行调整。整体长度≥4000mm，高度可根据所配电子产品适当调整，整体保证与电子产品尺寸有效匹配。</w:t>
            </w:r>
          </w:p>
          <w:p>
            <w:pPr>
              <w:pStyle w:val="17"/>
              <w:spacing w:line="336" w:lineRule="auto"/>
              <w:ind w:firstLine="0" w:firstLineChars="0"/>
              <w:rPr>
                <w:rFonts w:hint="eastAsia" w:ascii="宋体" w:hAnsi="宋体"/>
              </w:rPr>
            </w:pPr>
            <w:r>
              <w:rPr>
                <w:rFonts w:hint="eastAsia" w:ascii="宋体" w:hAnsi="宋体"/>
              </w:rPr>
              <w:t>2、结构：双层结构，里层为固定书写板，外层为可滑动书写板，可以左右推拉、可以锁定位置；支持电子产品居中或一侧放置；内置轨道，外框和轨道一体化设计。</w:t>
            </w:r>
          </w:p>
          <w:p>
            <w:pPr>
              <w:pStyle w:val="17"/>
              <w:spacing w:line="336" w:lineRule="auto"/>
              <w:ind w:firstLine="0" w:firstLineChars="0"/>
              <w:rPr>
                <w:rFonts w:hint="eastAsia" w:ascii="宋体" w:hAnsi="宋体"/>
              </w:rPr>
            </w:pPr>
            <w:r>
              <w:rPr>
                <w:rFonts w:hint="eastAsia" w:ascii="宋体" w:hAnsi="宋体"/>
              </w:rPr>
              <w:t>3、▲书写面板：板面材料是搪瓷绿板，涂层采用丙烯酸树脂漆；颜色为墨绿色，色彩协调可视效果好，可有效缓解视觉疲劳，有利于呵护学生视力健康；易写易擦，书写流畅、笔迹均匀、字迹清晰；整板无拼接，不变形；表面附有透明保护膜。表面没有因黑板本身原因产生的眩光，表面光泽度≤6%，表面粗糙度（1.6µm-3.2µm），表面耐磨性不小于Ra1.6µm，涂层硬度≥7H，均需提供符合相关国标技术标准的产品检验报告加盖原生产厂家公章。</w:t>
            </w:r>
          </w:p>
          <w:p>
            <w:pPr>
              <w:pStyle w:val="17"/>
              <w:spacing w:line="336" w:lineRule="auto"/>
              <w:ind w:firstLine="0" w:firstLineChars="0"/>
              <w:rPr>
                <w:rFonts w:hint="eastAsia" w:ascii="宋体" w:hAnsi="宋体"/>
              </w:rPr>
            </w:pPr>
            <w:r>
              <w:rPr>
                <w:rFonts w:hint="eastAsia" w:ascii="宋体" w:hAnsi="宋体"/>
              </w:rPr>
              <w:t>4、内芯材料：采用吸音、高强度、防潮阻燃聚苯乙烯板，厚度15mm。</w:t>
            </w:r>
          </w:p>
          <w:p>
            <w:pPr>
              <w:pStyle w:val="17"/>
              <w:spacing w:line="336" w:lineRule="auto"/>
              <w:ind w:firstLine="0" w:firstLineChars="0"/>
              <w:rPr>
                <w:rFonts w:hint="eastAsia" w:ascii="宋体" w:hAnsi="宋体"/>
              </w:rPr>
            </w:pPr>
            <w:r>
              <w:rPr>
                <w:rFonts w:hint="eastAsia" w:ascii="宋体" w:hAnsi="宋体"/>
              </w:rPr>
              <w:t>5、背面板：采用优质镀锌钢板，纵向间隔80mm设有凹槽加强筋，机械化流水线一次成型，确保板体强度。</w:t>
            </w:r>
          </w:p>
          <w:p>
            <w:pPr>
              <w:pStyle w:val="17"/>
              <w:spacing w:line="336" w:lineRule="auto"/>
              <w:ind w:firstLine="0" w:firstLineChars="0"/>
              <w:rPr>
                <w:rFonts w:hint="eastAsia" w:ascii="宋体" w:hAnsi="宋体"/>
              </w:rPr>
            </w:pPr>
            <w:r>
              <w:rPr>
                <w:rFonts w:hint="eastAsia" w:ascii="宋体" w:hAnsi="宋体"/>
              </w:rPr>
              <w:t>6、覆板：采用环保型双组份聚氨酯胶水，自动化流水线覆板作业，牵引、滴胶、刷胶、压固、切割下料一次完成；胶水60秒内即100%固化定型，确保粘接牢固板面平整。</w:t>
            </w:r>
          </w:p>
          <w:p>
            <w:pPr>
              <w:pStyle w:val="17"/>
              <w:spacing w:line="336" w:lineRule="auto"/>
              <w:ind w:firstLine="0" w:firstLineChars="0"/>
              <w:rPr>
                <w:rFonts w:hint="eastAsia" w:ascii="宋体" w:hAnsi="宋体"/>
              </w:rPr>
            </w:pPr>
            <w:r>
              <w:rPr>
                <w:rFonts w:hint="eastAsia" w:ascii="宋体" w:hAnsi="宋体"/>
              </w:rPr>
              <w:t>7、▲边框材料：高级磨砂香槟色铝合金；上轨道为双U型轨道使活动板滑动时受力均匀；活动板T型垂直吊装且后半部承重部分为管状，不接受其它轨道结构及偏装设计;两侧立框主框与侧封挡板卡扣式设计，结实美观；内边框≥38mm*20mm；连接可靠牢固，接缝平整、光滑。</w:t>
            </w:r>
          </w:p>
          <w:p>
            <w:pPr>
              <w:pStyle w:val="17"/>
              <w:spacing w:line="336" w:lineRule="auto"/>
              <w:ind w:firstLine="0" w:firstLineChars="0"/>
              <w:rPr>
                <w:rFonts w:hint="eastAsia" w:ascii="宋体" w:hAnsi="宋体"/>
              </w:rPr>
            </w:pPr>
            <w:r>
              <w:rPr>
                <w:rFonts w:hint="eastAsia" w:ascii="宋体" w:hAnsi="宋体"/>
              </w:rPr>
              <w:t>8、▲滑轮：每块移动黑板必须安装优质滑轮，数目≥12个，正吊滑轮双轨道上下均匀安装，看面不漏轨道、滑轮、螺钉，整体美观。</w:t>
            </w:r>
          </w:p>
          <w:p>
            <w:pPr>
              <w:pStyle w:val="17"/>
              <w:spacing w:line="336" w:lineRule="auto"/>
              <w:ind w:firstLine="0" w:firstLineChars="0"/>
              <w:rPr>
                <w:rFonts w:hint="eastAsia" w:ascii="宋体" w:hAnsi="宋体"/>
              </w:rPr>
            </w:pPr>
            <w:r>
              <w:rPr>
                <w:rFonts w:hint="eastAsia" w:ascii="宋体" w:hAnsi="宋体"/>
              </w:rPr>
              <w:t>9、包角：采用高强度抗疲劳ABS工程塑料注塑成型，流线型设计、一次模具成型，无尖角毛刺。</w:t>
            </w:r>
          </w:p>
          <w:p>
            <w:pPr>
              <w:pStyle w:val="17"/>
              <w:spacing w:line="336" w:lineRule="auto"/>
              <w:ind w:firstLine="0" w:firstLineChars="0"/>
              <w:rPr>
                <w:rFonts w:hint="eastAsia" w:ascii="宋体" w:hAnsi="宋体"/>
              </w:rPr>
            </w:pPr>
            <w:r>
              <w:rPr>
                <w:rFonts w:hint="eastAsia" w:ascii="宋体" w:hAnsi="宋体"/>
              </w:rPr>
              <w:t>10、缓冲垫：黑板左右两侧边框上轨道安装缓冲垫，隐藏式安装。</w:t>
            </w:r>
          </w:p>
          <w:p>
            <w:pPr>
              <w:pStyle w:val="17"/>
              <w:spacing w:line="336" w:lineRule="auto"/>
              <w:ind w:firstLine="0" w:firstLineChars="0"/>
              <w:rPr>
                <w:rFonts w:hint="eastAsia" w:ascii="宋体" w:hAnsi="宋体"/>
              </w:rPr>
            </w:pPr>
            <w:r>
              <w:rPr>
                <w:rFonts w:hint="eastAsia" w:ascii="宋体" w:hAnsi="宋体"/>
              </w:rPr>
              <w:t>11、滑动板：推拉顺畅自如，无卡挤现象和尖锐的摩擦声，稳定性好。</w:t>
            </w:r>
          </w:p>
          <w:p>
            <w:pPr>
              <w:pStyle w:val="17"/>
              <w:spacing w:line="336" w:lineRule="auto"/>
              <w:ind w:firstLine="0" w:firstLineChars="0"/>
              <w:rPr>
                <w:rFonts w:hint="eastAsia" w:ascii="宋体" w:hAnsi="宋体"/>
              </w:rPr>
            </w:pPr>
            <w:r>
              <w:rPr>
                <w:rFonts w:hint="eastAsia" w:ascii="宋体" w:hAnsi="宋体"/>
              </w:rPr>
              <w:t>12、安全性：移动板上配置安全锁，可以实现对滑动黑板的锁定，有效保护电子产品；钥匙批量通用，方便使用和管理。</w:t>
            </w:r>
          </w:p>
          <w:p>
            <w:pPr>
              <w:pStyle w:val="17"/>
              <w:spacing w:line="336" w:lineRule="auto"/>
              <w:ind w:firstLine="0" w:firstLineChars="0"/>
              <w:rPr>
                <w:rFonts w:hint="eastAsia" w:ascii="宋体" w:hAnsi="宋体"/>
              </w:rPr>
            </w:pPr>
            <w:r>
              <w:rPr>
                <w:rFonts w:hint="eastAsia" w:ascii="宋体" w:hAnsi="宋体"/>
              </w:rPr>
              <w:t>13、粉笔灰盒：安置在黑板边框两侧下方存储黑板粉笔末，可拆卸清洁。</w:t>
            </w:r>
          </w:p>
          <w:p>
            <w:pPr>
              <w:pStyle w:val="17"/>
              <w:spacing w:line="336" w:lineRule="auto"/>
              <w:ind w:firstLine="0" w:firstLineChars="0"/>
              <w:rPr>
                <w:rFonts w:hint="eastAsia" w:ascii="宋体" w:hAnsi="宋体"/>
              </w:rPr>
            </w:pPr>
            <w:r>
              <w:rPr>
                <w:rFonts w:hint="eastAsia" w:ascii="宋体" w:hAnsi="宋体"/>
              </w:rPr>
              <w:t>14、质保及售后：3年质保服务，7×24小时现场服务。</w:t>
            </w:r>
          </w:p>
          <w:p>
            <w:pPr>
              <w:pStyle w:val="17"/>
              <w:spacing w:line="336" w:lineRule="auto"/>
              <w:ind w:firstLine="0" w:firstLineChars="0"/>
              <w:rPr>
                <w:rFonts w:hint="eastAsia" w:ascii="宋体" w:hAnsi="宋体"/>
              </w:rPr>
            </w:pPr>
            <w:r>
              <w:rPr>
                <w:rFonts w:hint="eastAsia" w:ascii="宋体" w:hAnsi="宋体"/>
              </w:rPr>
              <w:t>▲15、产品需通过国家级检验机构检验，符合GB28231-2011《书写板安全卫生要求》，JY0001-2003《教学设备产品一般质量要求》，GB21027-2007《学生用品的安全通用要求》。</w:t>
            </w:r>
          </w:p>
          <w:p>
            <w:pPr>
              <w:pStyle w:val="17"/>
              <w:spacing w:line="336" w:lineRule="auto"/>
              <w:ind w:firstLine="0" w:firstLineChars="0"/>
              <w:rPr>
                <w:rFonts w:hint="eastAsia" w:ascii="宋体" w:hAnsi="宋体"/>
              </w:rPr>
            </w:pPr>
            <w:r>
              <w:rPr>
                <w:rFonts w:hint="eastAsia" w:ascii="宋体" w:hAnsi="宋体"/>
              </w:rPr>
              <w:t>投标人在中标后需与招标单位充分对接，根据用户需求定制尺寸</w:t>
            </w:r>
          </w:p>
        </w:tc>
      </w:tr>
    </w:tbl>
    <w:p/>
    <w:p>
      <w:pPr>
        <w:pStyle w:val="5"/>
        <w:numPr>
          <w:ilvl w:val="0"/>
          <w:numId w:val="0"/>
        </w:numPr>
        <w:ind w:left="0" w:leftChars="0" w:firstLine="420" w:firstLineChars="0"/>
        <w:rPr>
          <w:rFonts w:hint="default" w:eastAsia="黑体"/>
          <w:lang w:val="en-US" w:eastAsia="zh-CN"/>
        </w:rPr>
      </w:pPr>
      <w:bookmarkStart w:id="3" w:name="_Toc5622"/>
      <w:r>
        <w:rPr>
          <w:rFonts w:hint="eastAsia"/>
          <w:lang w:val="en-US" w:eastAsia="zh-CN"/>
        </w:rPr>
        <w:t>四、</w:t>
      </w:r>
      <w:r>
        <w:rPr>
          <w:rFonts w:hint="eastAsia"/>
        </w:rPr>
        <w:t>设备安装</w:t>
      </w:r>
      <w:bookmarkEnd w:id="3"/>
      <w:r>
        <w:rPr>
          <w:rFonts w:hint="eastAsia"/>
          <w:lang w:val="en-US" w:eastAsia="zh-CN"/>
        </w:rPr>
        <w:t>及其他要求</w:t>
      </w:r>
    </w:p>
    <w:p>
      <w:pPr>
        <w:pStyle w:val="17"/>
        <w:spacing w:line="336" w:lineRule="auto"/>
        <w:rPr>
          <w:rFonts w:hint="eastAsia" w:ascii="宋体" w:hAnsi="宋体"/>
        </w:rPr>
      </w:pPr>
      <w:r>
        <w:rPr>
          <w:rFonts w:hint="eastAsia" w:ascii="宋体" w:hAnsi="宋体"/>
        </w:rPr>
        <w:t>签订合同后根据工程进度3个工作日内保证所有采购货物随时供货，根据采购人进度要求内完成安装调试。因本设备的特殊性和设备安装位置，以及设备安装时需要提供的一些</w:t>
      </w:r>
      <w:r>
        <w:rPr>
          <w:rFonts w:hint="eastAsia" w:ascii="宋体" w:hAnsi="宋体"/>
          <w:lang w:val="en-US" w:eastAsia="zh-CN"/>
        </w:rPr>
        <w:t>附件</w:t>
      </w:r>
      <w:r>
        <w:rPr>
          <w:rFonts w:hint="eastAsia" w:ascii="宋体" w:hAnsi="宋体"/>
        </w:rPr>
        <w:t>配件、</w:t>
      </w:r>
      <w:r>
        <w:rPr>
          <w:rFonts w:hint="eastAsia" w:ascii="宋体" w:hAnsi="宋体"/>
          <w:lang w:val="en-US" w:eastAsia="zh-CN"/>
        </w:rPr>
        <w:t>线路</w:t>
      </w:r>
      <w:r>
        <w:rPr>
          <w:rFonts w:hint="eastAsia" w:ascii="宋体" w:hAnsi="宋体"/>
        </w:rPr>
        <w:t>等材料，需要</w:t>
      </w:r>
      <w:r>
        <w:rPr>
          <w:rFonts w:hint="eastAsia" w:ascii="宋体" w:hAnsi="宋体"/>
          <w:lang w:val="en-US" w:eastAsia="zh-CN"/>
        </w:rPr>
        <w:t>竞价</w:t>
      </w:r>
      <w:r>
        <w:rPr>
          <w:rFonts w:hint="eastAsia" w:ascii="宋体" w:hAnsi="宋体"/>
        </w:rPr>
        <w:t>人在</w:t>
      </w:r>
      <w:r>
        <w:rPr>
          <w:rFonts w:hint="eastAsia" w:ascii="宋体" w:hAnsi="宋体"/>
          <w:lang w:val="en-US" w:eastAsia="zh-CN"/>
        </w:rPr>
        <w:t>竞价</w:t>
      </w:r>
      <w:r>
        <w:rPr>
          <w:rFonts w:hint="eastAsia" w:ascii="宋体" w:hAnsi="宋体"/>
        </w:rPr>
        <w:t>之前做</w:t>
      </w:r>
      <w:r>
        <w:rPr>
          <w:rFonts w:hint="eastAsia" w:ascii="宋体" w:hAnsi="宋体"/>
          <w:lang w:val="en-US" w:eastAsia="zh-CN"/>
        </w:rPr>
        <w:t>相应的承诺</w:t>
      </w:r>
      <w:r>
        <w:rPr>
          <w:rFonts w:hint="eastAsia" w:ascii="宋体" w:hAnsi="宋体"/>
        </w:rPr>
        <w:t>，并出具</w:t>
      </w:r>
      <w:r>
        <w:rPr>
          <w:rFonts w:hint="eastAsia" w:ascii="宋体" w:hAnsi="宋体"/>
          <w:lang w:val="en-US" w:eastAsia="zh-CN"/>
        </w:rPr>
        <w:t>承诺</w:t>
      </w:r>
      <w:r>
        <w:rPr>
          <w:rFonts w:hint="eastAsia" w:ascii="宋体" w:hAnsi="宋体"/>
        </w:rPr>
        <w:t>证明。竞价人有义务保证竞价方系统的完整性，如设备实施过程中因缺少设备、配件或</w:t>
      </w:r>
      <w:r>
        <w:rPr>
          <w:rFonts w:hint="eastAsia" w:ascii="宋体" w:hAnsi="宋体"/>
          <w:lang w:val="en-US" w:eastAsia="zh-CN"/>
        </w:rPr>
        <w:t>运输售后等</w:t>
      </w:r>
      <w:r>
        <w:rPr>
          <w:rFonts w:hint="eastAsia" w:ascii="宋体" w:hAnsi="宋体"/>
        </w:rPr>
        <w:t>服务导致竞价方系统无法正常运行，竞价人须承诺免费提供。</w:t>
      </w:r>
    </w:p>
    <w:p>
      <w:pPr>
        <w:pStyle w:val="17"/>
        <w:spacing w:line="336" w:lineRule="auto"/>
        <w:ind w:firstLine="0" w:firstLineChars="0"/>
        <w:rPr>
          <w:rFonts w:hint="eastAsia" w:ascii="宋体" w:hAnsi="宋体"/>
        </w:rPr>
      </w:pPr>
      <w:bookmarkStart w:id="4" w:name="_Toc70"/>
      <w:r>
        <w:rPr>
          <w:rFonts w:hint="eastAsia" w:ascii="宋体" w:hAnsi="宋体"/>
        </w:rPr>
        <w:t>验收要求</w:t>
      </w:r>
      <w:bookmarkEnd w:id="4"/>
    </w:p>
    <w:p>
      <w:pPr>
        <w:pStyle w:val="17"/>
        <w:spacing w:line="336" w:lineRule="auto"/>
        <w:ind w:firstLine="420" w:firstLineChars="200"/>
        <w:rPr>
          <w:rFonts w:hint="eastAsia" w:ascii="宋体" w:hAnsi="宋体"/>
        </w:rPr>
      </w:pPr>
      <w:r>
        <w:rPr>
          <w:rFonts w:hint="eastAsia" w:ascii="宋体" w:hAnsi="宋体"/>
        </w:rPr>
        <w:t>1、设备安装调试完毕，要求对系统的日常使用及维护提供有效的培训方案。达到能够熟练的操作系统，并能处理一些基本故障，保证系统安全、正常地运行。</w:t>
      </w:r>
    </w:p>
    <w:p>
      <w:pPr>
        <w:pStyle w:val="17"/>
        <w:spacing w:line="336" w:lineRule="auto"/>
        <w:ind w:firstLine="420" w:firstLineChars="200"/>
        <w:rPr>
          <w:rFonts w:hint="eastAsia" w:ascii="宋体" w:hAnsi="宋体"/>
        </w:rPr>
      </w:pPr>
      <w:r>
        <w:rPr>
          <w:rFonts w:hint="eastAsia" w:ascii="宋体" w:hAnsi="宋体"/>
        </w:rPr>
        <w:t>2、竞价单位在系统安装完毕后，需以书面形式</w:t>
      </w:r>
      <w:r>
        <w:rPr>
          <w:rFonts w:hint="eastAsia" w:ascii="宋体" w:hAnsi="宋体"/>
          <w:lang w:val="en-US" w:eastAsia="zh-CN"/>
        </w:rPr>
        <w:t>或其他方式</w:t>
      </w:r>
      <w:r>
        <w:rPr>
          <w:rFonts w:hint="eastAsia" w:ascii="宋体" w:hAnsi="宋体"/>
        </w:rPr>
        <w:t>通知采购方进行验收，验收前提供全套验收材料，若验收不合格，采购方有权要求全部更换直至满足竞价需求，由此造成的损失由竞价单位自行承担。</w:t>
      </w:r>
    </w:p>
    <w:p>
      <w:pPr>
        <w:pStyle w:val="17"/>
        <w:spacing w:line="336" w:lineRule="auto"/>
        <w:ind w:firstLine="0" w:firstLineChars="0"/>
        <w:rPr>
          <w:rFonts w:hint="eastAsia" w:ascii="宋体" w:hAnsi="宋体"/>
        </w:rPr>
      </w:pPr>
      <w:bookmarkStart w:id="5" w:name="_Toc13166"/>
      <w:r>
        <w:rPr>
          <w:rFonts w:hint="eastAsia" w:ascii="宋体" w:hAnsi="宋体"/>
        </w:rPr>
        <w:t>售后服务</w:t>
      </w:r>
      <w:bookmarkEnd w:id="5"/>
      <w:r>
        <w:rPr>
          <w:rFonts w:hint="eastAsia" w:ascii="宋体" w:hAnsi="宋体"/>
        </w:rPr>
        <w:t xml:space="preserve">                           </w:t>
      </w:r>
    </w:p>
    <w:p>
      <w:pPr>
        <w:pStyle w:val="17"/>
        <w:spacing w:line="336" w:lineRule="auto"/>
        <w:ind w:firstLine="420" w:firstLineChars="200"/>
        <w:rPr>
          <w:rFonts w:hint="eastAsia" w:ascii="宋体" w:hAnsi="宋体"/>
        </w:rPr>
      </w:pPr>
      <w:r>
        <w:rPr>
          <w:rFonts w:hint="eastAsia" w:ascii="宋体" w:hAnsi="宋体"/>
        </w:rPr>
        <w:t>1、竞价单位对其提供的产品，在投标文件中必须承诺保修，产品验收合格使用之日起，质保期三年，质保期内的维修费用（包括材料）全部由竞价单位负责（人为因素除外），质保期后竞价单位应免费提供基础性的日常维修及设备安全性检测，如需设备材料更换的，按成本价供货，（竞价规格参数内有注明的以竞价规格参数要求为准），保质期内因设备本身缺陷造成各种故障应由竞价单位免费更换或维修。</w:t>
      </w:r>
    </w:p>
    <w:p>
      <w:pPr>
        <w:pStyle w:val="17"/>
        <w:spacing w:line="336" w:lineRule="auto"/>
        <w:ind w:firstLine="420" w:firstLineChars="200"/>
        <w:rPr>
          <w:rFonts w:hint="eastAsia" w:ascii="宋体" w:hAnsi="宋体"/>
        </w:rPr>
      </w:pPr>
      <w:r>
        <w:rPr>
          <w:rFonts w:hint="eastAsia" w:ascii="宋体" w:hAnsi="宋体"/>
        </w:rPr>
        <w:t>2、竞价单位在接到电话后2小时内响应，4小时内到达现场解决问题，最迟在1个工作日内修复，如不能修复应采取补救措施，以保证采购人的正常工作，竞价单位有其它服务承诺的，一并履行。在保修期内竞价单位不得以任何理由影响设备正常使用。竞价单位必须对所供设备实行终身维修。</w:t>
      </w:r>
    </w:p>
    <w:p>
      <w:pPr>
        <w:pStyle w:val="17"/>
        <w:spacing w:line="336" w:lineRule="auto"/>
        <w:ind w:firstLine="0" w:firstLineChars="0"/>
      </w:pPr>
      <w:bookmarkStart w:id="6" w:name="_Toc32542"/>
      <w:r>
        <w:rPr>
          <w:rFonts w:hint="eastAsia" w:ascii="宋体" w:hAnsi="宋体"/>
        </w:rPr>
        <w:t>付款方式</w:t>
      </w:r>
      <w:bookmarkEnd w:id="6"/>
    </w:p>
    <w:p>
      <w:pPr>
        <w:pStyle w:val="17"/>
        <w:spacing w:line="336" w:lineRule="auto"/>
        <w:ind w:firstLine="420" w:firstLineChars="200"/>
        <w:rPr>
          <w:rFonts w:hint="eastAsia" w:ascii="宋体" w:hAnsi="宋体"/>
        </w:rPr>
      </w:pPr>
      <w:r>
        <w:rPr>
          <w:rFonts w:hint="eastAsia" w:ascii="宋体" w:hAnsi="宋体"/>
        </w:rPr>
        <w:t>中标后签订合同，签订生效后按学校要求安装调试完成经验收合格后支付合同金额的100%，付款时需开具增值税普通发票。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01FB4"/>
    <w:multiLevelType w:val="multilevel"/>
    <w:tmpl w:val="92C01FB4"/>
    <w:lvl w:ilvl="0" w:tentative="0">
      <w:start w:val="1"/>
      <w:numFmt w:val="chineseCounting"/>
      <w:pStyle w:val="4"/>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1FAE3407"/>
    <w:multiLevelType w:val="singleLevel"/>
    <w:tmpl w:val="1FAE3407"/>
    <w:lvl w:ilvl="0" w:tentative="0">
      <w:start w:val="1"/>
      <w:numFmt w:val="chineseCounting"/>
      <w:suff w:val="nothing"/>
      <w:lvlText w:val="%1、"/>
      <w:lvlJc w:val="left"/>
      <w:rPr>
        <w:rFonts w:hint="eastAsia"/>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M2M0ZDhmZDlmODkzNWZlYzIyZmNiODA4MTk4MDMifQ=="/>
  </w:docVars>
  <w:rsids>
    <w:rsidRoot w:val="0000193C"/>
    <w:rsid w:val="0000193C"/>
    <w:rsid w:val="0014092D"/>
    <w:rsid w:val="00147E76"/>
    <w:rsid w:val="00164491"/>
    <w:rsid w:val="001730FD"/>
    <w:rsid w:val="001C2870"/>
    <w:rsid w:val="0025627D"/>
    <w:rsid w:val="003279EB"/>
    <w:rsid w:val="003C77DE"/>
    <w:rsid w:val="003F0309"/>
    <w:rsid w:val="0042629E"/>
    <w:rsid w:val="004A018E"/>
    <w:rsid w:val="004F6B1E"/>
    <w:rsid w:val="00503B0E"/>
    <w:rsid w:val="008A6933"/>
    <w:rsid w:val="00DE7F95"/>
    <w:rsid w:val="00EE6051"/>
    <w:rsid w:val="02A05F90"/>
    <w:rsid w:val="03611B4C"/>
    <w:rsid w:val="046078CA"/>
    <w:rsid w:val="05070101"/>
    <w:rsid w:val="07E2181B"/>
    <w:rsid w:val="0C4D7645"/>
    <w:rsid w:val="13BB0691"/>
    <w:rsid w:val="15517E23"/>
    <w:rsid w:val="1A152916"/>
    <w:rsid w:val="1A2E62F9"/>
    <w:rsid w:val="21137ADF"/>
    <w:rsid w:val="22066450"/>
    <w:rsid w:val="23560DFB"/>
    <w:rsid w:val="257C72A4"/>
    <w:rsid w:val="28511B4C"/>
    <w:rsid w:val="2B2903EF"/>
    <w:rsid w:val="2F5179B9"/>
    <w:rsid w:val="30C62F52"/>
    <w:rsid w:val="30F77FD8"/>
    <w:rsid w:val="31BA7334"/>
    <w:rsid w:val="353458C9"/>
    <w:rsid w:val="3B8A37F6"/>
    <w:rsid w:val="3CB54B6A"/>
    <w:rsid w:val="3DB97E68"/>
    <w:rsid w:val="402953A7"/>
    <w:rsid w:val="43361003"/>
    <w:rsid w:val="43F32295"/>
    <w:rsid w:val="451B468D"/>
    <w:rsid w:val="451F537F"/>
    <w:rsid w:val="46816BE9"/>
    <w:rsid w:val="4855318E"/>
    <w:rsid w:val="48674085"/>
    <w:rsid w:val="49D2407C"/>
    <w:rsid w:val="4FD87B4D"/>
    <w:rsid w:val="52994991"/>
    <w:rsid w:val="53ED327B"/>
    <w:rsid w:val="585B1D32"/>
    <w:rsid w:val="59C27956"/>
    <w:rsid w:val="5A65140C"/>
    <w:rsid w:val="5F102EBD"/>
    <w:rsid w:val="619C5EAE"/>
    <w:rsid w:val="64A66831"/>
    <w:rsid w:val="672D4986"/>
    <w:rsid w:val="679F5DE9"/>
    <w:rsid w:val="68534DEC"/>
    <w:rsid w:val="689A283A"/>
    <w:rsid w:val="6A841687"/>
    <w:rsid w:val="6B8A5A26"/>
    <w:rsid w:val="6B977D08"/>
    <w:rsid w:val="77231451"/>
    <w:rsid w:val="773436AB"/>
    <w:rsid w:val="78C8593D"/>
    <w:rsid w:val="7C3E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uppressAutoHyphens/>
      <w:spacing w:before="340" w:after="330" w:line="480" w:lineRule="auto"/>
      <w:jc w:val="center"/>
      <w:outlineLvl w:val="0"/>
    </w:pPr>
    <w:rPr>
      <w:rFonts w:ascii="Times New Roman" w:hAnsi="Times New Roman" w:eastAsia="等线" w:cs="Times New Roman"/>
      <w:b/>
      <w:bCs/>
      <w:kern w:val="1"/>
      <w:sz w:val="44"/>
      <w:szCs w:val="44"/>
      <w:lang w:eastAsia="ar-SA"/>
    </w:rPr>
  </w:style>
  <w:style w:type="paragraph" w:styleId="5">
    <w:name w:val="heading 2"/>
    <w:basedOn w:val="1"/>
    <w:next w:val="1"/>
    <w:link w:val="23"/>
    <w:semiHidden/>
    <w:unhideWhenUsed/>
    <w:qFormat/>
    <w:uiPriority w:val="9"/>
    <w:pPr>
      <w:keepNext/>
      <w:keepLines/>
      <w:spacing w:before="260" w:after="260" w:line="410" w:lineRule="auto"/>
      <w:outlineLvl w:val="1"/>
    </w:pPr>
    <w:rPr>
      <w:rFonts w:ascii="Arial" w:hAnsi="Arial" w:eastAsia="黑体" w:cs="Times New Roman"/>
      <w:b/>
      <w:sz w:val="32"/>
      <w:szCs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黑体"/>
      <w:b/>
      <w:bCs/>
      <w:spacing w:val="20"/>
      <w:kern w:val="52"/>
      <w:sz w:val="56"/>
      <w:szCs w:val="24"/>
    </w:rPr>
  </w:style>
  <w:style w:type="paragraph" w:customStyle="1" w:styleId="3">
    <w:name w:val="Default"/>
    <w:qFormat/>
    <w:uiPriority w:val="0"/>
    <w:pPr>
      <w:widowControl w:val="0"/>
      <w:autoSpaceDE w:val="0"/>
      <w:autoSpaceDN w:val="0"/>
      <w:adjustRightInd w:val="0"/>
      <w:spacing w:after="200" w:line="276" w:lineRule="auto"/>
    </w:pPr>
    <w:rPr>
      <w:rFonts w:ascii="仿宋_GB2312" w:hAnsi="Calibri" w:eastAsia="仿宋_GB2312" w:cs="Times New Roman"/>
      <w:color w:val="000000"/>
      <w:sz w:val="24"/>
      <w:lang w:val="en-US" w:eastAsia="zh-CN" w:bidi="ar-SA"/>
    </w:rPr>
  </w:style>
  <w:style w:type="paragraph" w:styleId="7">
    <w:name w:val="Plain Text"/>
    <w:basedOn w:val="1"/>
    <w:unhideWhenUsed/>
    <w:qFormat/>
    <w:uiPriority w:val="99"/>
    <w:rPr>
      <w:rFonts w:ascii="宋体" w:hAnsi="Courier New"/>
    </w:rPr>
  </w:style>
  <w:style w:type="paragraph" w:styleId="8">
    <w:name w:val="Balloon Text"/>
    <w:basedOn w:val="1"/>
    <w:link w:val="1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tabs>
        <w:tab w:val="center" w:pos="4153"/>
        <w:tab w:val="right" w:pos="8306"/>
      </w:tabs>
      <w:snapToGrid w:val="0"/>
      <w:jc w:val="center"/>
    </w:pPr>
    <w:rPr>
      <w:sz w:val="18"/>
      <w:szCs w:val="18"/>
    </w:rPr>
  </w:style>
  <w:style w:type="paragraph" w:styleId="11">
    <w:name w:val="Body Text First Indent"/>
    <w:basedOn w:val="2"/>
    <w:next w:val="1"/>
    <w:semiHidden/>
    <w:unhideWhenUsed/>
    <w:qFormat/>
    <w:uiPriority w:val="99"/>
    <w:pPr>
      <w:ind w:firstLine="420" w:firstLineChars="100"/>
    </w:pPr>
    <w:rPr>
      <w:rFonts w:ascii="Times New Roman" w:hAnsi="Times New Roman" w:eastAsia="宋体" w:cs="Times New Roman"/>
    </w:rPr>
  </w:style>
  <w:style w:type="paragraph" w:customStyle="1" w:styleId="14">
    <w:name w:val="表格文字"/>
    <w:basedOn w:val="1"/>
    <w:next w:val="2"/>
    <w:qFormat/>
    <w:uiPriority w:val="0"/>
    <w:pPr>
      <w:spacing w:line="420" w:lineRule="atLeast"/>
      <w:jc w:val="left"/>
      <w:textAlignment w:val="baseline"/>
    </w:pPr>
    <w:rPr>
      <w:szCs w:val="24"/>
    </w:rPr>
  </w:style>
  <w:style w:type="character" w:customStyle="1" w:styleId="15">
    <w:name w:val="批注框文本 字符"/>
    <w:basedOn w:val="13"/>
    <w:link w:val="8"/>
    <w:semiHidden/>
    <w:qFormat/>
    <w:uiPriority w:val="99"/>
    <w:rPr>
      <w:sz w:val="18"/>
      <w:szCs w:val="18"/>
    </w:rPr>
  </w:style>
  <w:style w:type="paragraph" w:customStyle="1" w:styleId="16">
    <w:name w:val="￥正文"/>
    <w:basedOn w:val="1"/>
    <w:qFormat/>
    <w:uiPriority w:val="0"/>
    <w:pPr>
      <w:spacing w:line="360" w:lineRule="auto"/>
      <w:ind w:firstLine="200" w:firstLineChars="200"/>
    </w:pPr>
    <w:rPr>
      <w:sz w:val="24"/>
    </w:rPr>
  </w:style>
  <w:style w:type="paragraph" w:styleId="17">
    <w:name w:val="List Paragraph"/>
    <w:basedOn w:val="1"/>
    <w:qFormat/>
    <w:uiPriority w:val="34"/>
    <w:pPr>
      <w:ind w:firstLine="420" w:firstLineChars="200"/>
    </w:pPr>
  </w:style>
  <w:style w:type="character" w:customStyle="1" w:styleId="18">
    <w:name w:val="font81"/>
    <w:basedOn w:val="13"/>
    <w:qFormat/>
    <w:uiPriority w:val="0"/>
    <w:rPr>
      <w:rFonts w:ascii="Wingdings" w:hAnsi="Wingdings" w:cs="Wingdings"/>
      <w:color w:val="000000"/>
      <w:sz w:val="20"/>
      <w:szCs w:val="20"/>
      <w:u w:val="none"/>
    </w:rPr>
  </w:style>
  <w:style w:type="character" w:customStyle="1" w:styleId="19">
    <w:name w:val="font31"/>
    <w:basedOn w:val="13"/>
    <w:qFormat/>
    <w:uiPriority w:val="0"/>
    <w:rPr>
      <w:rFonts w:hint="eastAsia" w:ascii="微软雅黑" w:hAnsi="微软雅黑" w:eastAsia="微软雅黑" w:cs="微软雅黑"/>
      <w:color w:val="000000"/>
      <w:sz w:val="20"/>
      <w:szCs w:val="20"/>
      <w:u w:val="none"/>
    </w:rPr>
  </w:style>
  <w:style w:type="paragraph" w:customStyle="1" w:styleId="20">
    <w:name w:val="列出段落1"/>
    <w:basedOn w:val="1"/>
    <w:qFormat/>
    <w:uiPriority w:val="34"/>
    <w:pPr>
      <w:ind w:firstLine="420" w:firstLineChars="200"/>
    </w:pPr>
  </w:style>
  <w:style w:type="character" w:customStyle="1" w:styleId="21">
    <w:name w:val="页眉 字符"/>
    <w:basedOn w:val="13"/>
    <w:link w:val="10"/>
    <w:qFormat/>
    <w:uiPriority w:val="99"/>
    <w:rPr>
      <w:rFonts w:asciiTheme="minorHAnsi" w:hAnsiTheme="minorHAnsi" w:eastAsiaTheme="minorEastAsia" w:cstheme="minorBidi"/>
      <w:kern w:val="2"/>
      <w:sz w:val="18"/>
      <w:szCs w:val="18"/>
    </w:rPr>
  </w:style>
  <w:style w:type="character" w:customStyle="1" w:styleId="22">
    <w:name w:val="页脚 字符"/>
    <w:basedOn w:val="13"/>
    <w:link w:val="9"/>
    <w:qFormat/>
    <w:uiPriority w:val="99"/>
    <w:rPr>
      <w:rFonts w:asciiTheme="minorHAnsi" w:hAnsiTheme="minorHAnsi" w:eastAsiaTheme="minorEastAsia" w:cstheme="minorBidi"/>
      <w:kern w:val="2"/>
      <w:sz w:val="18"/>
      <w:szCs w:val="18"/>
    </w:rPr>
  </w:style>
  <w:style w:type="character" w:customStyle="1" w:styleId="23">
    <w:name w:val="标题 2 字符"/>
    <w:basedOn w:val="13"/>
    <w:link w:val="5"/>
    <w:semiHidden/>
    <w:qFormat/>
    <w:uiPriority w:val="9"/>
    <w:rPr>
      <w:rFonts w:ascii="Arial" w:hAnsi="Arial" w:eastAsia="黑体"/>
      <w:b/>
      <w:kern w:val="2"/>
      <w:sz w:val="32"/>
      <w:szCs w:val="32"/>
    </w:rPr>
  </w:style>
  <w:style w:type="paragraph" w:customStyle="1" w:styleId="24">
    <w:name w:val="Fließtext"/>
    <w:basedOn w:val="1"/>
    <w:qFormat/>
    <w:uiPriority w:val="99"/>
    <w:pPr>
      <w:overflowPunct w:val="0"/>
      <w:autoSpaceDE w:val="0"/>
      <w:autoSpaceDN w:val="0"/>
      <w:adjustRightInd w:val="0"/>
    </w:pPr>
    <w:rPr>
      <w:kern w:val="28"/>
    </w:rPr>
  </w:style>
  <w:style w:type="paragraph" w:customStyle="1" w:styleId="25">
    <w:name w:val="正文 New New New New"/>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26">
    <w:name w:val="正文1"/>
    <w:basedOn w:val="1"/>
    <w:next w:val="1"/>
    <w:qFormat/>
    <w:uiPriority w:val="0"/>
    <w:pPr>
      <w:spacing w:before="156"/>
      <w:ind w:firstLine="51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5826</Words>
  <Characters>6292</Characters>
  <Lines>77</Lines>
  <Paragraphs>21</Paragraphs>
  <TotalTime>29</TotalTime>
  <ScaleCrop>false</ScaleCrop>
  <LinksUpToDate>false</LinksUpToDate>
  <CharactersWithSpaces>6362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2023-06-25T08:06:00Z</dcterms:created>
  <dc:creator>userasdfg</dc:creator>
  <cp:lastModifiedBy>JZY</cp:lastModifiedBy>
  <cp:lastPrinted>2022-05-23T01:33:00Z</cp:lastPrinted>
  <dcterms:modified xsi:type="dcterms:W3CDTF">2025-07-11T06:22:26Z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4AAAADA30BD5400A94CCED690199EDD4_13</vt:lpwstr>
  </property>
  <property fmtid="{D5CDD505-2E9C-101B-9397-08002B2CF9AE}" pid="4" name="KSOTemplateDocerSaveRecord">
    <vt:lpwstr>eyJoZGlkIjoiZjUxM2M0ZDhmZDlmODkzNWZlYzIyZmNiODA4MTk4MDMiLCJ1c2VySWQiOiI1OTEzNDE2MDUifQ==</vt:lpwstr>
  </property>
</Properties>
</file>