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80" w:lineRule="atLeast"/>
        <w:jc w:val="center"/>
        <w:rPr>
          <w:rFonts w:hint="default" w:eastAsia="宋体"/>
          <w:lang w:val="en-US" w:eastAsia="zh-CN"/>
        </w:rPr>
      </w:pPr>
      <w:r>
        <w:rPr>
          <w:rFonts w:hint="eastAsia" w:ascii="宋体" w:hAnsi="宋体" w:eastAsia="宋体" w:cs="宋体"/>
          <w:b/>
          <w:bCs/>
          <w:color w:val="000000"/>
          <w:kern w:val="0"/>
          <w:sz w:val="32"/>
          <w:szCs w:val="32"/>
          <w:lang w:bidi="ar"/>
        </w:rPr>
        <w:t>诸暨市职教中心格力(GREE)空调采购要素</w:t>
      </w:r>
    </w:p>
    <w:p>
      <w:pPr>
        <w:numPr>
          <w:ilvl w:val="0"/>
          <w:numId w:val="0"/>
        </w:numPr>
        <w:ind w:firstLine="281" w:firstLineChars="100"/>
        <w:rPr>
          <w:rFonts w:hint="eastAsia"/>
          <w:b/>
          <w:bCs/>
          <w:sz w:val="28"/>
          <w:szCs w:val="28"/>
        </w:rPr>
      </w:pPr>
      <w:r>
        <w:rPr>
          <w:rFonts w:hint="eastAsia" w:ascii="宋体" w:hAnsi="宋体" w:cs="宋体"/>
          <w:b/>
          <w:bCs/>
          <w:color w:val="000000"/>
          <w:kern w:val="0"/>
          <w:sz w:val="28"/>
          <w:szCs w:val="28"/>
          <w:lang w:val="en-US" w:eastAsia="zh-CN" w:bidi="ar"/>
        </w:rPr>
        <w:t>1.</w:t>
      </w:r>
      <w:r>
        <w:rPr>
          <w:rFonts w:hint="eastAsia" w:ascii="宋体" w:hAnsi="宋体" w:cs="宋体"/>
          <w:b/>
          <w:bCs/>
          <w:color w:val="000000"/>
          <w:kern w:val="0"/>
          <w:sz w:val="28"/>
          <w:szCs w:val="28"/>
          <w:lang w:bidi="ar"/>
        </w:rPr>
        <w:t>采购内容</w:t>
      </w:r>
    </w:p>
    <w:tbl>
      <w:tblPr>
        <w:tblStyle w:val="5"/>
        <w:tblW w:w="97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90"/>
        <w:gridCol w:w="2261"/>
        <w:gridCol w:w="718"/>
        <w:gridCol w:w="728"/>
        <w:gridCol w:w="1040"/>
        <w:gridCol w:w="1028"/>
        <w:gridCol w:w="1093"/>
        <w:gridCol w:w="15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29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品名</w:t>
            </w:r>
          </w:p>
        </w:tc>
        <w:tc>
          <w:tcPr>
            <w:tcW w:w="2261"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型号与</w:t>
            </w:r>
            <w:r>
              <w:rPr>
                <w:rStyle w:val="7"/>
                <w:sz w:val="24"/>
                <w:szCs w:val="24"/>
                <w:lang w:val="en-US" w:eastAsia="zh-CN" w:bidi="ar"/>
              </w:rPr>
              <w:t>规格</w:t>
            </w:r>
          </w:p>
        </w:tc>
        <w:tc>
          <w:tcPr>
            <w:tcW w:w="718"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数量</w:t>
            </w:r>
          </w:p>
        </w:tc>
        <w:tc>
          <w:tcPr>
            <w:tcW w:w="728"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单位</w:t>
            </w:r>
          </w:p>
        </w:tc>
        <w:tc>
          <w:tcPr>
            <w:tcW w:w="104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控制单价（元）</w:t>
            </w:r>
          </w:p>
        </w:tc>
        <w:tc>
          <w:tcPr>
            <w:tcW w:w="1028"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预算小计（元）</w:t>
            </w:r>
          </w:p>
        </w:tc>
        <w:tc>
          <w:tcPr>
            <w:tcW w:w="1093"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cs="宋体"/>
                <w:i w:val="0"/>
                <w:iCs w:val="0"/>
                <w:color w:val="000000"/>
                <w:kern w:val="0"/>
                <w:sz w:val="24"/>
                <w:szCs w:val="24"/>
                <w:u w:val="none"/>
                <w:lang w:val="en-US" w:eastAsia="zh-CN" w:bidi="ar"/>
              </w:rPr>
              <w:t>电源</w:t>
            </w:r>
          </w:p>
        </w:tc>
        <w:tc>
          <w:tcPr>
            <w:tcW w:w="159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3" w:hRule="atLeast"/>
        </w:trPr>
        <w:tc>
          <w:tcPr>
            <w:tcW w:w="1290" w:type="dxa"/>
            <w:vAlign w:val="center"/>
          </w:tcPr>
          <w:p>
            <w:pPr>
              <w:keepNext w:val="0"/>
              <w:keepLines w:val="0"/>
              <w:widowControl/>
              <w:suppressLineNumbers w:val="0"/>
              <w:jc w:val="center"/>
              <w:textAlignment w:val="center"/>
              <w:rPr>
                <w:rFonts w:hint="eastAsia" w:ascii="宋体" w:hAnsi="宋体" w:eastAsia="宋体" w:cs="宋体"/>
                <w:b w:val="0"/>
                <w:bCs w:val="0"/>
                <w:i w:val="0"/>
                <w:iCs w:val="0"/>
                <w:color w:val="000000"/>
                <w:sz w:val="21"/>
                <w:szCs w:val="21"/>
                <w:u w:val="none"/>
                <w:lang w:val="en-US" w:eastAsia="zh-CN"/>
              </w:rPr>
            </w:pPr>
            <w:r>
              <w:rPr>
                <w:rFonts w:hint="eastAsia" w:ascii="宋体" w:hAnsi="宋体" w:cs="宋体"/>
                <w:b w:val="0"/>
                <w:bCs w:val="0"/>
                <w:i w:val="0"/>
                <w:iCs w:val="0"/>
                <w:color w:val="000000"/>
                <w:sz w:val="21"/>
                <w:szCs w:val="21"/>
                <w:u w:val="none"/>
                <w:lang w:val="en-US" w:eastAsia="zh-CN"/>
              </w:rPr>
              <w:t>格力</w:t>
            </w:r>
            <w:r>
              <w:rPr>
                <w:rFonts w:hint="eastAsia" w:ascii="宋体" w:hAnsi="宋体" w:eastAsia="宋体" w:cs="宋体"/>
                <w:b w:val="0"/>
                <w:bCs w:val="0"/>
                <w:i w:val="0"/>
                <w:iCs w:val="0"/>
                <w:color w:val="000000"/>
                <w:sz w:val="21"/>
                <w:szCs w:val="21"/>
                <w:u w:val="none"/>
              </w:rPr>
              <w:t>3匹立式空调</w:t>
            </w:r>
          </w:p>
        </w:tc>
        <w:tc>
          <w:tcPr>
            <w:tcW w:w="2261" w:type="dxa"/>
            <w:vAlign w:val="center"/>
          </w:tcPr>
          <w:p>
            <w:pPr>
              <w:keepNext w:val="0"/>
              <w:keepLines w:val="0"/>
              <w:widowControl/>
              <w:suppressLineNumbers w:val="0"/>
              <w:jc w:val="center"/>
              <w:textAlignment w:val="center"/>
              <w:rPr>
                <w:rFonts w:hint="eastAsia" w:ascii="宋体" w:hAnsi="宋体" w:eastAsia="宋体" w:cs="宋体"/>
                <w:b w:val="0"/>
                <w:bCs w:val="0"/>
                <w:i w:val="0"/>
                <w:iCs w:val="0"/>
                <w:color w:val="000000"/>
                <w:sz w:val="21"/>
                <w:szCs w:val="21"/>
                <w:u w:val="none"/>
              </w:rPr>
            </w:pPr>
            <w:r>
              <w:rPr>
                <w:rFonts w:hint="eastAsia" w:ascii="宋体" w:hAnsi="宋体" w:eastAsia="宋体" w:cs="宋体"/>
                <w:b w:val="0"/>
                <w:bCs w:val="0"/>
                <w:i w:val="0"/>
                <w:iCs w:val="0"/>
                <w:color w:val="000000"/>
                <w:sz w:val="21"/>
                <w:szCs w:val="21"/>
                <w:u w:val="none"/>
              </w:rPr>
              <w:t>KFR-72LW/(72536)</w:t>
            </w:r>
          </w:p>
          <w:p>
            <w:pPr>
              <w:keepNext w:val="0"/>
              <w:keepLines w:val="0"/>
              <w:widowControl/>
              <w:suppressLineNumbers w:val="0"/>
              <w:jc w:val="center"/>
              <w:textAlignment w:val="center"/>
              <w:rPr>
                <w:rFonts w:hint="eastAsia" w:ascii="宋体" w:hAnsi="宋体" w:eastAsia="宋体" w:cs="宋体"/>
                <w:b w:val="0"/>
                <w:bCs w:val="0"/>
                <w:i w:val="0"/>
                <w:iCs w:val="0"/>
                <w:color w:val="000000"/>
                <w:sz w:val="21"/>
                <w:szCs w:val="21"/>
                <w:u w:val="none"/>
                <w:lang w:val="en-US" w:eastAsia="zh-CN"/>
              </w:rPr>
            </w:pPr>
            <w:r>
              <w:rPr>
                <w:rFonts w:hint="eastAsia" w:ascii="宋体" w:hAnsi="宋体" w:eastAsia="宋体" w:cs="宋体"/>
                <w:b w:val="0"/>
                <w:bCs w:val="0"/>
                <w:i w:val="0"/>
                <w:iCs w:val="0"/>
                <w:color w:val="000000"/>
                <w:sz w:val="21"/>
                <w:szCs w:val="21"/>
                <w:u w:val="none"/>
              </w:rPr>
              <w:t>FNhAc-B2JY01</w:t>
            </w:r>
          </w:p>
        </w:tc>
        <w:tc>
          <w:tcPr>
            <w:tcW w:w="718" w:type="dxa"/>
            <w:vAlign w:val="center"/>
          </w:tcPr>
          <w:p>
            <w:pPr>
              <w:keepNext w:val="0"/>
              <w:keepLines w:val="0"/>
              <w:widowControl/>
              <w:suppressLineNumbers w:val="0"/>
              <w:jc w:val="center"/>
              <w:textAlignment w:val="center"/>
              <w:rPr>
                <w:rFonts w:hint="default" w:ascii="宋体" w:hAnsi="宋体" w:eastAsia="宋体" w:cs="宋体"/>
                <w:b w:val="0"/>
                <w:bCs w:val="0"/>
                <w:i w:val="0"/>
                <w:iCs w:val="0"/>
                <w:color w:val="000000"/>
                <w:sz w:val="21"/>
                <w:szCs w:val="21"/>
                <w:u w:val="none"/>
                <w:lang w:val="en-US" w:eastAsia="zh-CN"/>
              </w:rPr>
            </w:pPr>
            <w:r>
              <w:rPr>
                <w:rFonts w:hint="eastAsia" w:ascii="宋体" w:hAnsi="宋体" w:cs="宋体"/>
                <w:b w:val="0"/>
                <w:bCs w:val="0"/>
                <w:i w:val="0"/>
                <w:iCs w:val="0"/>
                <w:color w:val="000000"/>
                <w:sz w:val="21"/>
                <w:szCs w:val="21"/>
                <w:u w:val="none"/>
                <w:lang w:val="en-US" w:eastAsia="zh-CN"/>
              </w:rPr>
              <w:t>7</w:t>
            </w:r>
          </w:p>
        </w:tc>
        <w:tc>
          <w:tcPr>
            <w:tcW w:w="728" w:type="dxa"/>
            <w:vAlign w:val="center"/>
          </w:tcPr>
          <w:p>
            <w:pPr>
              <w:keepNext w:val="0"/>
              <w:keepLines w:val="0"/>
              <w:widowControl/>
              <w:suppressLineNumbers w:val="0"/>
              <w:jc w:val="center"/>
              <w:textAlignment w:val="center"/>
              <w:rPr>
                <w:rFonts w:hint="eastAsia" w:ascii="宋体" w:hAnsi="宋体" w:eastAsia="宋体" w:cs="宋体"/>
                <w:b w:val="0"/>
                <w:bCs w:val="0"/>
                <w:i w:val="0"/>
                <w:iCs w:val="0"/>
                <w:color w:val="000000"/>
                <w:sz w:val="21"/>
                <w:szCs w:val="21"/>
                <w:u w:val="none"/>
                <w:lang w:val="en-US" w:eastAsia="zh-CN"/>
              </w:rPr>
            </w:pPr>
            <w:r>
              <w:rPr>
                <w:rFonts w:hint="eastAsia" w:ascii="宋体" w:hAnsi="宋体" w:eastAsia="宋体" w:cs="宋体"/>
                <w:b w:val="0"/>
                <w:bCs w:val="0"/>
                <w:i w:val="0"/>
                <w:iCs w:val="0"/>
                <w:color w:val="000000"/>
                <w:sz w:val="21"/>
                <w:szCs w:val="21"/>
                <w:u w:val="none"/>
                <w:lang w:val="en-US" w:eastAsia="zh-CN"/>
              </w:rPr>
              <w:t>台</w:t>
            </w:r>
          </w:p>
        </w:tc>
        <w:tc>
          <w:tcPr>
            <w:tcW w:w="1040" w:type="dxa"/>
            <w:vAlign w:val="center"/>
          </w:tcPr>
          <w:p>
            <w:pPr>
              <w:keepNext w:val="0"/>
              <w:keepLines w:val="0"/>
              <w:widowControl/>
              <w:suppressLineNumbers w:val="0"/>
              <w:jc w:val="center"/>
              <w:textAlignment w:val="center"/>
              <w:rPr>
                <w:rFonts w:hint="default" w:ascii="宋体" w:hAnsi="宋体" w:eastAsia="宋体" w:cs="宋体"/>
                <w:b w:val="0"/>
                <w:bCs w:val="0"/>
                <w:i w:val="0"/>
                <w:iCs w:val="0"/>
                <w:color w:val="000000"/>
                <w:sz w:val="21"/>
                <w:szCs w:val="21"/>
                <w:u w:val="none"/>
                <w:lang w:val="en-US" w:eastAsia="zh-CN"/>
              </w:rPr>
            </w:pPr>
            <w:r>
              <w:rPr>
                <w:rFonts w:hint="eastAsia" w:ascii="宋体" w:hAnsi="宋体" w:cs="宋体"/>
                <w:b w:val="0"/>
                <w:bCs w:val="0"/>
                <w:i w:val="0"/>
                <w:iCs w:val="0"/>
                <w:color w:val="000000"/>
                <w:sz w:val="21"/>
                <w:szCs w:val="21"/>
                <w:u w:val="none"/>
                <w:lang w:val="en-US" w:eastAsia="zh-CN"/>
              </w:rPr>
              <w:t>6000</w:t>
            </w:r>
          </w:p>
        </w:tc>
        <w:tc>
          <w:tcPr>
            <w:tcW w:w="1028" w:type="dxa"/>
            <w:vAlign w:val="center"/>
          </w:tcPr>
          <w:p>
            <w:pPr>
              <w:keepNext w:val="0"/>
              <w:keepLines w:val="0"/>
              <w:widowControl/>
              <w:suppressLineNumbers w:val="0"/>
              <w:jc w:val="center"/>
              <w:textAlignment w:val="center"/>
              <w:rPr>
                <w:rFonts w:hint="default" w:ascii="宋体" w:hAnsi="宋体" w:eastAsia="宋体" w:cs="宋体"/>
                <w:b w:val="0"/>
                <w:bCs w:val="0"/>
                <w:i w:val="0"/>
                <w:iCs w:val="0"/>
                <w:color w:val="000000"/>
                <w:sz w:val="21"/>
                <w:szCs w:val="21"/>
                <w:u w:val="none"/>
                <w:lang w:val="en-US" w:eastAsia="zh-CN"/>
              </w:rPr>
            </w:pPr>
            <w:r>
              <w:rPr>
                <w:rFonts w:hint="eastAsia" w:ascii="宋体" w:hAnsi="宋体" w:cs="宋体"/>
                <w:b w:val="0"/>
                <w:bCs w:val="0"/>
                <w:i w:val="0"/>
                <w:iCs w:val="0"/>
                <w:color w:val="000000"/>
                <w:sz w:val="21"/>
                <w:szCs w:val="21"/>
                <w:u w:val="none"/>
                <w:lang w:val="en-US" w:eastAsia="zh-CN"/>
              </w:rPr>
              <w:t>42000</w:t>
            </w:r>
          </w:p>
        </w:tc>
        <w:tc>
          <w:tcPr>
            <w:tcW w:w="1093" w:type="dxa"/>
            <w:vAlign w:val="center"/>
          </w:tcPr>
          <w:p>
            <w:pPr>
              <w:keepNext w:val="0"/>
              <w:keepLines w:val="0"/>
              <w:widowControl/>
              <w:suppressLineNumbers w:val="0"/>
              <w:jc w:val="center"/>
              <w:textAlignment w:val="center"/>
              <w:rPr>
                <w:rFonts w:hint="default" w:ascii="宋体" w:hAnsi="宋体" w:eastAsia="宋体" w:cs="宋体"/>
                <w:b w:val="0"/>
                <w:bCs w:val="0"/>
                <w:i w:val="0"/>
                <w:iCs w:val="0"/>
                <w:color w:val="000000"/>
                <w:sz w:val="21"/>
                <w:szCs w:val="21"/>
                <w:u w:val="none"/>
                <w:lang w:val="en-US" w:eastAsia="zh-CN"/>
              </w:rPr>
            </w:pPr>
            <w:r>
              <w:rPr>
                <w:rFonts w:hint="eastAsia" w:ascii="宋体" w:hAnsi="宋体" w:cs="宋体"/>
                <w:b w:val="0"/>
                <w:bCs w:val="0"/>
                <w:i w:val="0"/>
                <w:iCs w:val="0"/>
                <w:color w:val="000000"/>
                <w:sz w:val="21"/>
                <w:szCs w:val="21"/>
                <w:u w:val="none"/>
                <w:lang w:val="en-US" w:eastAsia="zh-CN"/>
              </w:rPr>
              <w:t>220V</w:t>
            </w:r>
          </w:p>
        </w:tc>
        <w:tc>
          <w:tcPr>
            <w:tcW w:w="1596" w:type="dxa"/>
            <w:vAlign w:val="center"/>
          </w:tcPr>
          <w:p>
            <w:pPr>
              <w:keepNext w:val="0"/>
              <w:keepLines w:val="0"/>
              <w:widowControl/>
              <w:suppressLineNumbers w:val="0"/>
              <w:jc w:val="left"/>
              <w:textAlignment w:val="center"/>
              <w:rPr>
                <w:rFonts w:hint="eastAsia" w:ascii="宋体" w:hAnsi="宋体" w:eastAsia="宋体" w:cs="宋体"/>
                <w:b w:val="0"/>
                <w:bCs w:val="0"/>
                <w:i w:val="0"/>
                <w:iCs w:val="0"/>
                <w:color w:val="000000"/>
                <w:kern w:val="2"/>
                <w:sz w:val="21"/>
                <w:szCs w:val="21"/>
                <w:u w:val="none"/>
                <w:lang w:val="en-US" w:eastAsia="zh-CN" w:bidi="ar-SA"/>
              </w:rPr>
            </w:pPr>
            <w:bookmarkStart w:id="0" w:name="_GoBack"/>
            <w:r>
              <w:rPr>
                <w:rFonts w:hint="eastAsia" w:ascii="宋体" w:hAnsi="宋体" w:eastAsia="宋体" w:cs="宋体"/>
                <w:b w:val="0"/>
                <w:bCs w:val="0"/>
                <w:i w:val="0"/>
                <w:iCs w:val="0"/>
                <w:color w:val="000000"/>
                <w:sz w:val="21"/>
                <w:szCs w:val="21"/>
                <w:u w:val="none"/>
                <w:lang w:val="en-US" w:eastAsia="zh-CN"/>
              </w:rPr>
              <w:t>包安装</w:t>
            </w:r>
            <w:r>
              <w:rPr>
                <w:rFonts w:hint="eastAsia" w:ascii="宋体" w:hAnsi="宋体" w:cs="宋体"/>
                <w:b w:val="0"/>
                <w:bCs w:val="0"/>
                <w:i w:val="0"/>
                <w:iCs w:val="0"/>
                <w:color w:val="000000"/>
                <w:sz w:val="21"/>
                <w:szCs w:val="21"/>
                <w:u w:val="none"/>
                <w:lang w:val="en-US" w:eastAsia="zh-CN"/>
              </w:rPr>
              <w:t>到位</w:t>
            </w:r>
            <w:r>
              <w:rPr>
                <w:rFonts w:hint="eastAsia" w:ascii="宋体" w:hAnsi="宋体" w:eastAsia="宋体" w:cs="宋体"/>
                <w:b w:val="0"/>
                <w:bCs w:val="0"/>
                <w:i w:val="0"/>
                <w:iCs w:val="0"/>
                <w:color w:val="000000"/>
                <w:sz w:val="21"/>
                <w:szCs w:val="21"/>
                <w:u w:val="none"/>
                <w:lang w:val="en-US" w:eastAsia="zh-CN"/>
              </w:rPr>
              <w:t>。打孔、铜管加长</w:t>
            </w:r>
            <w:r>
              <w:rPr>
                <w:rFonts w:hint="eastAsia" w:ascii="宋体" w:hAnsi="宋体" w:cs="宋体"/>
                <w:b w:val="0"/>
                <w:bCs w:val="0"/>
                <w:i w:val="0"/>
                <w:iCs w:val="0"/>
                <w:color w:val="000000"/>
                <w:sz w:val="21"/>
                <w:szCs w:val="21"/>
                <w:u w:val="none"/>
                <w:lang w:val="en-US" w:eastAsia="zh-CN"/>
              </w:rPr>
              <w:t>、</w:t>
            </w:r>
            <w:r>
              <w:rPr>
                <w:rFonts w:hint="eastAsia" w:ascii="宋体" w:hAnsi="宋体" w:eastAsia="宋体" w:cs="宋体"/>
                <w:b w:val="0"/>
                <w:bCs w:val="0"/>
                <w:i w:val="0"/>
                <w:iCs w:val="0"/>
                <w:color w:val="000000"/>
                <w:sz w:val="21"/>
                <w:szCs w:val="21"/>
                <w:u w:val="none"/>
                <w:lang w:val="en-US" w:eastAsia="zh-CN"/>
              </w:rPr>
              <w:t>室外机支架</w:t>
            </w:r>
            <w:r>
              <w:rPr>
                <w:rFonts w:hint="eastAsia" w:ascii="宋体" w:hAnsi="宋体" w:cs="宋体"/>
                <w:b w:val="0"/>
                <w:bCs w:val="0"/>
                <w:i w:val="0"/>
                <w:iCs w:val="0"/>
                <w:color w:val="000000"/>
                <w:sz w:val="21"/>
                <w:szCs w:val="21"/>
                <w:u w:val="none"/>
                <w:lang w:val="en-US" w:eastAsia="zh-CN"/>
              </w:rPr>
              <w:t>等</w:t>
            </w:r>
            <w:r>
              <w:rPr>
                <w:rFonts w:hint="eastAsia" w:ascii="宋体" w:hAnsi="宋体" w:eastAsia="宋体" w:cs="宋体"/>
                <w:b w:val="0"/>
                <w:bCs w:val="0"/>
                <w:i w:val="0"/>
                <w:iCs w:val="0"/>
                <w:color w:val="000000"/>
                <w:sz w:val="21"/>
                <w:szCs w:val="21"/>
                <w:u w:val="none"/>
                <w:lang w:val="en-US" w:eastAsia="zh-CN"/>
              </w:rPr>
              <w:t>都包含在</w:t>
            </w:r>
            <w:r>
              <w:rPr>
                <w:rFonts w:hint="eastAsia" w:ascii="宋体" w:hAnsi="宋体" w:cs="宋体"/>
                <w:b w:val="0"/>
                <w:bCs w:val="0"/>
                <w:i w:val="0"/>
                <w:iCs w:val="0"/>
                <w:color w:val="000000"/>
                <w:sz w:val="21"/>
                <w:szCs w:val="21"/>
                <w:u w:val="none"/>
                <w:lang w:val="en-US" w:eastAsia="zh-CN"/>
              </w:rPr>
              <w:t>控制单</w:t>
            </w:r>
            <w:r>
              <w:rPr>
                <w:rFonts w:hint="eastAsia" w:ascii="宋体" w:hAnsi="宋体" w:eastAsia="宋体" w:cs="宋体"/>
                <w:b w:val="0"/>
                <w:bCs w:val="0"/>
                <w:i w:val="0"/>
                <w:iCs w:val="0"/>
                <w:color w:val="000000"/>
                <w:sz w:val="21"/>
                <w:szCs w:val="21"/>
                <w:u w:val="none"/>
                <w:lang w:val="en-US" w:eastAsia="zh-CN"/>
              </w:rPr>
              <w:t>价内。</w:t>
            </w:r>
            <w:bookmarkEnd w:id="0"/>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trPr>
        <w:tc>
          <w:tcPr>
            <w:tcW w:w="1290" w:type="dxa"/>
          </w:tcPr>
          <w:p>
            <w:pPr>
              <w:keepNext w:val="0"/>
              <w:keepLines w:val="0"/>
              <w:widowControl/>
              <w:suppressLineNumbers w:val="0"/>
              <w:jc w:val="center"/>
              <w:textAlignment w:val="center"/>
              <w:rPr>
                <w:rFonts w:hint="default" w:ascii="宋体" w:hAnsi="宋体" w:cs="宋体"/>
                <w:b w:val="0"/>
                <w:bCs w:val="0"/>
                <w:i w:val="0"/>
                <w:iCs w:val="0"/>
                <w:color w:val="000000"/>
                <w:sz w:val="24"/>
                <w:szCs w:val="24"/>
                <w:u w:val="none"/>
                <w:lang w:val="en-US" w:eastAsia="zh-CN"/>
              </w:rPr>
            </w:pPr>
            <w:r>
              <w:rPr>
                <w:rFonts w:hint="eastAsia" w:ascii="宋体" w:hAnsi="宋体" w:cs="宋体"/>
                <w:b w:val="0"/>
                <w:bCs w:val="0"/>
                <w:i w:val="0"/>
                <w:iCs w:val="0"/>
                <w:color w:val="000000"/>
                <w:sz w:val="24"/>
                <w:szCs w:val="24"/>
                <w:u w:val="none"/>
                <w:lang w:val="en-US" w:eastAsia="zh-CN"/>
              </w:rPr>
              <w:t>合计（元）</w:t>
            </w:r>
          </w:p>
        </w:tc>
        <w:tc>
          <w:tcPr>
            <w:tcW w:w="8464" w:type="dxa"/>
            <w:gridSpan w:val="7"/>
          </w:tcPr>
          <w:p>
            <w:pPr>
              <w:keepNext w:val="0"/>
              <w:keepLines w:val="0"/>
              <w:widowControl/>
              <w:suppressLineNumbers w:val="0"/>
              <w:jc w:val="center"/>
              <w:textAlignment w:val="center"/>
              <w:rPr>
                <w:rFonts w:hint="default" w:ascii="宋体" w:hAnsi="宋体" w:cs="宋体"/>
                <w:b w:val="0"/>
                <w:bCs w:val="0"/>
                <w:i w:val="0"/>
                <w:iCs w:val="0"/>
                <w:color w:val="000000"/>
                <w:sz w:val="24"/>
                <w:szCs w:val="24"/>
                <w:u w:val="none"/>
                <w:lang w:val="en-US" w:eastAsia="zh-CN"/>
              </w:rPr>
            </w:pPr>
            <w:r>
              <w:rPr>
                <w:rFonts w:hint="eastAsia" w:ascii="宋体" w:hAnsi="宋体" w:cs="宋体"/>
                <w:b w:val="0"/>
                <w:bCs w:val="0"/>
                <w:i w:val="0"/>
                <w:iCs w:val="0"/>
                <w:color w:val="000000"/>
                <w:sz w:val="24"/>
                <w:szCs w:val="24"/>
                <w:u w:val="none"/>
                <w:lang w:val="en-US" w:eastAsia="zh-CN"/>
              </w:rPr>
              <w:t>42000</w:t>
            </w:r>
          </w:p>
        </w:tc>
      </w:tr>
    </w:tbl>
    <w:p>
      <w:pPr>
        <w:pStyle w:val="3"/>
        <w:keepNext/>
        <w:keepLines/>
        <w:pageBreakBefore w:val="0"/>
        <w:widowControl w:val="0"/>
        <w:numPr>
          <w:ilvl w:val="0"/>
          <w:numId w:val="0"/>
        </w:numPr>
        <w:kinsoku/>
        <w:wordWrap/>
        <w:overflowPunct/>
        <w:topLinePunct w:val="0"/>
        <w:autoSpaceDE/>
        <w:autoSpaceDN/>
        <w:bidi w:val="0"/>
        <w:adjustRightInd/>
        <w:snapToGrid w:val="0"/>
        <w:spacing w:before="157" w:beforeLines="50" w:after="157" w:afterLines="50" w:line="360" w:lineRule="atLeast"/>
        <w:ind w:leftChars="200"/>
        <w:textAlignment w:val="auto"/>
        <w:rPr>
          <w:rFonts w:hint="eastAsia" w:ascii="宋体" w:hAnsi="宋体" w:eastAsia="宋体" w:cs="宋体"/>
          <w:b/>
          <w:bCs/>
          <w:color w:val="000000"/>
          <w:kern w:val="0"/>
          <w:sz w:val="28"/>
          <w:szCs w:val="28"/>
          <w:lang w:val="en-US" w:eastAsia="zh-CN" w:bidi="ar"/>
        </w:rPr>
      </w:pPr>
      <w:r>
        <w:rPr>
          <w:rFonts w:hint="eastAsia" w:ascii="宋体" w:hAnsi="宋体" w:eastAsia="宋体" w:cs="宋体"/>
          <w:b/>
          <w:bCs/>
          <w:color w:val="000000"/>
          <w:kern w:val="0"/>
          <w:sz w:val="28"/>
          <w:szCs w:val="28"/>
          <w:lang w:val="en-US" w:eastAsia="zh-CN" w:bidi="ar"/>
        </w:rPr>
        <w:t>2.商务要求</w:t>
      </w:r>
    </w:p>
    <w:p>
      <w:pPr>
        <w:keepNext w:val="0"/>
        <w:keepLines w:val="0"/>
        <w:pageBreakBefore w:val="0"/>
        <w:numPr>
          <w:ilvl w:val="0"/>
          <w:numId w:val="1"/>
        </w:numPr>
        <w:kinsoku/>
        <w:wordWrap/>
        <w:overflowPunct/>
        <w:topLinePunct w:val="0"/>
        <w:autoSpaceDE/>
        <w:autoSpaceDN/>
        <w:bidi w:val="0"/>
        <w:adjustRightInd/>
        <w:snapToGrid/>
        <w:spacing w:line="340" w:lineRule="atLeast"/>
        <w:ind w:firstLine="480" w:firstLineChars="200"/>
        <w:jc w:val="both"/>
        <w:rPr>
          <w:rFonts w:hint="eastAsia" w:ascii="Times New Roman" w:hAnsi="Times New Roman" w:eastAsia="宋体" w:cs="Times New Roman"/>
          <w:kern w:val="2"/>
          <w:sz w:val="24"/>
          <w:szCs w:val="24"/>
          <w:lang w:val="en-US" w:eastAsia="zh-CN" w:bidi="ar-SA"/>
        </w:rPr>
      </w:pPr>
      <w:r>
        <w:rPr>
          <w:rFonts w:hint="eastAsia" w:ascii="Times New Roman" w:hAnsi="Times New Roman" w:eastAsia="宋体" w:cs="Times New Roman"/>
          <w:kern w:val="2"/>
          <w:sz w:val="24"/>
          <w:szCs w:val="24"/>
          <w:lang w:val="en-US" w:eastAsia="zh-CN" w:bidi="ar-SA"/>
        </w:rPr>
        <w:t>质量要求：</w:t>
      </w:r>
    </w:p>
    <w:p>
      <w:pPr>
        <w:keepNext w:val="0"/>
        <w:keepLines w:val="0"/>
        <w:pageBreakBefore w:val="0"/>
        <w:numPr>
          <w:ilvl w:val="0"/>
          <w:numId w:val="0"/>
        </w:numPr>
        <w:kinsoku/>
        <w:wordWrap/>
        <w:overflowPunct/>
        <w:topLinePunct w:val="0"/>
        <w:autoSpaceDE/>
        <w:autoSpaceDN/>
        <w:bidi w:val="0"/>
        <w:adjustRightInd/>
        <w:snapToGrid/>
        <w:spacing w:line="340" w:lineRule="atLeast"/>
        <w:ind w:firstLine="480" w:firstLineChars="200"/>
        <w:jc w:val="both"/>
        <w:rPr>
          <w:rFonts w:hint="eastAsia" w:ascii="Times New Roman" w:hAnsi="Times New Roman" w:eastAsia="宋体" w:cs="Times New Roman"/>
          <w:kern w:val="2"/>
          <w:sz w:val="24"/>
          <w:szCs w:val="24"/>
          <w:lang w:val="en-US" w:eastAsia="zh-CN" w:bidi="ar-SA"/>
        </w:rPr>
      </w:pPr>
      <w:r>
        <w:rPr>
          <w:rFonts w:hint="eastAsia" w:ascii="Times New Roman" w:hAnsi="Times New Roman" w:eastAsia="宋体" w:cs="Times New Roman"/>
          <w:kern w:val="2"/>
          <w:sz w:val="24"/>
          <w:szCs w:val="24"/>
          <w:lang w:val="en-US" w:eastAsia="zh-CN" w:bidi="ar-SA"/>
        </w:rPr>
        <w:t>采购产品为格力(GREE)空调，需全新（2024年</w:t>
      </w:r>
      <w:r>
        <w:rPr>
          <w:rFonts w:hint="eastAsia" w:cs="Times New Roman"/>
          <w:kern w:val="2"/>
          <w:sz w:val="24"/>
          <w:szCs w:val="24"/>
          <w:lang w:val="en-US" w:eastAsia="zh-CN" w:bidi="ar-SA"/>
        </w:rPr>
        <w:t>10</w:t>
      </w:r>
      <w:r>
        <w:rPr>
          <w:rFonts w:hint="eastAsia" w:ascii="Times New Roman" w:hAnsi="Times New Roman" w:eastAsia="宋体" w:cs="Times New Roman"/>
          <w:kern w:val="2"/>
          <w:sz w:val="24"/>
          <w:szCs w:val="24"/>
          <w:lang w:val="en-US" w:eastAsia="zh-CN" w:bidi="ar-SA"/>
        </w:rPr>
        <w:t>月1日以后生产）的符合国家技术规格和质量标准的原装正品合格产品。产品未曾开箱使用，包含所有官方原厂配件、保修卡、说明书等。</w:t>
      </w:r>
    </w:p>
    <w:p>
      <w:pPr>
        <w:pStyle w:val="2"/>
        <w:keepNext w:val="0"/>
        <w:keepLines w:val="0"/>
        <w:pageBreakBefore w:val="0"/>
        <w:numPr>
          <w:ilvl w:val="0"/>
          <w:numId w:val="0"/>
        </w:numPr>
        <w:kinsoku/>
        <w:wordWrap/>
        <w:overflowPunct/>
        <w:topLinePunct w:val="0"/>
        <w:autoSpaceDE/>
        <w:autoSpaceDN/>
        <w:bidi w:val="0"/>
        <w:adjustRightInd w:val="0"/>
        <w:snapToGrid w:val="0"/>
        <w:spacing w:after="0" w:line="300" w:lineRule="atLeast"/>
        <w:ind w:leftChars="0"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cs="宋体"/>
          <w:b w:val="0"/>
          <w:bCs w:val="0"/>
          <w:kern w:val="2"/>
          <w:sz w:val="24"/>
          <w:szCs w:val="24"/>
          <w:lang w:val="en-US" w:eastAsia="zh-CN" w:bidi="ar-SA"/>
        </w:rPr>
        <w:t>二、</w:t>
      </w:r>
      <w:r>
        <w:rPr>
          <w:rFonts w:hint="eastAsia" w:ascii="宋体" w:hAnsi="宋体" w:eastAsia="宋体" w:cs="宋体"/>
          <w:b w:val="0"/>
          <w:bCs w:val="0"/>
          <w:kern w:val="2"/>
          <w:sz w:val="24"/>
          <w:szCs w:val="24"/>
          <w:lang w:val="en-US" w:eastAsia="zh-CN" w:bidi="ar-SA"/>
        </w:rPr>
        <w:t>安装要求：</w:t>
      </w:r>
    </w:p>
    <w:p>
      <w:pPr>
        <w:pStyle w:val="2"/>
        <w:keepNext w:val="0"/>
        <w:keepLines w:val="0"/>
        <w:pageBreakBefore w:val="0"/>
        <w:numPr>
          <w:ilvl w:val="0"/>
          <w:numId w:val="0"/>
        </w:numPr>
        <w:kinsoku/>
        <w:wordWrap/>
        <w:overflowPunct/>
        <w:topLinePunct w:val="0"/>
        <w:autoSpaceDE/>
        <w:autoSpaceDN/>
        <w:bidi w:val="0"/>
        <w:adjustRightInd w:val="0"/>
        <w:snapToGrid w:val="0"/>
        <w:spacing w:after="0" w:line="300" w:lineRule="atLeast"/>
        <w:ind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1、本空调安装包含材料、人工费，部分空调需要支架或另外加长铜管（预计</w:t>
      </w:r>
      <w:r>
        <w:rPr>
          <w:rFonts w:hint="eastAsia" w:ascii="宋体" w:hAnsi="宋体" w:cs="宋体"/>
          <w:b w:val="0"/>
          <w:bCs w:val="0"/>
          <w:kern w:val="2"/>
          <w:sz w:val="24"/>
          <w:szCs w:val="24"/>
          <w:lang w:val="en-US" w:eastAsia="zh-CN" w:bidi="ar-SA"/>
        </w:rPr>
        <w:t>5</w:t>
      </w:r>
      <w:r>
        <w:rPr>
          <w:rFonts w:hint="eastAsia" w:ascii="宋体" w:hAnsi="宋体" w:eastAsia="宋体" w:cs="宋体"/>
          <w:b w:val="0"/>
          <w:bCs w:val="0"/>
          <w:kern w:val="2"/>
          <w:sz w:val="24"/>
          <w:szCs w:val="24"/>
          <w:lang w:val="en-US" w:eastAsia="zh-CN" w:bidi="ar-SA"/>
        </w:rPr>
        <w:t>米左右）与水管。中标人应根据招标产品要求配置齐全，自行实地踏勘（联系人</w:t>
      </w:r>
      <w:r>
        <w:rPr>
          <w:rFonts w:hint="eastAsia" w:ascii="宋体" w:hAnsi="宋体" w:cs="宋体"/>
          <w:b w:val="0"/>
          <w:bCs w:val="0"/>
          <w:kern w:val="2"/>
          <w:sz w:val="24"/>
          <w:szCs w:val="24"/>
          <w:lang w:val="en-US" w:eastAsia="zh-CN" w:bidi="ar-SA"/>
        </w:rPr>
        <w:t>斯</w:t>
      </w:r>
      <w:r>
        <w:rPr>
          <w:rFonts w:hint="eastAsia" w:ascii="宋体" w:hAnsi="宋体" w:eastAsia="宋体" w:cs="宋体"/>
          <w:b w:val="0"/>
          <w:bCs w:val="0"/>
          <w:kern w:val="2"/>
          <w:sz w:val="24"/>
          <w:szCs w:val="24"/>
          <w:lang w:val="en-US" w:eastAsia="zh-CN" w:bidi="ar-SA"/>
        </w:rPr>
        <w:t>老师：13</w:t>
      </w:r>
      <w:r>
        <w:rPr>
          <w:rFonts w:hint="eastAsia" w:ascii="宋体" w:hAnsi="宋体" w:cs="宋体"/>
          <w:b w:val="0"/>
          <w:bCs w:val="0"/>
          <w:kern w:val="2"/>
          <w:sz w:val="24"/>
          <w:szCs w:val="24"/>
          <w:lang w:val="en-US" w:eastAsia="zh-CN" w:bidi="ar-SA"/>
        </w:rPr>
        <w:t>758574367</w:t>
      </w:r>
      <w:r>
        <w:rPr>
          <w:rFonts w:hint="eastAsia" w:ascii="宋体" w:hAnsi="宋体" w:eastAsia="宋体" w:cs="宋体"/>
          <w:b w:val="0"/>
          <w:bCs w:val="0"/>
          <w:kern w:val="2"/>
          <w:sz w:val="24"/>
          <w:szCs w:val="24"/>
          <w:lang w:val="en-US" w:eastAsia="zh-CN" w:bidi="ar-SA"/>
        </w:rPr>
        <w:t>），测算报价，以上费用包含在投标总报价内。</w:t>
      </w:r>
    </w:p>
    <w:p>
      <w:pPr>
        <w:pStyle w:val="2"/>
        <w:keepNext w:val="0"/>
        <w:keepLines w:val="0"/>
        <w:pageBreakBefore w:val="0"/>
        <w:numPr>
          <w:ilvl w:val="0"/>
          <w:numId w:val="0"/>
        </w:numPr>
        <w:kinsoku/>
        <w:wordWrap/>
        <w:overflowPunct/>
        <w:topLinePunct w:val="0"/>
        <w:autoSpaceDE/>
        <w:autoSpaceDN/>
        <w:bidi w:val="0"/>
        <w:adjustRightInd w:val="0"/>
        <w:snapToGrid w:val="0"/>
        <w:spacing w:after="0" w:line="300" w:lineRule="atLeast"/>
        <w:ind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2、包安装，安装明细工程量费用一次性包干。投标人自行测算报价，以上费用包含在投标总报价内。</w:t>
      </w:r>
    </w:p>
    <w:p>
      <w:pPr>
        <w:pStyle w:val="2"/>
        <w:keepNext w:val="0"/>
        <w:keepLines w:val="0"/>
        <w:pageBreakBefore w:val="0"/>
        <w:numPr>
          <w:ilvl w:val="0"/>
          <w:numId w:val="0"/>
        </w:numPr>
        <w:kinsoku/>
        <w:wordWrap/>
        <w:overflowPunct/>
        <w:topLinePunct w:val="0"/>
        <w:autoSpaceDE/>
        <w:autoSpaceDN/>
        <w:bidi w:val="0"/>
        <w:adjustRightInd w:val="0"/>
        <w:snapToGrid w:val="0"/>
        <w:spacing w:after="0" w:line="300" w:lineRule="atLeast"/>
        <w:ind w:leftChars="0"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cs="宋体"/>
          <w:b w:val="0"/>
          <w:bCs w:val="0"/>
          <w:kern w:val="2"/>
          <w:sz w:val="24"/>
          <w:szCs w:val="24"/>
          <w:lang w:val="en-US" w:eastAsia="zh-CN" w:bidi="ar-SA"/>
        </w:rPr>
        <w:t>三、</w:t>
      </w:r>
      <w:r>
        <w:rPr>
          <w:rFonts w:hint="eastAsia" w:ascii="宋体" w:hAnsi="宋体" w:eastAsia="宋体" w:cs="宋体"/>
          <w:b w:val="0"/>
          <w:bCs w:val="0"/>
          <w:kern w:val="2"/>
          <w:sz w:val="24"/>
          <w:szCs w:val="24"/>
          <w:lang w:val="en-US" w:eastAsia="zh-CN" w:bidi="ar-SA"/>
        </w:rPr>
        <w:t>供货方式：</w:t>
      </w:r>
    </w:p>
    <w:p>
      <w:pPr>
        <w:pStyle w:val="2"/>
        <w:keepNext w:val="0"/>
        <w:keepLines w:val="0"/>
        <w:pageBreakBefore w:val="0"/>
        <w:numPr>
          <w:ilvl w:val="0"/>
          <w:numId w:val="0"/>
        </w:numPr>
        <w:kinsoku/>
        <w:wordWrap/>
        <w:overflowPunct/>
        <w:topLinePunct w:val="0"/>
        <w:autoSpaceDE/>
        <w:autoSpaceDN/>
        <w:bidi w:val="0"/>
        <w:adjustRightInd w:val="0"/>
        <w:snapToGrid w:val="0"/>
        <w:spacing w:after="0" w:line="300" w:lineRule="atLeast"/>
        <w:ind w:leftChars="0"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中标人在中标确认后5个工作日内，安排专人负责免费供货到采购人指定位置。按照采购人要求及时把空调安装调试完毕。</w:t>
      </w:r>
    </w:p>
    <w:p>
      <w:pPr>
        <w:pStyle w:val="2"/>
        <w:keepNext w:val="0"/>
        <w:keepLines w:val="0"/>
        <w:pageBreakBefore w:val="0"/>
        <w:numPr>
          <w:ilvl w:val="0"/>
          <w:numId w:val="0"/>
        </w:numPr>
        <w:kinsoku/>
        <w:wordWrap/>
        <w:overflowPunct/>
        <w:topLinePunct w:val="0"/>
        <w:autoSpaceDE/>
        <w:autoSpaceDN/>
        <w:bidi w:val="0"/>
        <w:adjustRightInd w:val="0"/>
        <w:snapToGrid w:val="0"/>
        <w:spacing w:after="0" w:line="300" w:lineRule="atLeast"/>
        <w:ind w:leftChars="0"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cs="宋体"/>
          <w:b w:val="0"/>
          <w:bCs w:val="0"/>
          <w:kern w:val="2"/>
          <w:sz w:val="24"/>
          <w:szCs w:val="24"/>
          <w:lang w:val="en-US" w:eastAsia="zh-CN" w:bidi="ar-SA"/>
        </w:rPr>
        <w:t>四、</w:t>
      </w:r>
      <w:r>
        <w:rPr>
          <w:rFonts w:hint="eastAsia" w:ascii="宋体" w:hAnsi="宋体" w:eastAsia="宋体" w:cs="宋体"/>
          <w:b w:val="0"/>
          <w:bCs w:val="0"/>
          <w:kern w:val="2"/>
          <w:sz w:val="24"/>
          <w:szCs w:val="24"/>
          <w:lang w:val="en-US" w:eastAsia="zh-CN" w:bidi="ar-SA"/>
        </w:rPr>
        <w:t>质保时间：</w:t>
      </w:r>
    </w:p>
    <w:p>
      <w:pPr>
        <w:pStyle w:val="2"/>
        <w:keepNext w:val="0"/>
        <w:keepLines w:val="0"/>
        <w:pageBreakBefore w:val="0"/>
        <w:numPr>
          <w:ilvl w:val="0"/>
          <w:numId w:val="0"/>
        </w:numPr>
        <w:kinsoku/>
        <w:wordWrap/>
        <w:overflowPunct/>
        <w:topLinePunct w:val="0"/>
        <w:autoSpaceDE/>
        <w:autoSpaceDN/>
        <w:bidi w:val="0"/>
        <w:adjustRightInd w:val="0"/>
        <w:snapToGrid w:val="0"/>
        <w:spacing w:after="0" w:line="300" w:lineRule="atLeast"/>
        <w:ind w:leftChars="0"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产品质保期要求≥6年（如原厂质保期长于本项目质保期，则按原厂质保期执行），自产品验收合格之日起计。</w:t>
      </w:r>
    </w:p>
    <w:p>
      <w:pPr>
        <w:pStyle w:val="2"/>
        <w:keepNext w:val="0"/>
        <w:keepLines w:val="0"/>
        <w:pageBreakBefore w:val="0"/>
        <w:numPr>
          <w:ilvl w:val="0"/>
          <w:numId w:val="0"/>
        </w:numPr>
        <w:kinsoku/>
        <w:wordWrap/>
        <w:overflowPunct/>
        <w:topLinePunct w:val="0"/>
        <w:autoSpaceDE/>
        <w:autoSpaceDN/>
        <w:bidi w:val="0"/>
        <w:adjustRightInd w:val="0"/>
        <w:snapToGrid w:val="0"/>
        <w:spacing w:after="0" w:line="300" w:lineRule="atLeast"/>
        <w:ind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五、售后服务要求：</w:t>
      </w:r>
    </w:p>
    <w:p>
      <w:pPr>
        <w:pStyle w:val="2"/>
        <w:keepNext w:val="0"/>
        <w:keepLines w:val="0"/>
        <w:pageBreakBefore w:val="0"/>
        <w:numPr>
          <w:ilvl w:val="0"/>
          <w:numId w:val="0"/>
        </w:numPr>
        <w:kinsoku/>
        <w:wordWrap/>
        <w:overflowPunct/>
        <w:topLinePunct w:val="0"/>
        <w:autoSpaceDE/>
        <w:autoSpaceDN/>
        <w:bidi w:val="0"/>
        <w:adjustRightInd w:val="0"/>
        <w:snapToGrid w:val="0"/>
        <w:spacing w:after="0" w:line="300" w:lineRule="atLeast"/>
        <w:ind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1、产品安装应有原厂商及中标人派专业人员进行现场安装调试， 安装应符合国家及行业相关规范、标准。</w:t>
      </w:r>
    </w:p>
    <w:p>
      <w:pPr>
        <w:pStyle w:val="2"/>
        <w:keepNext w:val="0"/>
        <w:keepLines w:val="0"/>
        <w:pageBreakBefore w:val="0"/>
        <w:numPr>
          <w:ilvl w:val="0"/>
          <w:numId w:val="0"/>
        </w:numPr>
        <w:kinsoku/>
        <w:wordWrap/>
        <w:overflowPunct/>
        <w:topLinePunct w:val="0"/>
        <w:autoSpaceDE/>
        <w:autoSpaceDN/>
        <w:bidi w:val="0"/>
        <w:adjustRightInd w:val="0"/>
        <w:snapToGrid w:val="0"/>
        <w:spacing w:after="0" w:line="300" w:lineRule="atLeast"/>
        <w:ind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2、所供的产品质量、运输、包装、验收均需符合国家技术规范和质量标准。</w:t>
      </w:r>
    </w:p>
    <w:p>
      <w:pPr>
        <w:pStyle w:val="2"/>
        <w:keepNext w:val="0"/>
        <w:keepLines w:val="0"/>
        <w:pageBreakBefore w:val="0"/>
        <w:numPr>
          <w:ilvl w:val="0"/>
          <w:numId w:val="0"/>
        </w:numPr>
        <w:kinsoku/>
        <w:wordWrap/>
        <w:overflowPunct/>
        <w:topLinePunct w:val="0"/>
        <w:autoSpaceDE/>
        <w:autoSpaceDN/>
        <w:bidi w:val="0"/>
        <w:adjustRightInd w:val="0"/>
        <w:snapToGrid w:val="0"/>
        <w:spacing w:after="0" w:line="300" w:lineRule="atLeast"/>
        <w:ind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3、维修点的设置需便于处理所有的维修服务，提供 24 小时服务，维修人员需在接到维修电话后2小时内赶到现场，</w:t>
      </w:r>
      <w:r>
        <w:rPr>
          <w:rFonts w:hint="eastAsia" w:ascii="宋体" w:hAnsi="宋体" w:cs="宋体"/>
          <w:b w:val="0"/>
          <w:bCs w:val="0"/>
          <w:kern w:val="2"/>
          <w:sz w:val="24"/>
          <w:szCs w:val="24"/>
          <w:lang w:val="en-US" w:eastAsia="zh-CN" w:bidi="ar-SA"/>
        </w:rPr>
        <w:t>一般情况</w:t>
      </w:r>
      <w:r>
        <w:rPr>
          <w:rFonts w:hint="eastAsia" w:ascii="宋体" w:hAnsi="宋体" w:eastAsia="宋体" w:cs="宋体"/>
          <w:b w:val="0"/>
          <w:bCs w:val="0"/>
          <w:kern w:val="2"/>
          <w:sz w:val="24"/>
          <w:szCs w:val="24"/>
          <w:lang w:val="en-US" w:eastAsia="zh-CN" w:bidi="ar-SA"/>
        </w:rPr>
        <w:t xml:space="preserve">24 小时内解决问题，以保证空调的正常工作。维修过程中所需零配件中标人在接到通知后应及时提供，并最长不超过2天（特殊设备另行说明）必须送达用户。 </w:t>
      </w:r>
    </w:p>
    <w:p>
      <w:pPr>
        <w:pStyle w:val="2"/>
        <w:keepNext w:val="0"/>
        <w:keepLines w:val="0"/>
        <w:pageBreakBefore w:val="0"/>
        <w:numPr>
          <w:ilvl w:val="0"/>
          <w:numId w:val="0"/>
        </w:numPr>
        <w:kinsoku/>
        <w:wordWrap/>
        <w:overflowPunct/>
        <w:topLinePunct w:val="0"/>
        <w:autoSpaceDE/>
        <w:autoSpaceDN/>
        <w:bidi w:val="0"/>
        <w:adjustRightInd w:val="0"/>
        <w:snapToGrid w:val="0"/>
        <w:spacing w:after="0" w:line="300" w:lineRule="atLeast"/>
        <w:ind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4、中标人须对合同中规定的所有产品，提供经调试、试运行、验收合格后质保期内免费维修，质保期后提供终身维修（免人工维修费）。质保期内因不能排除的故障而影响使用的情况每发生一次，其质保期相应延长 60 天，质保期内因设备本身缺陷造成各种故障应由中标人免费技术服务和维修。</w:t>
      </w:r>
    </w:p>
    <w:p>
      <w:pPr>
        <w:pStyle w:val="2"/>
        <w:keepNext w:val="0"/>
        <w:keepLines w:val="0"/>
        <w:pageBreakBefore w:val="0"/>
        <w:numPr>
          <w:ilvl w:val="0"/>
          <w:numId w:val="0"/>
        </w:numPr>
        <w:kinsoku/>
        <w:wordWrap/>
        <w:overflowPunct/>
        <w:topLinePunct w:val="0"/>
        <w:autoSpaceDE/>
        <w:autoSpaceDN/>
        <w:bidi w:val="0"/>
        <w:adjustRightInd w:val="0"/>
        <w:snapToGrid w:val="0"/>
        <w:spacing w:after="0" w:line="300" w:lineRule="atLeast"/>
        <w:ind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5、在质保期内的工作应包括对所有设备常规检查。保修期内，中标人在每一个冷、热期在空调使用初及运行中对系统进行一次总体检测和维护保养。</w:t>
      </w:r>
    </w:p>
    <w:p>
      <w:pPr>
        <w:pStyle w:val="2"/>
        <w:keepNext w:val="0"/>
        <w:keepLines w:val="0"/>
        <w:pageBreakBefore w:val="0"/>
        <w:numPr>
          <w:ilvl w:val="0"/>
          <w:numId w:val="0"/>
        </w:numPr>
        <w:kinsoku/>
        <w:wordWrap/>
        <w:overflowPunct/>
        <w:topLinePunct w:val="0"/>
        <w:autoSpaceDE/>
        <w:autoSpaceDN/>
        <w:bidi w:val="0"/>
        <w:adjustRightInd w:val="0"/>
        <w:snapToGrid w:val="0"/>
        <w:spacing w:after="0" w:line="300" w:lineRule="atLeast"/>
        <w:ind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6、在质量保证期满时,中标人和采购人代表将对设备进行一次全面测试，直至运行无故障正常运行。任何故障须由中标人自费解决，需取得采购人的认可。</w:t>
      </w:r>
    </w:p>
    <w:p>
      <w:pPr>
        <w:pStyle w:val="8"/>
        <w:keepNext w:val="0"/>
        <w:keepLines w:val="0"/>
        <w:pageBreakBefore w:val="0"/>
        <w:kinsoku/>
        <w:wordWrap/>
        <w:overflowPunct/>
        <w:topLinePunct w:val="0"/>
        <w:autoSpaceDE/>
        <w:autoSpaceDN/>
        <w:bidi w:val="0"/>
        <w:adjustRightInd w:val="0"/>
        <w:snapToGrid w:val="0"/>
        <w:spacing w:line="300" w:lineRule="atLeast"/>
        <w:ind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六、实质性响应：</w:t>
      </w:r>
    </w:p>
    <w:p>
      <w:pPr>
        <w:pStyle w:val="8"/>
        <w:keepNext w:val="0"/>
        <w:keepLines w:val="0"/>
        <w:pageBreakBefore w:val="0"/>
        <w:kinsoku/>
        <w:wordWrap/>
        <w:overflowPunct/>
        <w:topLinePunct w:val="0"/>
        <w:autoSpaceDE/>
        <w:autoSpaceDN/>
        <w:bidi w:val="0"/>
        <w:adjustRightInd w:val="0"/>
        <w:snapToGrid w:val="0"/>
        <w:spacing w:line="300" w:lineRule="atLeast"/>
        <w:ind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1、本项目采购的商品，中标人报价应包含空调及安装、货物运输、人员工资、税费、保险等本项目实施完成的相关费用，竞价结束后预成交中标人获得学校对货物质量基本信息认可后再确认成交。</w:t>
      </w:r>
    </w:p>
    <w:p>
      <w:pPr>
        <w:pStyle w:val="8"/>
        <w:keepNext w:val="0"/>
        <w:keepLines w:val="0"/>
        <w:pageBreakBefore w:val="0"/>
        <w:kinsoku/>
        <w:wordWrap/>
        <w:overflowPunct/>
        <w:topLinePunct w:val="0"/>
        <w:autoSpaceDE/>
        <w:autoSpaceDN/>
        <w:bidi w:val="0"/>
        <w:adjustRightInd w:val="0"/>
        <w:snapToGrid w:val="0"/>
        <w:spacing w:line="300" w:lineRule="atLeast"/>
        <w:ind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2、中标人必须按照本次竞价单规定的质量要求、商品名称、型号、规格等供货。</w:t>
      </w:r>
    </w:p>
    <w:p>
      <w:pPr>
        <w:pStyle w:val="8"/>
        <w:keepNext w:val="0"/>
        <w:keepLines w:val="0"/>
        <w:pageBreakBefore w:val="0"/>
        <w:kinsoku/>
        <w:wordWrap/>
        <w:overflowPunct/>
        <w:topLinePunct w:val="0"/>
        <w:autoSpaceDE/>
        <w:autoSpaceDN/>
        <w:bidi w:val="0"/>
        <w:adjustRightInd w:val="0"/>
        <w:snapToGrid w:val="0"/>
        <w:spacing w:line="300" w:lineRule="atLeast"/>
        <w:ind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3、中标人必须满足所有本次采购商务要求，否则采购人有权作竞价无效处理。</w:t>
      </w:r>
    </w:p>
    <w:p>
      <w:pPr>
        <w:pStyle w:val="8"/>
        <w:keepNext w:val="0"/>
        <w:keepLines w:val="0"/>
        <w:pageBreakBefore w:val="0"/>
        <w:kinsoku/>
        <w:wordWrap/>
        <w:overflowPunct/>
        <w:topLinePunct w:val="0"/>
        <w:autoSpaceDE/>
        <w:autoSpaceDN/>
        <w:bidi w:val="0"/>
        <w:adjustRightInd w:val="0"/>
        <w:snapToGrid w:val="0"/>
        <w:spacing w:line="300" w:lineRule="atLeast"/>
        <w:ind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4、中标人参加本次竞价，即视为完全了解、明白并同意本次竞价所有要求，一旦发现有虚假响应情况，即使确认成交，也将被取消供货资格。采购人有权追究中标人责任并向有关部门投诉等。</w:t>
      </w:r>
    </w:p>
    <w:p>
      <w:pPr>
        <w:keepNext w:val="0"/>
        <w:keepLines w:val="0"/>
        <w:pageBreakBefore w:val="0"/>
        <w:kinsoku/>
        <w:wordWrap/>
        <w:overflowPunct/>
        <w:topLinePunct w:val="0"/>
        <w:autoSpaceDE/>
        <w:autoSpaceDN/>
        <w:bidi w:val="0"/>
        <w:adjustRightInd w:val="0"/>
        <w:snapToGrid w:val="0"/>
        <w:spacing w:line="300" w:lineRule="atLeast"/>
        <w:ind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七、验收与付款：</w:t>
      </w:r>
    </w:p>
    <w:p>
      <w:pPr>
        <w:keepNext w:val="0"/>
        <w:keepLines w:val="0"/>
        <w:pageBreakBefore w:val="0"/>
        <w:kinsoku/>
        <w:wordWrap/>
        <w:overflowPunct/>
        <w:topLinePunct w:val="0"/>
        <w:autoSpaceDE/>
        <w:autoSpaceDN/>
        <w:bidi w:val="0"/>
        <w:adjustRightInd w:val="0"/>
        <w:snapToGrid w:val="0"/>
        <w:spacing w:line="300" w:lineRule="atLeast"/>
        <w:ind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合同生效及空调安装调试完成后，按照相关质量标准、技术规范要求等，采购人组织人员对空调进行验收。验收合格、资金拨款到位并收到中标人正规发票后30日内付给合同总价的100％。</w:t>
      </w:r>
    </w:p>
    <w:p>
      <w:pPr>
        <w:pStyle w:val="2"/>
        <w:keepNext w:val="0"/>
        <w:keepLines w:val="0"/>
        <w:pageBreakBefore w:val="0"/>
        <w:kinsoku/>
        <w:wordWrap/>
        <w:overflowPunct/>
        <w:topLinePunct w:val="0"/>
        <w:autoSpaceDE/>
        <w:autoSpaceDN/>
        <w:bidi w:val="0"/>
        <w:adjustRightInd/>
        <w:snapToGrid w:val="0"/>
        <w:spacing w:line="240" w:lineRule="atLeast"/>
        <w:ind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 xml:space="preserve">   </w:t>
      </w:r>
    </w:p>
    <w:p>
      <w:pPr>
        <w:pStyle w:val="2"/>
        <w:keepNext w:val="0"/>
        <w:keepLines w:val="0"/>
        <w:pageBreakBefore w:val="0"/>
        <w:kinsoku/>
        <w:wordWrap/>
        <w:overflowPunct/>
        <w:topLinePunct w:val="0"/>
        <w:autoSpaceDE/>
        <w:autoSpaceDN/>
        <w:bidi w:val="0"/>
        <w:adjustRightInd/>
        <w:snapToGrid w:val="0"/>
        <w:spacing w:line="240" w:lineRule="atLeast"/>
        <w:ind w:firstLine="480" w:firstLineChars="200"/>
        <w:jc w:val="left"/>
        <w:rPr>
          <w:rFonts w:hint="eastAsia" w:ascii="宋体" w:hAnsi="宋体" w:eastAsia="宋体" w:cs="宋体"/>
          <w:b w:val="0"/>
          <w:bCs w:val="0"/>
          <w:kern w:val="2"/>
          <w:sz w:val="24"/>
          <w:szCs w:val="24"/>
          <w:lang w:val="en-US" w:eastAsia="zh-CN" w:bidi="ar-SA"/>
        </w:rPr>
      </w:pPr>
    </w:p>
    <w:p>
      <w:pPr>
        <w:pStyle w:val="2"/>
        <w:jc w:val="right"/>
        <w:rPr>
          <w:rFonts w:hint="eastAsia" w:ascii="宋体" w:hAnsi="宋体" w:eastAsia="宋体" w:cs="宋体"/>
          <w:b/>
          <w:bCs/>
          <w:kern w:val="2"/>
          <w:sz w:val="24"/>
          <w:szCs w:val="24"/>
          <w:lang w:val="en-US" w:eastAsia="zh-CN" w:bidi="ar-SA"/>
        </w:rPr>
      </w:pPr>
      <w:r>
        <w:rPr>
          <w:rFonts w:hint="eastAsia" w:ascii="宋体" w:hAnsi="宋体" w:cs="宋体"/>
          <w:b w:val="0"/>
          <w:bCs w:val="0"/>
          <w:kern w:val="2"/>
          <w:sz w:val="24"/>
          <w:szCs w:val="24"/>
          <w:lang w:val="en-US" w:eastAsia="zh-CN" w:bidi="ar-SA"/>
        </w:rPr>
        <w:t xml:space="preserve">  </w:t>
      </w:r>
      <w:r>
        <w:rPr>
          <w:rFonts w:hint="eastAsia" w:ascii="宋体" w:hAnsi="宋体" w:eastAsia="宋体" w:cs="宋体"/>
          <w:b/>
          <w:bCs/>
          <w:kern w:val="2"/>
          <w:sz w:val="24"/>
          <w:szCs w:val="24"/>
          <w:lang w:val="en-US" w:eastAsia="zh-CN" w:bidi="ar-SA"/>
        </w:rPr>
        <w:t>浙江省诸暨市职业教育中心</w:t>
      </w:r>
    </w:p>
    <w:p>
      <w:pPr>
        <w:pStyle w:val="2"/>
        <w:jc w:val="right"/>
        <w:rPr>
          <w:rFonts w:hint="default"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 xml:space="preserve">                                                 202</w:t>
      </w:r>
      <w:r>
        <w:rPr>
          <w:rFonts w:hint="eastAsia" w:ascii="宋体" w:hAnsi="宋体" w:cs="宋体"/>
          <w:b w:val="0"/>
          <w:bCs w:val="0"/>
          <w:kern w:val="2"/>
          <w:sz w:val="24"/>
          <w:szCs w:val="24"/>
          <w:lang w:val="en-US" w:eastAsia="zh-CN" w:bidi="ar-SA"/>
        </w:rPr>
        <w:t>5.04.15</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82CCA32"/>
    <w:multiLevelType w:val="singleLevel"/>
    <w:tmpl w:val="182CCA32"/>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C7C435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2"/>
    <w:basedOn w:val="1"/>
    <w:next w:val="1"/>
    <w:qFormat/>
    <w:uiPriority w:val="0"/>
    <w:pPr>
      <w:keepNext/>
      <w:keepLines/>
      <w:spacing w:before="260" w:beforeLines="0" w:after="260" w:afterLines="0" w:line="413" w:lineRule="auto"/>
      <w:outlineLvl w:val="1"/>
    </w:pPr>
    <w:rPr>
      <w:rFonts w:ascii="Arial" w:hAnsi="Arial" w:eastAsia="黑体"/>
      <w:b/>
      <w:kern w:val="2"/>
      <w:sz w:val="32"/>
      <w:lang w:val="en-US" w:eastAsia="zh-CN" w:bidi="ar-SA"/>
    </w:rPr>
  </w:style>
  <w:style w:type="character" w:default="1" w:styleId="6">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Body Text Indent"/>
    <w:basedOn w:val="1"/>
    <w:unhideWhenUsed/>
    <w:qFormat/>
    <w:uiPriority w:val="99"/>
    <w:pPr>
      <w:spacing w:after="120"/>
      <w:ind w:left="420" w:leftChars="200"/>
    </w:pPr>
    <w:rPr>
      <w:kern w:val="0"/>
      <w:szCs w:val="20"/>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7">
    <w:name w:val="font11"/>
    <w:basedOn w:val="6"/>
    <w:qFormat/>
    <w:uiPriority w:val="0"/>
    <w:rPr>
      <w:rFonts w:hint="eastAsia" w:ascii="宋体" w:hAnsi="宋体" w:eastAsia="宋体" w:cs="宋体"/>
      <w:color w:val="000000"/>
      <w:sz w:val="21"/>
      <w:szCs w:val="21"/>
      <w:u w:val="none"/>
    </w:rPr>
  </w:style>
  <w:style w:type="paragraph" w:customStyle="1" w:styleId="8">
    <w:name w:val="UserStyle_20"/>
    <w:basedOn w:val="1"/>
    <w:next w:val="1"/>
    <w:qFormat/>
    <w:uiPriority w:val="0"/>
    <w:pPr>
      <w:widowControl/>
      <w:spacing w:line="360" w:lineRule="auto"/>
      <w:ind w:firstLine="480" w:firstLineChars="200"/>
      <w:textAlignment w:val="baseline"/>
    </w:pPr>
    <w:rPr>
      <w:rFonts w:ascii="Times New Roman" w:hAnsi="Times New Roman" w:eastAsia="宋体" w:cs="Times New Roman"/>
      <w:sz w:val="24"/>
      <w:szCs w:val="21"/>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Office_11.8.2.11718_F1E327BC-269C-435d-A152-05C5408002CA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2025-04-15T05:29:25Z</dcterms:created>
  <dc:creator>lenovo</dc:creator>
  <cp:lastModifiedBy>lenovo</cp:lastModifiedBy>
  <dcterms:modified xsi:type="dcterms:W3CDTF">2025-04-15T05:32:09Z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2052-11.8.2.11718</vt:lpwstr>
  </property>
  <property fmtid="{D5CDD505-2E9C-101B-9397-08002B2CF9AE}" pid="3" name="ICV">
    <vt:lpwstr>D99B642493384BD3B9EB2500E6424E47</vt:lpwstr>
  </property>
</Properties>
</file>