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380" w:lineRule="atLeast"/>
        <w:jc w:val="center"/>
        <w:rPr>
          <w:rFonts w:hint="default" w:eastAsia="宋体"/>
          <w:lang w:val="en-US" w:eastAsia="zh-CN"/>
        </w:rPr>
      </w:pPr>
      <w:r>
        <w:rPr>
          <w:rFonts w:hint="eastAsia" w:ascii="宋体" w:hAnsi="宋体" w:eastAsia="宋体" w:cs="宋体"/>
          <w:b/>
          <w:bCs/>
          <w:color w:val="000000"/>
          <w:kern w:val="0"/>
          <w:sz w:val="32"/>
          <w:szCs w:val="32"/>
          <w:lang w:bidi="ar"/>
        </w:rPr>
        <w:t>诸暨市职教中心格力(GREE)空调采购要素</w:t>
      </w:r>
    </w:p>
    <w:p>
      <w:pPr>
        <w:numPr>
          <w:ilvl w:val="0"/>
          <w:numId w:val="0"/>
        </w:numPr>
        <w:ind w:firstLine="281" w:firstLineChars="100"/>
        <w:rPr>
          <w:rFonts w:hint="eastAsia"/>
          <w:b/>
          <w:bCs/>
          <w:sz w:val="28"/>
          <w:szCs w:val="28"/>
        </w:rPr>
      </w:pPr>
      <w:r>
        <w:rPr>
          <w:rFonts w:hint="eastAsia" w:ascii="宋体" w:hAnsi="宋体" w:cs="宋体"/>
          <w:b/>
          <w:bCs/>
          <w:color w:val="000000"/>
          <w:kern w:val="0"/>
          <w:sz w:val="28"/>
          <w:szCs w:val="28"/>
          <w:lang w:val="en-US" w:eastAsia="zh-CN" w:bidi="ar"/>
        </w:rPr>
        <w:t>1.</w:t>
      </w:r>
      <w:r>
        <w:rPr>
          <w:rFonts w:hint="eastAsia" w:ascii="宋体" w:hAnsi="宋体" w:cs="宋体"/>
          <w:b/>
          <w:bCs/>
          <w:color w:val="000000"/>
          <w:kern w:val="0"/>
          <w:sz w:val="28"/>
          <w:szCs w:val="28"/>
          <w:lang w:bidi="ar"/>
        </w:rPr>
        <w:t>采购内容</w:t>
      </w:r>
    </w:p>
    <w:tbl>
      <w:tblPr>
        <w:tblStyle w:val="5"/>
        <w:tblW w:w="975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90"/>
        <w:gridCol w:w="2261"/>
        <w:gridCol w:w="718"/>
        <w:gridCol w:w="728"/>
        <w:gridCol w:w="1040"/>
        <w:gridCol w:w="1028"/>
        <w:gridCol w:w="1093"/>
        <w:gridCol w:w="159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290"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品名</w:t>
            </w:r>
          </w:p>
        </w:tc>
        <w:tc>
          <w:tcPr>
            <w:tcW w:w="2261"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型号与</w:t>
            </w:r>
            <w:r>
              <w:rPr>
                <w:rStyle w:val="7"/>
                <w:sz w:val="24"/>
                <w:szCs w:val="24"/>
                <w:lang w:val="en-US" w:eastAsia="zh-CN" w:bidi="ar"/>
              </w:rPr>
              <w:t>规格</w:t>
            </w:r>
          </w:p>
        </w:tc>
        <w:tc>
          <w:tcPr>
            <w:tcW w:w="718"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数量</w:t>
            </w:r>
          </w:p>
        </w:tc>
        <w:tc>
          <w:tcPr>
            <w:tcW w:w="728"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单位</w:t>
            </w:r>
          </w:p>
        </w:tc>
        <w:tc>
          <w:tcPr>
            <w:tcW w:w="1040"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控制单价（元）</w:t>
            </w:r>
          </w:p>
        </w:tc>
        <w:tc>
          <w:tcPr>
            <w:tcW w:w="1028"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预算小计（元）</w:t>
            </w:r>
          </w:p>
        </w:tc>
        <w:tc>
          <w:tcPr>
            <w:tcW w:w="1093" w:type="dxa"/>
            <w:vAlign w:val="center"/>
          </w:tcPr>
          <w:p>
            <w:pPr>
              <w:keepNext w:val="0"/>
              <w:keepLines w:val="0"/>
              <w:widowControl/>
              <w:suppressLineNumbers w:val="0"/>
              <w:jc w:val="center"/>
              <w:textAlignment w:val="center"/>
              <w:rPr>
                <w:rFonts w:hint="default" w:ascii="宋体" w:hAnsi="宋体" w:eastAsia="宋体" w:cs="宋体"/>
                <w:i w:val="0"/>
                <w:iCs w:val="0"/>
                <w:color w:val="000000"/>
                <w:kern w:val="0"/>
                <w:sz w:val="24"/>
                <w:szCs w:val="24"/>
                <w:u w:val="none"/>
                <w:lang w:val="en-US" w:eastAsia="zh-CN" w:bidi="ar"/>
              </w:rPr>
            </w:pPr>
            <w:r>
              <w:rPr>
                <w:rFonts w:hint="eastAsia" w:ascii="宋体" w:hAnsi="宋体" w:cs="宋体"/>
                <w:i w:val="0"/>
                <w:iCs w:val="0"/>
                <w:color w:val="000000"/>
                <w:kern w:val="0"/>
                <w:sz w:val="24"/>
                <w:szCs w:val="24"/>
                <w:u w:val="none"/>
                <w:lang w:val="en-US" w:eastAsia="zh-CN" w:bidi="ar"/>
              </w:rPr>
              <w:t>电源</w:t>
            </w:r>
          </w:p>
        </w:tc>
        <w:tc>
          <w:tcPr>
            <w:tcW w:w="1596"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23" w:hRule="atLeast"/>
        </w:trPr>
        <w:tc>
          <w:tcPr>
            <w:tcW w:w="1290" w:type="dxa"/>
            <w:vAlign w:val="center"/>
          </w:tcPr>
          <w:p>
            <w:pPr>
              <w:widowControl/>
              <w:jc w:val="center"/>
              <w:textAlignment w:val="center"/>
              <w:rPr>
                <w:rFonts w:hint="eastAsia" w:ascii="宋体" w:hAnsi="宋体" w:eastAsia="宋体" w:cs="宋体"/>
                <w:b w:val="0"/>
                <w:bCs w:val="0"/>
                <w:i w:val="0"/>
                <w:iCs w:val="0"/>
                <w:color w:val="000000"/>
                <w:sz w:val="21"/>
                <w:szCs w:val="21"/>
                <w:u w:val="none"/>
                <w:lang w:val="en-US" w:eastAsia="zh-CN"/>
              </w:rPr>
            </w:pPr>
            <w:r>
              <w:rPr>
                <w:rFonts w:hint="eastAsia" w:ascii="宋体" w:hAnsi="宋体" w:cs="宋体"/>
                <w:color w:val="000000"/>
                <w:szCs w:val="21"/>
              </w:rPr>
              <w:t>格力5匹立式空调</w:t>
            </w:r>
          </w:p>
        </w:tc>
        <w:tc>
          <w:tcPr>
            <w:tcW w:w="2261" w:type="dxa"/>
            <w:vAlign w:val="center"/>
          </w:tcPr>
          <w:p>
            <w:pPr>
              <w:widowControl/>
              <w:jc w:val="center"/>
              <w:textAlignment w:val="center"/>
              <w:rPr>
                <w:rFonts w:hint="eastAsia" w:ascii="宋体" w:hAnsi="宋体" w:eastAsia="宋体" w:cs="宋体"/>
                <w:b w:val="0"/>
                <w:bCs w:val="0"/>
                <w:i w:val="0"/>
                <w:iCs w:val="0"/>
                <w:color w:val="000000"/>
                <w:sz w:val="21"/>
                <w:szCs w:val="21"/>
                <w:u w:val="none"/>
                <w:lang w:val="en-US" w:eastAsia="zh-CN"/>
              </w:rPr>
            </w:pPr>
            <w:r>
              <w:rPr>
                <w:rFonts w:hint="eastAsia" w:ascii="宋体" w:hAnsi="宋体" w:cs="宋体"/>
                <w:color w:val="000000"/>
                <w:szCs w:val="21"/>
              </w:rPr>
              <w:t>格力 RF12WQ/NhB-N2JY01</w:t>
            </w:r>
          </w:p>
        </w:tc>
        <w:tc>
          <w:tcPr>
            <w:tcW w:w="718" w:type="dxa"/>
            <w:vAlign w:val="center"/>
          </w:tcPr>
          <w:p>
            <w:pPr>
              <w:widowControl/>
              <w:jc w:val="center"/>
              <w:textAlignment w:val="center"/>
              <w:rPr>
                <w:rFonts w:hint="default" w:ascii="宋体" w:hAnsi="宋体" w:eastAsia="宋体" w:cs="宋体"/>
                <w:b w:val="0"/>
                <w:bCs w:val="0"/>
                <w:i w:val="0"/>
                <w:iCs w:val="0"/>
                <w:color w:val="000000"/>
                <w:sz w:val="21"/>
                <w:szCs w:val="21"/>
                <w:u w:val="none"/>
                <w:lang w:val="en-US" w:eastAsia="zh-CN"/>
              </w:rPr>
            </w:pPr>
            <w:r>
              <w:rPr>
                <w:rFonts w:hint="eastAsia" w:ascii="宋体" w:hAnsi="宋体" w:cs="宋体"/>
                <w:color w:val="000000"/>
                <w:szCs w:val="21"/>
              </w:rPr>
              <w:t>4</w:t>
            </w:r>
          </w:p>
        </w:tc>
        <w:tc>
          <w:tcPr>
            <w:tcW w:w="728" w:type="dxa"/>
            <w:vAlign w:val="center"/>
          </w:tcPr>
          <w:p>
            <w:pPr>
              <w:widowControl/>
              <w:jc w:val="center"/>
              <w:textAlignment w:val="center"/>
              <w:rPr>
                <w:rFonts w:hint="eastAsia" w:ascii="宋体" w:hAnsi="宋体" w:eastAsia="宋体" w:cs="宋体"/>
                <w:b w:val="0"/>
                <w:bCs w:val="0"/>
                <w:i w:val="0"/>
                <w:iCs w:val="0"/>
                <w:color w:val="000000"/>
                <w:sz w:val="21"/>
                <w:szCs w:val="21"/>
                <w:u w:val="none"/>
                <w:lang w:val="en-US" w:eastAsia="zh-CN"/>
              </w:rPr>
            </w:pPr>
            <w:r>
              <w:rPr>
                <w:rFonts w:hint="eastAsia" w:ascii="宋体" w:hAnsi="宋体" w:cs="宋体"/>
                <w:color w:val="000000"/>
                <w:szCs w:val="21"/>
              </w:rPr>
              <w:t>台</w:t>
            </w:r>
          </w:p>
        </w:tc>
        <w:tc>
          <w:tcPr>
            <w:tcW w:w="1040" w:type="dxa"/>
            <w:vAlign w:val="center"/>
          </w:tcPr>
          <w:p>
            <w:pPr>
              <w:widowControl/>
              <w:jc w:val="center"/>
              <w:textAlignment w:val="center"/>
              <w:rPr>
                <w:rFonts w:hint="default" w:ascii="宋体" w:hAnsi="宋体" w:eastAsia="宋体" w:cs="宋体"/>
                <w:b w:val="0"/>
                <w:bCs w:val="0"/>
                <w:i w:val="0"/>
                <w:iCs w:val="0"/>
                <w:color w:val="000000"/>
                <w:sz w:val="21"/>
                <w:szCs w:val="21"/>
                <w:u w:val="none"/>
                <w:lang w:val="en-US" w:eastAsia="zh-CN"/>
              </w:rPr>
            </w:pPr>
            <w:r>
              <w:rPr>
                <w:rFonts w:hint="eastAsia" w:ascii="宋体" w:hAnsi="宋体" w:cs="宋体"/>
                <w:color w:val="000000"/>
                <w:szCs w:val="21"/>
              </w:rPr>
              <w:t>11800</w:t>
            </w:r>
          </w:p>
        </w:tc>
        <w:tc>
          <w:tcPr>
            <w:tcW w:w="1028" w:type="dxa"/>
            <w:vAlign w:val="center"/>
          </w:tcPr>
          <w:p>
            <w:pPr>
              <w:widowControl/>
              <w:jc w:val="center"/>
              <w:textAlignment w:val="center"/>
              <w:rPr>
                <w:rFonts w:hint="default" w:ascii="宋体" w:hAnsi="宋体" w:eastAsia="宋体" w:cs="宋体"/>
                <w:b w:val="0"/>
                <w:bCs w:val="0"/>
                <w:i w:val="0"/>
                <w:iCs w:val="0"/>
                <w:color w:val="000000"/>
                <w:sz w:val="21"/>
                <w:szCs w:val="21"/>
                <w:u w:val="none"/>
                <w:lang w:val="en-US" w:eastAsia="zh-CN"/>
              </w:rPr>
            </w:pPr>
            <w:r>
              <w:rPr>
                <w:rFonts w:hint="eastAsia" w:ascii="宋体" w:hAnsi="宋体" w:cs="宋体"/>
                <w:color w:val="000000"/>
                <w:szCs w:val="21"/>
              </w:rPr>
              <w:t>47200</w:t>
            </w:r>
          </w:p>
        </w:tc>
        <w:tc>
          <w:tcPr>
            <w:tcW w:w="1093" w:type="dxa"/>
            <w:vAlign w:val="center"/>
          </w:tcPr>
          <w:p>
            <w:pPr>
              <w:widowControl/>
              <w:jc w:val="center"/>
              <w:textAlignment w:val="center"/>
              <w:rPr>
                <w:rFonts w:hint="default" w:ascii="宋体" w:hAnsi="宋体" w:eastAsia="宋体" w:cs="宋体"/>
                <w:b w:val="0"/>
                <w:bCs w:val="0"/>
                <w:i w:val="0"/>
                <w:iCs w:val="0"/>
                <w:color w:val="000000"/>
                <w:sz w:val="21"/>
                <w:szCs w:val="21"/>
                <w:u w:val="none"/>
                <w:lang w:val="en-US" w:eastAsia="zh-CN"/>
              </w:rPr>
            </w:pPr>
            <w:r>
              <w:rPr>
                <w:rFonts w:hint="eastAsia" w:ascii="宋体" w:hAnsi="宋体" w:cs="宋体"/>
                <w:color w:val="000000"/>
                <w:szCs w:val="21"/>
              </w:rPr>
              <w:t>380V</w:t>
            </w:r>
          </w:p>
        </w:tc>
        <w:tc>
          <w:tcPr>
            <w:tcW w:w="1596" w:type="dxa"/>
            <w:vAlign w:val="center"/>
          </w:tcPr>
          <w:p>
            <w:pPr>
              <w:keepNext w:val="0"/>
              <w:keepLines w:val="0"/>
              <w:widowControl/>
              <w:suppressLineNumbers w:val="0"/>
              <w:jc w:val="left"/>
              <w:textAlignment w:val="center"/>
              <w:rPr>
                <w:rFonts w:hint="eastAsia" w:ascii="宋体" w:hAnsi="宋体" w:eastAsia="宋体" w:cs="宋体"/>
                <w:b w:val="0"/>
                <w:bCs w:val="0"/>
                <w:i w:val="0"/>
                <w:iCs w:val="0"/>
                <w:color w:val="000000"/>
                <w:kern w:val="2"/>
                <w:sz w:val="21"/>
                <w:szCs w:val="21"/>
                <w:u w:val="none"/>
                <w:lang w:val="en-US" w:eastAsia="zh-CN" w:bidi="ar-SA"/>
              </w:rPr>
            </w:pPr>
            <w:r>
              <w:rPr>
                <w:rFonts w:hint="eastAsia" w:ascii="宋体" w:hAnsi="宋体" w:eastAsia="宋体" w:cs="宋体"/>
                <w:b w:val="0"/>
                <w:bCs w:val="0"/>
                <w:i w:val="0"/>
                <w:iCs w:val="0"/>
                <w:color w:val="000000"/>
                <w:sz w:val="21"/>
                <w:szCs w:val="21"/>
                <w:u w:val="none"/>
                <w:lang w:val="en-US" w:eastAsia="zh-CN"/>
              </w:rPr>
              <w:t>包安装</w:t>
            </w:r>
            <w:r>
              <w:rPr>
                <w:rFonts w:hint="eastAsia" w:ascii="宋体" w:hAnsi="宋体" w:cs="宋体"/>
                <w:b w:val="0"/>
                <w:bCs w:val="0"/>
                <w:i w:val="0"/>
                <w:iCs w:val="0"/>
                <w:color w:val="000000"/>
                <w:sz w:val="21"/>
                <w:szCs w:val="21"/>
                <w:u w:val="none"/>
                <w:lang w:val="en-US" w:eastAsia="zh-CN"/>
              </w:rPr>
              <w:t>到位</w:t>
            </w:r>
            <w:r>
              <w:rPr>
                <w:rFonts w:hint="eastAsia" w:ascii="宋体" w:hAnsi="宋体" w:eastAsia="宋体" w:cs="宋体"/>
                <w:b w:val="0"/>
                <w:bCs w:val="0"/>
                <w:i w:val="0"/>
                <w:iCs w:val="0"/>
                <w:color w:val="000000"/>
                <w:sz w:val="21"/>
                <w:szCs w:val="21"/>
                <w:u w:val="none"/>
                <w:lang w:val="en-US" w:eastAsia="zh-CN"/>
              </w:rPr>
              <w:t>。打孔、铜管加长</w:t>
            </w:r>
            <w:r>
              <w:rPr>
                <w:rFonts w:hint="eastAsia" w:ascii="宋体" w:hAnsi="宋体" w:cs="宋体"/>
                <w:b w:val="0"/>
                <w:bCs w:val="0"/>
                <w:i w:val="0"/>
                <w:iCs w:val="0"/>
                <w:color w:val="000000"/>
                <w:sz w:val="21"/>
                <w:szCs w:val="21"/>
                <w:u w:val="none"/>
                <w:lang w:val="en-US" w:eastAsia="zh-CN"/>
              </w:rPr>
              <w:t>、</w:t>
            </w:r>
            <w:r>
              <w:rPr>
                <w:rFonts w:hint="eastAsia" w:ascii="宋体" w:hAnsi="宋体" w:eastAsia="宋体" w:cs="宋体"/>
                <w:b w:val="0"/>
                <w:bCs w:val="0"/>
                <w:i w:val="0"/>
                <w:iCs w:val="0"/>
                <w:color w:val="000000"/>
                <w:sz w:val="21"/>
                <w:szCs w:val="21"/>
                <w:u w:val="none"/>
                <w:lang w:val="en-US" w:eastAsia="zh-CN"/>
              </w:rPr>
              <w:t>室外机支架</w:t>
            </w:r>
            <w:r>
              <w:rPr>
                <w:rFonts w:hint="eastAsia" w:ascii="宋体" w:hAnsi="宋体" w:cs="宋体"/>
                <w:b w:val="0"/>
                <w:bCs w:val="0"/>
                <w:i w:val="0"/>
                <w:iCs w:val="0"/>
                <w:color w:val="000000"/>
                <w:sz w:val="21"/>
                <w:szCs w:val="21"/>
                <w:u w:val="none"/>
                <w:lang w:val="en-US" w:eastAsia="zh-CN"/>
              </w:rPr>
              <w:t>等</w:t>
            </w:r>
            <w:r>
              <w:rPr>
                <w:rFonts w:hint="eastAsia" w:ascii="宋体" w:hAnsi="宋体" w:eastAsia="宋体" w:cs="宋体"/>
                <w:b w:val="0"/>
                <w:bCs w:val="0"/>
                <w:i w:val="0"/>
                <w:iCs w:val="0"/>
                <w:color w:val="000000"/>
                <w:sz w:val="21"/>
                <w:szCs w:val="21"/>
                <w:u w:val="none"/>
                <w:lang w:val="en-US" w:eastAsia="zh-CN"/>
              </w:rPr>
              <w:t>都包含在</w:t>
            </w:r>
            <w:r>
              <w:rPr>
                <w:rFonts w:hint="eastAsia" w:ascii="宋体" w:hAnsi="宋体" w:cs="宋体"/>
                <w:b w:val="0"/>
                <w:bCs w:val="0"/>
                <w:i w:val="0"/>
                <w:iCs w:val="0"/>
                <w:color w:val="000000"/>
                <w:sz w:val="21"/>
                <w:szCs w:val="21"/>
                <w:u w:val="none"/>
                <w:lang w:val="en-US" w:eastAsia="zh-CN"/>
              </w:rPr>
              <w:t>控制单</w:t>
            </w:r>
            <w:r>
              <w:rPr>
                <w:rFonts w:hint="eastAsia" w:ascii="宋体" w:hAnsi="宋体" w:eastAsia="宋体" w:cs="宋体"/>
                <w:b w:val="0"/>
                <w:bCs w:val="0"/>
                <w:i w:val="0"/>
                <w:iCs w:val="0"/>
                <w:color w:val="000000"/>
                <w:sz w:val="21"/>
                <w:szCs w:val="21"/>
                <w:u w:val="none"/>
                <w:lang w:val="en-US" w:eastAsia="zh-CN"/>
              </w:rPr>
              <w:t>价内。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2" w:hRule="atLeast"/>
        </w:trPr>
        <w:tc>
          <w:tcPr>
            <w:tcW w:w="1290" w:type="dxa"/>
          </w:tcPr>
          <w:p>
            <w:pPr>
              <w:keepNext w:val="0"/>
              <w:keepLines w:val="0"/>
              <w:widowControl/>
              <w:suppressLineNumbers w:val="0"/>
              <w:jc w:val="center"/>
              <w:textAlignment w:val="center"/>
              <w:rPr>
                <w:rFonts w:hint="default" w:ascii="宋体" w:hAnsi="宋体" w:cs="宋体"/>
                <w:b w:val="0"/>
                <w:bCs w:val="0"/>
                <w:i w:val="0"/>
                <w:iCs w:val="0"/>
                <w:color w:val="000000"/>
                <w:sz w:val="24"/>
                <w:szCs w:val="24"/>
                <w:u w:val="none"/>
                <w:lang w:val="en-US" w:eastAsia="zh-CN"/>
              </w:rPr>
            </w:pPr>
            <w:r>
              <w:rPr>
                <w:rFonts w:hint="eastAsia" w:ascii="宋体" w:hAnsi="宋体" w:cs="宋体"/>
                <w:b w:val="0"/>
                <w:bCs w:val="0"/>
                <w:i w:val="0"/>
                <w:iCs w:val="0"/>
                <w:color w:val="000000"/>
                <w:sz w:val="24"/>
                <w:szCs w:val="24"/>
                <w:u w:val="none"/>
                <w:lang w:val="en-US" w:eastAsia="zh-CN"/>
              </w:rPr>
              <w:t>合计（元）</w:t>
            </w:r>
          </w:p>
        </w:tc>
        <w:tc>
          <w:tcPr>
            <w:tcW w:w="8464" w:type="dxa"/>
            <w:gridSpan w:val="7"/>
          </w:tcPr>
          <w:p>
            <w:pPr>
              <w:keepNext w:val="0"/>
              <w:keepLines w:val="0"/>
              <w:widowControl/>
              <w:suppressLineNumbers w:val="0"/>
              <w:jc w:val="center"/>
              <w:textAlignment w:val="center"/>
              <w:rPr>
                <w:rFonts w:hint="default" w:ascii="宋体" w:hAnsi="宋体" w:cs="宋体"/>
                <w:b w:val="0"/>
                <w:bCs w:val="0"/>
                <w:i w:val="0"/>
                <w:iCs w:val="0"/>
                <w:color w:val="000000"/>
                <w:sz w:val="24"/>
                <w:szCs w:val="24"/>
                <w:u w:val="none"/>
                <w:lang w:val="en-US" w:eastAsia="zh-CN"/>
              </w:rPr>
            </w:pPr>
            <w:r>
              <w:rPr>
                <w:rFonts w:hint="eastAsia" w:ascii="宋体" w:hAnsi="宋体" w:cs="宋体"/>
                <w:b w:val="0"/>
                <w:bCs w:val="0"/>
                <w:i w:val="0"/>
                <w:iCs w:val="0"/>
                <w:color w:val="000000"/>
                <w:sz w:val="24"/>
                <w:szCs w:val="24"/>
                <w:u w:val="none"/>
                <w:lang w:val="en-US" w:eastAsia="zh-CN"/>
              </w:rPr>
              <w:t>47200</w:t>
            </w:r>
          </w:p>
        </w:tc>
      </w:tr>
    </w:tbl>
    <w:p>
      <w:pPr>
        <w:pStyle w:val="3"/>
        <w:keepNext/>
        <w:keepLines/>
        <w:pageBreakBefore w:val="0"/>
        <w:widowControl w:val="0"/>
        <w:numPr>
          <w:ilvl w:val="0"/>
          <w:numId w:val="0"/>
        </w:numPr>
        <w:kinsoku/>
        <w:wordWrap/>
        <w:overflowPunct/>
        <w:topLinePunct w:val="0"/>
        <w:autoSpaceDE/>
        <w:autoSpaceDN/>
        <w:bidi w:val="0"/>
        <w:adjustRightInd/>
        <w:snapToGrid w:val="0"/>
        <w:spacing w:before="157" w:beforeLines="50" w:after="157" w:afterLines="50" w:line="360" w:lineRule="atLeast"/>
        <w:ind w:leftChars="200"/>
        <w:textAlignment w:val="auto"/>
        <w:rPr>
          <w:rFonts w:hint="eastAsia" w:ascii="宋体" w:hAnsi="宋体" w:eastAsia="宋体" w:cs="宋体"/>
          <w:b/>
          <w:bCs/>
          <w:color w:val="000000"/>
          <w:kern w:val="0"/>
          <w:sz w:val="28"/>
          <w:szCs w:val="28"/>
          <w:lang w:val="en-US" w:eastAsia="zh-CN" w:bidi="ar"/>
        </w:rPr>
      </w:pPr>
      <w:r>
        <w:rPr>
          <w:rFonts w:hint="eastAsia" w:ascii="宋体" w:hAnsi="宋体" w:eastAsia="宋体" w:cs="宋体"/>
          <w:b/>
          <w:bCs/>
          <w:color w:val="000000"/>
          <w:kern w:val="0"/>
          <w:sz w:val="28"/>
          <w:szCs w:val="28"/>
          <w:lang w:val="en-US" w:eastAsia="zh-CN" w:bidi="ar"/>
        </w:rPr>
        <w:t>2.商务要求</w:t>
      </w:r>
    </w:p>
    <w:p>
      <w:pPr>
        <w:keepNext w:val="0"/>
        <w:keepLines w:val="0"/>
        <w:pageBreakBefore w:val="0"/>
        <w:numPr>
          <w:ilvl w:val="0"/>
          <w:numId w:val="1"/>
        </w:numPr>
        <w:kinsoku/>
        <w:wordWrap/>
        <w:overflowPunct/>
        <w:topLinePunct w:val="0"/>
        <w:autoSpaceDE/>
        <w:autoSpaceDN/>
        <w:bidi w:val="0"/>
        <w:adjustRightInd/>
        <w:snapToGrid/>
        <w:spacing w:line="340" w:lineRule="atLeast"/>
        <w:ind w:firstLine="480" w:firstLineChars="200"/>
        <w:jc w:val="both"/>
        <w:rPr>
          <w:rFonts w:hint="eastAsia" w:ascii="Times New Roman" w:hAnsi="Times New Roman" w:eastAsia="宋体" w:cs="Times New Roman"/>
          <w:kern w:val="2"/>
          <w:sz w:val="24"/>
          <w:szCs w:val="24"/>
          <w:lang w:val="en-US" w:eastAsia="zh-CN" w:bidi="ar-SA"/>
        </w:rPr>
      </w:pPr>
      <w:r>
        <w:rPr>
          <w:rFonts w:hint="eastAsia" w:ascii="Times New Roman" w:hAnsi="Times New Roman" w:eastAsia="宋体" w:cs="Times New Roman"/>
          <w:kern w:val="2"/>
          <w:sz w:val="24"/>
          <w:szCs w:val="24"/>
          <w:lang w:val="en-US" w:eastAsia="zh-CN" w:bidi="ar-SA"/>
        </w:rPr>
        <w:t>质量要求：</w:t>
      </w:r>
      <w:bookmarkStart w:id="0" w:name="_GoBack"/>
      <w:bookmarkEnd w:id="0"/>
    </w:p>
    <w:p>
      <w:pPr>
        <w:keepNext w:val="0"/>
        <w:keepLines w:val="0"/>
        <w:pageBreakBefore w:val="0"/>
        <w:numPr>
          <w:ilvl w:val="0"/>
          <w:numId w:val="0"/>
        </w:numPr>
        <w:kinsoku/>
        <w:wordWrap/>
        <w:overflowPunct/>
        <w:topLinePunct w:val="0"/>
        <w:autoSpaceDE/>
        <w:autoSpaceDN/>
        <w:bidi w:val="0"/>
        <w:adjustRightInd/>
        <w:snapToGrid/>
        <w:spacing w:line="340" w:lineRule="atLeast"/>
        <w:ind w:firstLine="480" w:firstLineChars="200"/>
        <w:jc w:val="both"/>
        <w:rPr>
          <w:rFonts w:hint="eastAsia" w:ascii="Times New Roman" w:hAnsi="Times New Roman" w:eastAsia="宋体" w:cs="Times New Roman"/>
          <w:kern w:val="2"/>
          <w:sz w:val="24"/>
          <w:szCs w:val="24"/>
          <w:lang w:val="en-US" w:eastAsia="zh-CN" w:bidi="ar-SA"/>
        </w:rPr>
      </w:pPr>
      <w:r>
        <w:rPr>
          <w:rFonts w:hint="eastAsia" w:ascii="Times New Roman" w:hAnsi="Times New Roman" w:eastAsia="宋体" w:cs="Times New Roman"/>
          <w:kern w:val="2"/>
          <w:sz w:val="24"/>
          <w:szCs w:val="24"/>
          <w:lang w:val="en-US" w:eastAsia="zh-CN" w:bidi="ar-SA"/>
        </w:rPr>
        <w:t>采购产品为格力(GREE)空调，需全新（2024年</w:t>
      </w:r>
      <w:r>
        <w:rPr>
          <w:rFonts w:hint="eastAsia" w:cs="Times New Roman"/>
          <w:kern w:val="2"/>
          <w:sz w:val="24"/>
          <w:szCs w:val="24"/>
          <w:lang w:val="en-US" w:eastAsia="zh-CN" w:bidi="ar-SA"/>
        </w:rPr>
        <w:t>10</w:t>
      </w:r>
      <w:r>
        <w:rPr>
          <w:rFonts w:hint="eastAsia" w:ascii="Times New Roman" w:hAnsi="Times New Roman" w:eastAsia="宋体" w:cs="Times New Roman"/>
          <w:kern w:val="2"/>
          <w:sz w:val="24"/>
          <w:szCs w:val="24"/>
          <w:lang w:val="en-US" w:eastAsia="zh-CN" w:bidi="ar-SA"/>
        </w:rPr>
        <w:t>月1日以后生产）的符合国家技术规格和质量标准的原装正品合格产品。产品未曾开箱使用，包含所有官方原厂配件、保修卡、说明书等。</w:t>
      </w:r>
    </w:p>
    <w:p>
      <w:pPr>
        <w:pStyle w:val="2"/>
        <w:keepNext w:val="0"/>
        <w:keepLines w:val="0"/>
        <w:pageBreakBefore w:val="0"/>
        <w:numPr>
          <w:ilvl w:val="0"/>
          <w:numId w:val="0"/>
        </w:numPr>
        <w:kinsoku/>
        <w:wordWrap/>
        <w:overflowPunct/>
        <w:topLinePunct w:val="0"/>
        <w:autoSpaceDE/>
        <w:autoSpaceDN/>
        <w:bidi w:val="0"/>
        <w:adjustRightInd w:val="0"/>
        <w:snapToGrid w:val="0"/>
        <w:spacing w:after="0" w:line="300" w:lineRule="atLeast"/>
        <w:ind w:leftChars="0" w:firstLine="480" w:firstLineChars="200"/>
        <w:jc w:val="left"/>
        <w:rPr>
          <w:rFonts w:hint="eastAsia" w:ascii="宋体" w:hAnsi="宋体" w:eastAsia="宋体" w:cs="宋体"/>
          <w:b w:val="0"/>
          <w:bCs w:val="0"/>
          <w:kern w:val="2"/>
          <w:sz w:val="24"/>
          <w:szCs w:val="24"/>
          <w:lang w:val="en-US" w:eastAsia="zh-CN" w:bidi="ar-SA"/>
        </w:rPr>
      </w:pPr>
      <w:r>
        <w:rPr>
          <w:rFonts w:hint="eastAsia" w:ascii="宋体" w:hAnsi="宋体" w:cs="宋体"/>
          <w:b w:val="0"/>
          <w:bCs w:val="0"/>
          <w:kern w:val="2"/>
          <w:sz w:val="24"/>
          <w:szCs w:val="24"/>
          <w:lang w:val="en-US" w:eastAsia="zh-CN" w:bidi="ar-SA"/>
        </w:rPr>
        <w:t>二、</w:t>
      </w:r>
      <w:r>
        <w:rPr>
          <w:rFonts w:hint="eastAsia" w:ascii="宋体" w:hAnsi="宋体" w:eastAsia="宋体" w:cs="宋体"/>
          <w:b w:val="0"/>
          <w:bCs w:val="0"/>
          <w:kern w:val="2"/>
          <w:sz w:val="24"/>
          <w:szCs w:val="24"/>
          <w:lang w:val="en-US" w:eastAsia="zh-CN" w:bidi="ar-SA"/>
        </w:rPr>
        <w:t>安装要求：</w:t>
      </w:r>
    </w:p>
    <w:p>
      <w:pPr>
        <w:pStyle w:val="2"/>
        <w:keepNext w:val="0"/>
        <w:keepLines w:val="0"/>
        <w:pageBreakBefore w:val="0"/>
        <w:numPr>
          <w:ilvl w:val="0"/>
          <w:numId w:val="0"/>
        </w:numPr>
        <w:kinsoku/>
        <w:wordWrap/>
        <w:overflowPunct/>
        <w:topLinePunct w:val="0"/>
        <w:autoSpaceDE/>
        <w:autoSpaceDN/>
        <w:bidi w:val="0"/>
        <w:adjustRightInd w:val="0"/>
        <w:snapToGrid w:val="0"/>
        <w:spacing w:after="0" w:line="300" w:lineRule="atLeast"/>
        <w:ind w:firstLine="480" w:firstLineChars="200"/>
        <w:jc w:val="left"/>
        <w:rPr>
          <w:rFonts w:hint="eastAsia" w:ascii="宋体" w:hAnsi="宋体" w:eastAsia="宋体" w:cs="宋体"/>
          <w:b w:val="0"/>
          <w:bCs w:val="0"/>
          <w:kern w:val="2"/>
          <w:sz w:val="24"/>
          <w:szCs w:val="24"/>
          <w:lang w:val="en-US" w:eastAsia="zh-CN" w:bidi="ar-SA"/>
        </w:rPr>
      </w:pPr>
      <w:r>
        <w:rPr>
          <w:rFonts w:hint="eastAsia" w:ascii="宋体" w:hAnsi="宋体" w:eastAsia="宋体" w:cs="宋体"/>
          <w:b w:val="0"/>
          <w:bCs w:val="0"/>
          <w:kern w:val="2"/>
          <w:sz w:val="24"/>
          <w:szCs w:val="24"/>
          <w:lang w:val="en-US" w:eastAsia="zh-CN" w:bidi="ar-SA"/>
        </w:rPr>
        <w:t>1、本空调安装包含材料、人工费，部分空调需要支架或另外加长铜管（预计</w:t>
      </w:r>
      <w:r>
        <w:rPr>
          <w:rFonts w:hint="eastAsia" w:ascii="宋体" w:hAnsi="宋体" w:cs="宋体"/>
          <w:b w:val="0"/>
          <w:bCs w:val="0"/>
          <w:kern w:val="2"/>
          <w:sz w:val="24"/>
          <w:szCs w:val="24"/>
          <w:lang w:val="en-US" w:eastAsia="zh-CN" w:bidi="ar-SA"/>
        </w:rPr>
        <w:t>5</w:t>
      </w:r>
      <w:r>
        <w:rPr>
          <w:rFonts w:hint="eastAsia" w:ascii="宋体" w:hAnsi="宋体" w:eastAsia="宋体" w:cs="宋体"/>
          <w:b w:val="0"/>
          <w:bCs w:val="0"/>
          <w:kern w:val="2"/>
          <w:sz w:val="24"/>
          <w:szCs w:val="24"/>
          <w:lang w:val="en-US" w:eastAsia="zh-CN" w:bidi="ar-SA"/>
        </w:rPr>
        <w:t>米左右）与水管。中标人应根据招标产品要求配置齐全，自行实地踏勘（联系人</w:t>
      </w:r>
      <w:r>
        <w:rPr>
          <w:rFonts w:hint="eastAsia" w:ascii="宋体" w:hAnsi="宋体" w:cs="宋体"/>
          <w:b w:val="0"/>
          <w:bCs w:val="0"/>
          <w:kern w:val="2"/>
          <w:sz w:val="24"/>
          <w:szCs w:val="24"/>
          <w:lang w:val="en-US" w:eastAsia="zh-CN" w:bidi="ar-SA"/>
        </w:rPr>
        <w:t>斯</w:t>
      </w:r>
      <w:r>
        <w:rPr>
          <w:rFonts w:hint="eastAsia" w:ascii="宋体" w:hAnsi="宋体" w:eastAsia="宋体" w:cs="宋体"/>
          <w:b w:val="0"/>
          <w:bCs w:val="0"/>
          <w:kern w:val="2"/>
          <w:sz w:val="24"/>
          <w:szCs w:val="24"/>
          <w:lang w:val="en-US" w:eastAsia="zh-CN" w:bidi="ar-SA"/>
        </w:rPr>
        <w:t>老师：13</w:t>
      </w:r>
      <w:r>
        <w:rPr>
          <w:rFonts w:hint="eastAsia" w:ascii="宋体" w:hAnsi="宋体" w:cs="宋体"/>
          <w:b w:val="0"/>
          <w:bCs w:val="0"/>
          <w:kern w:val="2"/>
          <w:sz w:val="24"/>
          <w:szCs w:val="24"/>
          <w:lang w:val="en-US" w:eastAsia="zh-CN" w:bidi="ar-SA"/>
        </w:rPr>
        <w:t>758574367</w:t>
      </w:r>
      <w:r>
        <w:rPr>
          <w:rFonts w:hint="eastAsia" w:ascii="宋体" w:hAnsi="宋体" w:eastAsia="宋体" w:cs="宋体"/>
          <w:b w:val="0"/>
          <w:bCs w:val="0"/>
          <w:kern w:val="2"/>
          <w:sz w:val="24"/>
          <w:szCs w:val="24"/>
          <w:lang w:val="en-US" w:eastAsia="zh-CN" w:bidi="ar-SA"/>
        </w:rPr>
        <w:t>），测算报价，以上费用包含在投标总报价内。</w:t>
      </w:r>
    </w:p>
    <w:p>
      <w:pPr>
        <w:pStyle w:val="2"/>
        <w:keepNext w:val="0"/>
        <w:keepLines w:val="0"/>
        <w:pageBreakBefore w:val="0"/>
        <w:numPr>
          <w:ilvl w:val="0"/>
          <w:numId w:val="0"/>
        </w:numPr>
        <w:kinsoku/>
        <w:wordWrap/>
        <w:overflowPunct/>
        <w:topLinePunct w:val="0"/>
        <w:autoSpaceDE/>
        <w:autoSpaceDN/>
        <w:bidi w:val="0"/>
        <w:adjustRightInd w:val="0"/>
        <w:snapToGrid w:val="0"/>
        <w:spacing w:after="0" w:line="300" w:lineRule="atLeast"/>
        <w:ind w:firstLine="480" w:firstLineChars="200"/>
        <w:jc w:val="left"/>
        <w:rPr>
          <w:rFonts w:hint="eastAsia" w:ascii="宋体" w:hAnsi="宋体" w:eastAsia="宋体" w:cs="宋体"/>
          <w:b w:val="0"/>
          <w:bCs w:val="0"/>
          <w:kern w:val="2"/>
          <w:sz w:val="24"/>
          <w:szCs w:val="24"/>
          <w:lang w:val="en-US" w:eastAsia="zh-CN" w:bidi="ar-SA"/>
        </w:rPr>
      </w:pPr>
      <w:r>
        <w:rPr>
          <w:rFonts w:hint="eastAsia" w:ascii="宋体" w:hAnsi="宋体" w:eastAsia="宋体" w:cs="宋体"/>
          <w:b w:val="0"/>
          <w:bCs w:val="0"/>
          <w:kern w:val="2"/>
          <w:sz w:val="24"/>
          <w:szCs w:val="24"/>
          <w:lang w:val="en-US" w:eastAsia="zh-CN" w:bidi="ar-SA"/>
        </w:rPr>
        <w:t>2、包安装，安装明细工程量费用一次性包干。投标人自行测算报价，以上费用包含在投标总报价内。</w:t>
      </w:r>
    </w:p>
    <w:p>
      <w:pPr>
        <w:pStyle w:val="2"/>
        <w:keepNext w:val="0"/>
        <w:keepLines w:val="0"/>
        <w:pageBreakBefore w:val="0"/>
        <w:numPr>
          <w:ilvl w:val="0"/>
          <w:numId w:val="0"/>
        </w:numPr>
        <w:kinsoku/>
        <w:wordWrap/>
        <w:overflowPunct/>
        <w:topLinePunct w:val="0"/>
        <w:autoSpaceDE/>
        <w:autoSpaceDN/>
        <w:bidi w:val="0"/>
        <w:adjustRightInd w:val="0"/>
        <w:snapToGrid w:val="0"/>
        <w:spacing w:after="0" w:line="300" w:lineRule="atLeast"/>
        <w:ind w:leftChars="0" w:firstLine="480" w:firstLineChars="200"/>
        <w:jc w:val="left"/>
        <w:rPr>
          <w:rFonts w:hint="eastAsia" w:ascii="宋体" w:hAnsi="宋体" w:eastAsia="宋体" w:cs="宋体"/>
          <w:b w:val="0"/>
          <w:bCs w:val="0"/>
          <w:kern w:val="2"/>
          <w:sz w:val="24"/>
          <w:szCs w:val="24"/>
          <w:lang w:val="en-US" w:eastAsia="zh-CN" w:bidi="ar-SA"/>
        </w:rPr>
      </w:pPr>
      <w:r>
        <w:rPr>
          <w:rFonts w:hint="eastAsia" w:ascii="宋体" w:hAnsi="宋体" w:cs="宋体"/>
          <w:b w:val="0"/>
          <w:bCs w:val="0"/>
          <w:kern w:val="2"/>
          <w:sz w:val="24"/>
          <w:szCs w:val="24"/>
          <w:lang w:val="en-US" w:eastAsia="zh-CN" w:bidi="ar-SA"/>
        </w:rPr>
        <w:t>三、</w:t>
      </w:r>
      <w:r>
        <w:rPr>
          <w:rFonts w:hint="eastAsia" w:ascii="宋体" w:hAnsi="宋体" w:eastAsia="宋体" w:cs="宋体"/>
          <w:b w:val="0"/>
          <w:bCs w:val="0"/>
          <w:kern w:val="2"/>
          <w:sz w:val="24"/>
          <w:szCs w:val="24"/>
          <w:lang w:val="en-US" w:eastAsia="zh-CN" w:bidi="ar-SA"/>
        </w:rPr>
        <w:t>供货方式：</w:t>
      </w:r>
    </w:p>
    <w:p>
      <w:pPr>
        <w:pStyle w:val="2"/>
        <w:keepNext w:val="0"/>
        <w:keepLines w:val="0"/>
        <w:pageBreakBefore w:val="0"/>
        <w:numPr>
          <w:ilvl w:val="0"/>
          <w:numId w:val="0"/>
        </w:numPr>
        <w:kinsoku/>
        <w:wordWrap/>
        <w:overflowPunct/>
        <w:topLinePunct w:val="0"/>
        <w:autoSpaceDE/>
        <w:autoSpaceDN/>
        <w:bidi w:val="0"/>
        <w:adjustRightInd w:val="0"/>
        <w:snapToGrid w:val="0"/>
        <w:spacing w:after="0" w:line="300" w:lineRule="atLeast"/>
        <w:ind w:leftChars="0" w:firstLine="480" w:firstLineChars="200"/>
        <w:jc w:val="left"/>
        <w:rPr>
          <w:rFonts w:hint="eastAsia" w:ascii="宋体" w:hAnsi="宋体" w:eastAsia="宋体" w:cs="宋体"/>
          <w:b w:val="0"/>
          <w:bCs w:val="0"/>
          <w:kern w:val="2"/>
          <w:sz w:val="24"/>
          <w:szCs w:val="24"/>
          <w:lang w:val="en-US" w:eastAsia="zh-CN" w:bidi="ar-SA"/>
        </w:rPr>
      </w:pPr>
      <w:r>
        <w:rPr>
          <w:rFonts w:hint="eastAsia" w:ascii="宋体" w:hAnsi="宋体" w:eastAsia="宋体" w:cs="宋体"/>
          <w:b w:val="0"/>
          <w:bCs w:val="0"/>
          <w:kern w:val="2"/>
          <w:sz w:val="24"/>
          <w:szCs w:val="24"/>
          <w:lang w:val="en-US" w:eastAsia="zh-CN" w:bidi="ar-SA"/>
        </w:rPr>
        <w:t>中标人在中标确认后5个工作日内，安排专人负责免费供货到采购人指定位置。按照采购人要求及时把空调安装调试完毕。</w:t>
      </w:r>
    </w:p>
    <w:p>
      <w:pPr>
        <w:pStyle w:val="2"/>
        <w:keepNext w:val="0"/>
        <w:keepLines w:val="0"/>
        <w:pageBreakBefore w:val="0"/>
        <w:numPr>
          <w:ilvl w:val="0"/>
          <w:numId w:val="0"/>
        </w:numPr>
        <w:kinsoku/>
        <w:wordWrap/>
        <w:overflowPunct/>
        <w:topLinePunct w:val="0"/>
        <w:autoSpaceDE/>
        <w:autoSpaceDN/>
        <w:bidi w:val="0"/>
        <w:adjustRightInd w:val="0"/>
        <w:snapToGrid w:val="0"/>
        <w:spacing w:after="0" w:line="300" w:lineRule="atLeast"/>
        <w:ind w:leftChars="0" w:firstLine="480" w:firstLineChars="200"/>
        <w:jc w:val="left"/>
        <w:rPr>
          <w:rFonts w:hint="eastAsia" w:ascii="宋体" w:hAnsi="宋体" w:eastAsia="宋体" w:cs="宋体"/>
          <w:b w:val="0"/>
          <w:bCs w:val="0"/>
          <w:kern w:val="2"/>
          <w:sz w:val="24"/>
          <w:szCs w:val="24"/>
          <w:lang w:val="en-US" w:eastAsia="zh-CN" w:bidi="ar-SA"/>
        </w:rPr>
      </w:pPr>
      <w:r>
        <w:rPr>
          <w:rFonts w:hint="eastAsia" w:ascii="宋体" w:hAnsi="宋体" w:cs="宋体"/>
          <w:b w:val="0"/>
          <w:bCs w:val="0"/>
          <w:kern w:val="2"/>
          <w:sz w:val="24"/>
          <w:szCs w:val="24"/>
          <w:lang w:val="en-US" w:eastAsia="zh-CN" w:bidi="ar-SA"/>
        </w:rPr>
        <w:t>四、</w:t>
      </w:r>
      <w:r>
        <w:rPr>
          <w:rFonts w:hint="eastAsia" w:ascii="宋体" w:hAnsi="宋体" w:eastAsia="宋体" w:cs="宋体"/>
          <w:b w:val="0"/>
          <w:bCs w:val="0"/>
          <w:kern w:val="2"/>
          <w:sz w:val="24"/>
          <w:szCs w:val="24"/>
          <w:lang w:val="en-US" w:eastAsia="zh-CN" w:bidi="ar-SA"/>
        </w:rPr>
        <w:t>质保时间：</w:t>
      </w:r>
    </w:p>
    <w:p>
      <w:pPr>
        <w:pStyle w:val="2"/>
        <w:keepNext w:val="0"/>
        <w:keepLines w:val="0"/>
        <w:pageBreakBefore w:val="0"/>
        <w:numPr>
          <w:ilvl w:val="0"/>
          <w:numId w:val="0"/>
        </w:numPr>
        <w:kinsoku/>
        <w:wordWrap/>
        <w:overflowPunct/>
        <w:topLinePunct w:val="0"/>
        <w:autoSpaceDE/>
        <w:autoSpaceDN/>
        <w:bidi w:val="0"/>
        <w:adjustRightInd w:val="0"/>
        <w:snapToGrid w:val="0"/>
        <w:spacing w:after="0" w:line="300" w:lineRule="atLeast"/>
        <w:ind w:leftChars="0" w:firstLine="480" w:firstLineChars="200"/>
        <w:jc w:val="left"/>
        <w:rPr>
          <w:rFonts w:hint="eastAsia" w:ascii="宋体" w:hAnsi="宋体" w:eastAsia="宋体" w:cs="宋体"/>
          <w:b w:val="0"/>
          <w:bCs w:val="0"/>
          <w:kern w:val="2"/>
          <w:sz w:val="24"/>
          <w:szCs w:val="24"/>
          <w:lang w:val="en-US" w:eastAsia="zh-CN" w:bidi="ar-SA"/>
        </w:rPr>
      </w:pPr>
      <w:r>
        <w:rPr>
          <w:rFonts w:hint="eastAsia" w:ascii="宋体" w:hAnsi="宋体" w:eastAsia="宋体" w:cs="宋体"/>
          <w:b w:val="0"/>
          <w:bCs w:val="0"/>
          <w:kern w:val="2"/>
          <w:sz w:val="24"/>
          <w:szCs w:val="24"/>
          <w:lang w:val="en-US" w:eastAsia="zh-CN" w:bidi="ar-SA"/>
        </w:rPr>
        <w:t>产品质保期要求≥6年（如原厂质保期长于本项目质保期，则按原厂质保期执行），自产品验收合格之日起计。</w:t>
      </w:r>
    </w:p>
    <w:p>
      <w:pPr>
        <w:pStyle w:val="2"/>
        <w:keepNext w:val="0"/>
        <w:keepLines w:val="0"/>
        <w:pageBreakBefore w:val="0"/>
        <w:numPr>
          <w:ilvl w:val="0"/>
          <w:numId w:val="0"/>
        </w:numPr>
        <w:kinsoku/>
        <w:wordWrap/>
        <w:overflowPunct/>
        <w:topLinePunct w:val="0"/>
        <w:autoSpaceDE/>
        <w:autoSpaceDN/>
        <w:bidi w:val="0"/>
        <w:adjustRightInd w:val="0"/>
        <w:snapToGrid w:val="0"/>
        <w:spacing w:after="0" w:line="300" w:lineRule="atLeast"/>
        <w:ind w:firstLine="480" w:firstLineChars="200"/>
        <w:jc w:val="left"/>
        <w:rPr>
          <w:rFonts w:hint="eastAsia" w:ascii="宋体" w:hAnsi="宋体" w:eastAsia="宋体" w:cs="宋体"/>
          <w:b w:val="0"/>
          <w:bCs w:val="0"/>
          <w:kern w:val="2"/>
          <w:sz w:val="24"/>
          <w:szCs w:val="24"/>
          <w:lang w:val="en-US" w:eastAsia="zh-CN" w:bidi="ar-SA"/>
        </w:rPr>
      </w:pPr>
      <w:r>
        <w:rPr>
          <w:rFonts w:hint="eastAsia" w:ascii="宋体" w:hAnsi="宋体" w:eastAsia="宋体" w:cs="宋体"/>
          <w:b w:val="0"/>
          <w:bCs w:val="0"/>
          <w:kern w:val="2"/>
          <w:sz w:val="24"/>
          <w:szCs w:val="24"/>
          <w:lang w:val="en-US" w:eastAsia="zh-CN" w:bidi="ar-SA"/>
        </w:rPr>
        <w:t>五、售后服务要求：</w:t>
      </w:r>
    </w:p>
    <w:p>
      <w:pPr>
        <w:pStyle w:val="2"/>
        <w:keepNext w:val="0"/>
        <w:keepLines w:val="0"/>
        <w:pageBreakBefore w:val="0"/>
        <w:numPr>
          <w:ilvl w:val="0"/>
          <w:numId w:val="0"/>
        </w:numPr>
        <w:kinsoku/>
        <w:wordWrap/>
        <w:overflowPunct/>
        <w:topLinePunct w:val="0"/>
        <w:autoSpaceDE/>
        <w:autoSpaceDN/>
        <w:bidi w:val="0"/>
        <w:adjustRightInd w:val="0"/>
        <w:snapToGrid w:val="0"/>
        <w:spacing w:after="0" w:line="300" w:lineRule="atLeast"/>
        <w:ind w:firstLine="480" w:firstLineChars="200"/>
        <w:jc w:val="left"/>
        <w:rPr>
          <w:rFonts w:hint="eastAsia" w:ascii="宋体" w:hAnsi="宋体" w:eastAsia="宋体" w:cs="宋体"/>
          <w:b w:val="0"/>
          <w:bCs w:val="0"/>
          <w:kern w:val="2"/>
          <w:sz w:val="24"/>
          <w:szCs w:val="24"/>
          <w:lang w:val="en-US" w:eastAsia="zh-CN" w:bidi="ar-SA"/>
        </w:rPr>
      </w:pPr>
      <w:r>
        <w:rPr>
          <w:rFonts w:hint="eastAsia" w:ascii="宋体" w:hAnsi="宋体" w:eastAsia="宋体" w:cs="宋体"/>
          <w:b w:val="0"/>
          <w:bCs w:val="0"/>
          <w:kern w:val="2"/>
          <w:sz w:val="24"/>
          <w:szCs w:val="24"/>
          <w:lang w:val="en-US" w:eastAsia="zh-CN" w:bidi="ar-SA"/>
        </w:rPr>
        <w:t>1、产品安装应有原厂商及中标人派专业人员进行现场安装调试， 安装应符合国家及行业相关规范、标准。</w:t>
      </w:r>
    </w:p>
    <w:p>
      <w:pPr>
        <w:pStyle w:val="2"/>
        <w:keepNext w:val="0"/>
        <w:keepLines w:val="0"/>
        <w:pageBreakBefore w:val="0"/>
        <w:numPr>
          <w:ilvl w:val="0"/>
          <w:numId w:val="0"/>
        </w:numPr>
        <w:kinsoku/>
        <w:wordWrap/>
        <w:overflowPunct/>
        <w:topLinePunct w:val="0"/>
        <w:autoSpaceDE/>
        <w:autoSpaceDN/>
        <w:bidi w:val="0"/>
        <w:adjustRightInd w:val="0"/>
        <w:snapToGrid w:val="0"/>
        <w:spacing w:after="0" w:line="300" w:lineRule="atLeast"/>
        <w:ind w:firstLine="480" w:firstLineChars="200"/>
        <w:jc w:val="left"/>
        <w:rPr>
          <w:rFonts w:hint="eastAsia" w:ascii="宋体" w:hAnsi="宋体" w:eastAsia="宋体" w:cs="宋体"/>
          <w:b w:val="0"/>
          <w:bCs w:val="0"/>
          <w:kern w:val="2"/>
          <w:sz w:val="24"/>
          <w:szCs w:val="24"/>
          <w:lang w:val="en-US" w:eastAsia="zh-CN" w:bidi="ar-SA"/>
        </w:rPr>
      </w:pPr>
      <w:r>
        <w:rPr>
          <w:rFonts w:hint="eastAsia" w:ascii="宋体" w:hAnsi="宋体" w:eastAsia="宋体" w:cs="宋体"/>
          <w:b w:val="0"/>
          <w:bCs w:val="0"/>
          <w:kern w:val="2"/>
          <w:sz w:val="24"/>
          <w:szCs w:val="24"/>
          <w:lang w:val="en-US" w:eastAsia="zh-CN" w:bidi="ar-SA"/>
        </w:rPr>
        <w:t>2、所供的产品质量、运输、包装、验收均需符合国家技术规范和质量标准。</w:t>
      </w:r>
    </w:p>
    <w:p>
      <w:pPr>
        <w:pStyle w:val="2"/>
        <w:keepNext w:val="0"/>
        <w:keepLines w:val="0"/>
        <w:pageBreakBefore w:val="0"/>
        <w:numPr>
          <w:ilvl w:val="0"/>
          <w:numId w:val="0"/>
        </w:numPr>
        <w:kinsoku/>
        <w:wordWrap/>
        <w:overflowPunct/>
        <w:topLinePunct w:val="0"/>
        <w:autoSpaceDE/>
        <w:autoSpaceDN/>
        <w:bidi w:val="0"/>
        <w:adjustRightInd w:val="0"/>
        <w:snapToGrid w:val="0"/>
        <w:spacing w:after="0" w:line="300" w:lineRule="atLeast"/>
        <w:ind w:firstLine="480" w:firstLineChars="200"/>
        <w:jc w:val="left"/>
        <w:rPr>
          <w:rFonts w:hint="eastAsia" w:ascii="宋体" w:hAnsi="宋体" w:eastAsia="宋体" w:cs="宋体"/>
          <w:b w:val="0"/>
          <w:bCs w:val="0"/>
          <w:kern w:val="2"/>
          <w:sz w:val="24"/>
          <w:szCs w:val="24"/>
          <w:lang w:val="en-US" w:eastAsia="zh-CN" w:bidi="ar-SA"/>
        </w:rPr>
      </w:pPr>
      <w:r>
        <w:rPr>
          <w:rFonts w:hint="eastAsia" w:ascii="宋体" w:hAnsi="宋体" w:eastAsia="宋体" w:cs="宋体"/>
          <w:b w:val="0"/>
          <w:bCs w:val="0"/>
          <w:kern w:val="2"/>
          <w:sz w:val="24"/>
          <w:szCs w:val="24"/>
          <w:lang w:val="en-US" w:eastAsia="zh-CN" w:bidi="ar-SA"/>
        </w:rPr>
        <w:t>3、维修点的设置需便于处理所有的维修服务，提供 24 小时服务，维修人员需在接到维修电话后2小时内赶到现场，</w:t>
      </w:r>
      <w:r>
        <w:rPr>
          <w:rFonts w:hint="eastAsia" w:ascii="宋体" w:hAnsi="宋体" w:cs="宋体"/>
          <w:b w:val="0"/>
          <w:bCs w:val="0"/>
          <w:kern w:val="2"/>
          <w:sz w:val="24"/>
          <w:szCs w:val="24"/>
          <w:lang w:val="en-US" w:eastAsia="zh-CN" w:bidi="ar-SA"/>
        </w:rPr>
        <w:t>一般情况</w:t>
      </w:r>
      <w:r>
        <w:rPr>
          <w:rFonts w:hint="eastAsia" w:ascii="宋体" w:hAnsi="宋体" w:eastAsia="宋体" w:cs="宋体"/>
          <w:b w:val="0"/>
          <w:bCs w:val="0"/>
          <w:kern w:val="2"/>
          <w:sz w:val="24"/>
          <w:szCs w:val="24"/>
          <w:lang w:val="en-US" w:eastAsia="zh-CN" w:bidi="ar-SA"/>
        </w:rPr>
        <w:t xml:space="preserve">24 小时内解决问题，以保证空调的正常工作。维修过程中所需零配件中标人在接到通知后应及时提供，并最长不超过2天（特殊设备另行说明）必须送达用户。 </w:t>
      </w:r>
    </w:p>
    <w:p>
      <w:pPr>
        <w:pStyle w:val="2"/>
        <w:keepNext w:val="0"/>
        <w:keepLines w:val="0"/>
        <w:pageBreakBefore w:val="0"/>
        <w:numPr>
          <w:ilvl w:val="0"/>
          <w:numId w:val="0"/>
        </w:numPr>
        <w:kinsoku/>
        <w:wordWrap/>
        <w:overflowPunct/>
        <w:topLinePunct w:val="0"/>
        <w:autoSpaceDE/>
        <w:autoSpaceDN/>
        <w:bidi w:val="0"/>
        <w:adjustRightInd w:val="0"/>
        <w:snapToGrid w:val="0"/>
        <w:spacing w:after="0" w:line="300" w:lineRule="atLeast"/>
        <w:ind w:firstLine="480" w:firstLineChars="200"/>
        <w:jc w:val="left"/>
        <w:rPr>
          <w:rFonts w:hint="eastAsia" w:ascii="宋体" w:hAnsi="宋体" w:eastAsia="宋体" w:cs="宋体"/>
          <w:b w:val="0"/>
          <w:bCs w:val="0"/>
          <w:kern w:val="2"/>
          <w:sz w:val="24"/>
          <w:szCs w:val="24"/>
          <w:lang w:val="en-US" w:eastAsia="zh-CN" w:bidi="ar-SA"/>
        </w:rPr>
      </w:pPr>
      <w:r>
        <w:rPr>
          <w:rFonts w:hint="eastAsia" w:ascii="宋体" w:hAnsi="宋体" w:eastAsia="宋体" w:cs="宋体"/>
          <w:b w:val="0"/>
          <w:bCs w:val="0"/>
          <w:kern w:val="2"/>
          <w:sz w:val="24"/>
          <w:szCs w:val="24"/>
          <w:lang w:val="en-US" w:eastAsia="zh-CN" w:bidi="ar-SA"/>
        </w:rPr>
        <w:t>4、中标人须对合同中规定的所有产品，提供经调试、试运行、验收合格后质保期内免费维修，质保期后提供终身维修（免人工维修费）。质保期内因不能排除的故障而影响使用的情况每发生一次，其质保期相应延长 60 天，质保期内因设备本身缺陷造成各种故障应由中标人免费技术服务和维修。</w:t>
      </w:r>
    </w:p>
    <w:p>
      <w:pPr>
        <w:pStyle w:val="2"/>
        <w:keepNext w:val="0"/>
        <w:keepLines w:val="0"/>
        <w:pageBreakBefore w:val="0"/>
        <w:numPr>
          <w:ilvl w:val="0"/>
          <w:numId w:val="0"/>
        </w:numPr>
        <w:kinsoku/>
        <w:wordWrap/>
        <w:overflowPunct/>
        <w:topLinePunct w:val="0"/>
        <w:autoSpaceDE/>
        <w:autoSpaceDN/>
        <w:bidi w:val="0"/>
        <w:adjustRightInd w:val="0"/>
        <w:snapToGrid w:val="0"/>
        <w:spacing w:after="0" w:line="300" w:lineRule="atLeast"/>
        <w:ind w:firstLine="480" w:firstLineChars="200"/>
        <w:jc w:val="left"/>
        <w:rPr>
          <w:rFonts w:hint="eastAsia" w:ascii="宋体" w:hAnsi="宋体" w:eastAsia="宋体" w:cs="宋体"/>
          <w:b w:val="0"/>
          <w:bCs w:val="0"/>
          <w:kern w:val="2"/>
          <w:sz w:val="24"/>
          <w:szCs w:val="24"/>
          <w:lang w:val="en-US" w:eastAsia="zh-CN" w:bidi="ar-SA"/>
        </w:rPr>
      </w:pPr>
      <w:r>
        <w:rPr>
          <w:rFonts w:hint="eastAsia" w:ascii="宋体" w:hAnsi="宋体" w:eastAsia="宋体" w:cs="宋体"/>
          <w:b w:val="0"/>
          <w:bCs w:val="0"/>
          <w:kern w:val="2"/>
          <w:sz w:val="24"/>
          <w:szCs w:val="24"/>
          <w:lang w:val="en-US" w:eastAsia="zh-CN" w:bidi="ar-SA"/>
        </w:rPr>
        <w:t>5、在质保期内的工作应包括对所有设备常规检查。保修期内，中标人在每一个冷、热期在空调使用初及运行中对系统进行一次总体检测和维护保养。</w:t>
      </w:r>
    </w:p>
    <w:p>
      <w:pPr>
        <w:pStyle w:val="2"/>
        <w:keepNext w:val="0"/>
        <w:keepLines w:val="0"/>
        <w:pageBreakBefore w:val="0"/>
        <w:numPr>
          <w:ilvl w:val="0"/>
          <w:numId w:val="0"/>
        </w:numPr>
        <w:kinsoku/>
        <w:wordWrap/>
        <w:overflowPunct/>
        <w:topLinePunct w:val="0"/>
        <w:autoSpaceDE/>
        <w:autoSpaceDN/>
        <w:bidi w:val="0"/>
        <w:adjustRightInd w:val="0"/>
        <w:snapToGrid w:val="0"/>
        <w:spacing w:after="0" w:line="300" w:lineRule="atLeast"/>
        <w:ind w:firstLine="480" w:firstLineChars="200"/>
        <w:jc w:val="left"/>
        <w:rPr>
          <w:rFonts w:hint="eastAsia" w:ascii="宋体" w:hAnsi="宋体" w:eastAsia="宋体" w:cs="宋体"/>
          <w:b w:val="0"/>
          <w:bCs w:val="0"/>
          <w:kern w:val="2"/>
          <w:sz w:val="24"/>
          <w:szCs w:val="24"/>
          <w:lang w:val="en-US" w:eastAsia="zh-CN" w:bidi="ar-SA"/>
        </w:rPr>
      </w:pPr>
      <w:r>
        <w:rPr>
          <w:rFonts w:hint="eastAsia" w:ascii="宋体" w:hAnsi="宋体" w:eastAsia="宋体" w:cs="宋体"/>
          <w:b w:val="0"/>
          <w:bCs w:val="0"/>
          <w:kern w:val="2"/>
          <w:sz w:val="24"/>
          <w:szCs w:val="24"/>
          <w:lang w:val="en-US" w:eastAsia="zh-CN" w:bidi="ar-SA"/>
        </w:rPr>
        <w:t>6、在质量保证期满时,中标人和采购人代表将对设备进行一次全面测试，直至运行无故障正常运行。任何故障须由中标人自费解决，需取得采购人的认可。</w:t>
      </w:r>
    </w:p>
    <w:p>
      <w:pPr>
        <w:pStyle w:val="8"/>
        <w:keepNext w:val="0"/>
        <w:keepLines w:val="0"/>
        <w:pageBreakBefore w:val="0"/>
        <w:kinsoku/>
        <w:wordWrap/>
        <w:overflowPunct/>
        <w:topLinePunct w:val="0"/>
        <w:autoSpaceDE/>
        <w:autoSpaceDN/>
        <w:bidi w:val="0"/>
        <w:adjustRightInd w:val="0"/>
        <w:snapToGrid w:val="0"/>
        <w:spacing w:line="300" w:lineRule="atLeast"/>
        <w:ind w:firstLine="480" w:firstLineChars="200"/>
        <w:jc w:val="left"/>
        <w:rPr>
          <w:rFonts w:hint="eastAsia" w:ascii="宋体" w:hAnsi="宋体" w:eastAsia="宋体" w:cs="宋体"/>
          <w:b w:val="0"/>
          <w:bCs w:val="0"/>
          <w:kern w:val="2"/>
          <w:sz w:val="24"/>
          <w:szCs w:val="24"/>
          <w:lang w:val="en-US" w:eastAsia="zh-CN" w:bidi="ar-SA"/>
        </w:rPr>
      </w:pPr>
      <w:r>
        <w:rPr>
          <w:rFonts w:hint="eastAsia" w:ascii="宋体" w:hAnsi="宋体" w:eastAsia="宋体" w:cs="宋体"/>
          <w:b w:val="0"/>
          <w:bCs w:val="0"/>
          <w:kern w:val="2"/>
          <w:sz w:val="24"/>
          <w:szCs w:val="24"/>
          <w:lang w:val="en-US" w:eastAsia="zh-CN" w:bidi="ar-SA"/>
        </w:rPr>
        <w:t>六、实质性响应：</w:t>
      </w:r>
    </w:p>
    <w:p>
      <w:pPr>
        <w:pStyle w:val="8"/>
        <w:keepNext w:val="0"/>
        <w:keepLines w:val="0"/>
        <w:pageBreakBefore w:val="0"/>
        <w:kinsoku/>
        <w:wordWrap/>
        <w:overflowPunct/>
        <w:topLinePunct w:val="0"/>
        <w:autoSpaceDE/>
        <w:autoSpaceDN/>
        <w:bidi w:val="0"/>
        <w:adjustRightInd w:val="0"/>
        <w:snapToGrid w:val="0"/>
        <w:spacing w:line="300" w:lineRule="atLeast"/>
        <w:ind w:firstLine="480" w:firstLineChars="200"/>
        <w:jc w:val="left"/>
        <w:rPr>
          <w:rFonts w:hint="eastAsia" w:ascii="宋体" w:hAnsi="宋体" w:eastAsia="宋体" w:cs="宋体"/>
          <w:b w:val="0"/>
          <w:bCs w:val="0"/>
          <w:kern w:val="2"/>
          <w:sz w:val="24"/>
          <w:szCs w:val="24"/>
          <w:lang w:val="en-US" w:eastAsia="zh-CN" w:bidi="ar-SA"/>
        </w:rPr>
      </w:pPr>
      <w:r>
        <w:rPr>
          <w:rFonts w:hint="eastAsia" w:ascii="宋体" w:hAnsi="宋体" w:eastAsia="宋体" w:cs="宋体"/>
          <w:b w:val="0"/>
          <w:bCs w:val="0"/>
          <w:kern w:val="2"/>
          <w:sz w:val="24"/>
          <w:szCs w:val="24"/>
          <w:lang w:val="en-US" w:eastAsia="zh-CN" w:bidi="ar-SA"/>
        </w:rPr>
        <w:t>1、本项目采购的商品，中标人报价应包含空调及安装、货物运输、人员工资、税费、保险等本项目实施完成的相关费用，竞价结束后预成交中标人获得学校对货物质量基本信息认可后再确认成交。</w:t>
      </w:r>
    </w:p>
    <w:p>
      <w:pPr>
        <w:pStyle w:val="8"/>
        <w:keepNext w:val="0"/>
        <w:keepLines w:val="0"/>
        <w:pageBreakBefore w:val="0"/>
        <w:kinsoku/>
        <w:wordWrap/>
        <w:overflowPunct/>
        <w:topLinePunct w:val="0"/>
        <w:autoSpaceDE/>
        <w:autoSpaceDN/>
        <w:bidi w:val="0"/>
        <w:adjustRightInd w:val="0"/>
        <w:snapToGrid w:val="0"/>
        <w:spacing w:line="300" w:lineRule="atLeast"/>
        <w:ind w:firstLine="480" w:firstLineChars="200"/>
        <w:jc w:val="left"/>
        <w:rPr>
          <w:rFonts w:hint="eastAsia" w:ascii="宋体" w:hAnsi="宋体" w:eastAsia="宋体" w:cs="宋体"/>
          <w:b w:val="0"/>
          <w:bCs w:val="0"/>
          <w:kern w:val="2"/>
          <w:sz w:val="24"/>
          <w:szCs w:val="24"/>
          <w:lang w:val="en-US" w:eastAsia="zh-CN" w:bidi="ar-SA"/>
        </w:rPr>
      </w:pPr>
      <w:r>
        <w:rPr>
          <w:rFonts w:hint="eastAsia" w:ascii="宋体" w:hAnsi="宋体" w:eastAsia="宋体" w:cs="宋体"/>
          <w:b w:val="0"/>
          <w:bCs w:val="0"/>
          <w:kern w:val="2"/>
          <w:sz w:val="24"/>
          <w:szCs w:val="24"/>
          <w:lang w:val="en-US" w:eastAsia="zh-CN" w:bidi="ar-SA"/>
        </w:rPr>
        <w:t>2、中标人必须按照本次竞价单规定的质量要求、商品名称、型号、规格等供货。</w:t>
      </w:r>
    </w:p>
    <w:p>
      <w:pPr>
        <w:pStyle w:val="8"/>
        <w:keepNext w:val="0"/>
        <w:keepLines w:val="0"/>
        <w:pageBreakBefore w:val="0"/>
        <w:kinsoku/>
        <w:wordWrap/>
        <w:overflowPunct/>
        <w:topLinePunct w:val="0"/>
        <w:autoSpaceDE/>
        <w:autoSpaceDN/>
        <w:bidi w:val="0"/>
        <w:adjustRightInd w:val="0"/>
        <w:snapToGrid w:val="0"/>
        <w:spacing w:line="300" w:lineRule="atLeast"/>
        <w:ind w:firstLine="480" w:firstLineChars="200"/>
        <w:jc w:val="left"/>
        <w:rPr>
          <w:rFonts w:hint="eastAsia" w:ascii="宋体" w:hAnsi="宋体" w:eastAsia="宋体" w:cs="宋体"/>
          <w:b w:val="0"/>
          <w:bCs w:val="0"/>
          <w:kern w:val="2"/>
          <w:sz w:val="24"/>
          <w:szCs w:val="24"/>
          <w:lang w:val="en-US" w:eastAsia="zh-CN" w:bidi="ar-SA"/>
        </w:rPr>
      </w:pPr>
      <w:r>
        <w:rPr>
          <w:rFonts w:hint="eastAsia" w:ascii="宋体" w:hAnsi="宋体" w:eastAsia="宋体" w:cs="宋体"/>
          <w:b w:val="0"/>
          <w:bCs w:val="0"/>
          <w:kern w:val="2"/>
          <w:sz w:val="24"/>
          <w:szCs w:val="24"/>
          <w:lang w:val="en-US" w:eastAsia="zh-CN" w:bidi="ar-SA"/>
        </w:rPr>
        <w:t>3、中标人必须满足所有本次采购商务要求，否则采购人有权作竞价无效处理。</w:t>
      </w:r>
    </w:p>
    <w:p>
      <w:pPr>
        <w:pStyle w:val="8"/>
        <w:keepNext w:val="0"/>
        <w:keepLines w:val="0"/>
        <w:pageBreakBefore w:val="0"/>
        <w:kinsoku/>
        <w:wordWrap/>
        <w:overflowPunct/>
        <w:topLinePunct w:val="0"/>
        <w:autoSpaceDE/>
        <w:autoSpaceDN/>
        <w:bidi w:val="0"/>
        <w:adjustRightInd w:val="0"/>
        <w:snapToGrid w:val="0"/>
        <w:spacing w:line="300" w:lineRule="atLeast"/>
        <w:ind w:firstLine="480" w:firstLineChars="200"/>
        <w:jc w:val="left"/>
        <w:rPr>
          <w:rFonts w:hint="eastAsia" w:ascii="宋体" w:hAnsi="宋体" w:eastAsia="宋体" w:cs="宋体"/>
          <w:b w:val="0"/>
          <w:bCs w:val="0"/>
          <w:kern w:val="2"/>
          <w:sz w:val="24"/>
          <w:szCs w:val="24"/>
          <w:lang w:val="en-US" w:eastAsia="zh-CN" w:bidi="ar-SA"/>
        </w:rPr>
      </w:pPr>
      <w:r>
        <w:rPr>
          <w:rFonts w:hint="eastAsia" w:ascii="宋体" w:hAnsi="宋体" w:eastAsia="宋体" w:cs="宋体"/>
          <w:b w:val="0"/>
          <w:bCs w:val="0"/>
          <w:kern w:val="2"/>
          <w:sz w:val="24"/>
          <w:szCs w:val="24"/>
          <w:lang w:val="en-US" w:eastAsia="zh-CN" w:bidi="ar-SA"/>
        </w:rPr>
        <w:t>4、中标人参加本次竞价，即视为完全了解、明白并同意本次竞价所有要求，一旦发现有虚假响应情况，即使确认成交，也将被取消供货资格。采购人有权追究中标人责任并向有关部门投诉等。</w:t>
      </w:r>
    </w:p>
    <w:p>
      <w:pPr>
        <w:keepNext w:val="0"/>
        <w:keepLines w:val="0"/>
        <w:pageBreakBefore w:val="0"/>
        <w:kinsoku/>
        <w:wordWrap/>
        <w:overflowPunct/>
        <w:topLinePunct w:val="0"/>
        <w:autoSpaceDE/>
        <w:autoSpaceDN/>
        <w:bidi w:val="0"/>
        <w:adjustRightInd w:val="0"/>
        <w:snapToGrid w:val="0"/>
        <w:spacing w:line="300" w:lineRule="atLeast"/>
        <w:ind w:firstLine="480" w:firstLineChars="200"/>
        <w:jc w:val="left"/>
        <w:rPr>
          <w:rFonts w:hint="eastAsia" w:ascii="宋体" w:hAnsi="宋体" w:eastAsia="宋体" w:cs="宋体"/>
          <w:b w:val="0"/>
          <w:bCs w:val="0"/>
          <w:kern w:val="2"/>
          <w:sz w:val="24"/>
          <w:szCs w:val="24"/>
          <w:lang w:val="en-US" w:eastAsia="zh-CN" w:bidi="ar-SA"/>
        </w:rPr>
      </w:pPr>
      <w:r>
        <w:rPr>
          <w:rFonts w:hint="eastAsia" w:ascii="宋体" w:hAnsi="宋体" w:eastAsia="宋体" w:cs="宋体"/>
          <w:b w:val="0"/>
          <w:bCs w:val="0"/>
          <w:kern w:val="2"/>
          <w:sz w:val="24"/>
          <w:szCs w:val="24"/>
          <w:lang w:val="en-US" w:eastAsia="zh-CN" w:bidi="ar-SA"/>
        </w:rPr>
        <w:t>七、验收与付款：</w:t>
      </w:r>
    </w:p>
    <w:p>
      <w:pPr>
        <w:keepNext w:val="0"/>
        <w:keepLines w:val="0"/>
        <w:pageBreakBefore w:val="0"/>
        <w:kinsoku/>
        <w:wordWrap/>
        <w:overflowPunct/>
        <w:topLinePunct w:val="0"/>
        <w:autoSpaceDE/>
        <w:autoSpaceDN/>
        <w:bidi w:val="0"/>
        <w:adjustRightInd w:val="0"/>
        <w:snapToGrid w:val="0"/>
        <w:spacing w:line="300" w:lineRule="atLeast"/>
        <w:ind w:firstLine="480" w:firstLineChars="200"/>
        <w:jc w:val="left"/>
        <w:rPr>
          <w:rFonts w:hint="eastAsia" w:ascii="宋体" w:hAnsi="宋体" w:eastAsia="宋体" w:cs="宋体"/>
          <w:b w:val="0"/>
          <w:bCs w:val="0"/>
          <w:kern w:val="2"/>
          <w:sz w:val="24"/>
          <w:szCs w:val="24"/>
          <w:lang w:val="en-US" w:eastAsia="zh-CN" w:bidi="ar-SA"/>
        </w:rPr>
      </w:pPr>
      <w:r>
        <w:rPr>
          <w:rFonts w:hint="eastAsia" w:ascii="宋体" w:hAnsi="宋体" w:eastAsia="宋体" w:cs="宋体"/>
          <w:b w:val="0"/>
          <w:bCs w:val="0"/>
          <w:kern w:val="2"/>
          <w:sz w:val="24"/>
          <w:szCs w:val="24"/>
          <w:lang w:val="en-US" w:eastAsia="zh-CN" w:bidi="ar-SA"/>
        </w:rPr>
        <w:t>合同生效及空调安装调试完成后，按照相关质量标准、技术规范要求等，采购人组织人员对空调进行验收。验收合格、资金拨款到位并收到中标人正规发票后30日内付给合同总价的100％。</w:t>
      </w:r>
    </w:p>
    <w:p>
      <w:pPr>
        <w:pStyle w:val="2"/>
        <w:keepNext w:val="0"/>
        <w:keepLines w:val="0"/>
        <w:pageBreakBefore w:val="0"/>
        <w:kinsoku/>
        <w:wordWrap/>
        <w:overflowPunct/>
        <w:topLinePunct w:val="0"/>
        <w:autoSpaceDE/>
        <w:autoSpaceDN/>
        <w:bidi w:val="0"/>
        <w:adjustRightInd/>
        <w:snapToGrid w:val="0"/>
        <w:spacing w:line="240" w:lineRule="atLeast"/>
        <w:ind w:firstLine="480" w:firstLineChars="200"/>
        <w:jc w:val="left"/>
        <w:rPr>
          <w:rFonts w:hint="eastAsia" w:ascii="宋体" w:hAnsi="宋体" w:eastAsia="宋体" w:cs="宋体"/>
          <w:b w:val="0"/>
          <w:bCs w:val="0"/>
          <w:kern w:val="2"/>
          <w:sz w:val="24"/>
          <w:szCs w:val="24"/>
          <w:lang w:val="en-US" w:eastAsia="zh-CN" w:bidi="ar-SA"/>
        </w:rPr>
      </w:pPr>
      <w:r>
        <w:rPr>
          <w:rFonts w:hint="eastAsia" w:ascii="宋体" w:hAnsi="宋体" w:eastAsia="宋体" w:cs="宋体"/>
          <w:b w:val="0"/>
          <w:bCs w:val="0"/>
          <w:kern w:val="2"/>
          <w:sz w:val="24"/>
          <w:szCs w:val="24"/>
          <w:lang w:val="en-US" w:eastAsia="zh-CN" w:bidi="ar-SA"/>
        </w:rPr>
        <w:t xml:space="preserve">   </w:t>
      </w:r>
    </w:p>
    <w:p>
      <w:pPr>
        <w:pStyle w:val="2"/>
        <w:keepNext w:val="0"/>
        <w:keepLines w:val="0"/>
        <w:pageBreakBefore w:val="0"/>
        <w:kinsoku/>
        <w:wordWrap/>
        <w:overflowPunct/>
        <w:topLinePunct w:val="0"/>
        <w:autoSpaceDE/>
        <w:autoSpaceDN/>
        <w:bidi w:val="0"/>
        <w:adjustRightInd/>
        <w:snapToGrid w:val="0"/>
        <w:spacing w:line="240" w:lineRule="atLeast"/>
        <w:ind w:firstLine="480" w:firstLineChars="200"/>
        <w:jc w:val="left"/>
        <w:rPr>
          <w:rFonts w:hint="eastAsia" w:ascii="宋体" w:hAnsi="宋体" w:eastAsia="宋体" w:cs="宋体"/>
          <w:b w:val="0"/>
          <w:bCs w:val="0"/>
          <w:kern w:val="2"/>
          <w:sz w:val="24"/>
          <w:szCs w:val="24"/>
          <w:lang w:val="en-US" w:eastAsia="zh-CN" w:bidi="ar-SA"/>
        </w:rPr>
      </w:pPr>
    </w:p>
    <w:p>
      <w:pPr>
        <w:pStyle w:val="2"/>
        <w:jc w:val="right"/>
        <w:rPr>
          <w:rFonts w:hint="eastAsia" w:ascii="宋体" w:hAnsi="宋体" w:eastAsia="宋体" w:cs="宋体"/>
          <w:b/>
          <w:bCs/>
          <w:kern w:val="2"/>
          <w:sz w:val="24"/>
          <w:szCs w:val="24"/>
          <w:lang w:val="en-US" w:eastAsia="zh-CN" w:bidi="ar-SA"/>
        </w:rPr>
      </w:pPr>
      <w:r>
        <w:rPr>
          <w:rFonts w:hint="eastAsia" w:ascii="宋体" w:hAnsi="宋体" w:cs="宋体"/>
          <w:b w:val="0"/>
          <w:bCs w:val="0"/>
          <w:kern w:val="2"/>
          <w:sz w:val="24"/>
          <w:szCs w:val="24"/>
          <w:lang w:val="en-US" w:eastAsia="zh-CN" w:bidi="ar-SA"/>
        </w:rPr>
        <w:t xml:space="preserve">  </w:t>
      </w:r>
      <w:r>
        <w:rPr>
          <w:rFonts w:hint="eastAsia" w:ascii="宋体" w:hAnsi="宋体" w:eastAsia="宋体" w:cs="宋体"/>
          <w:b/>
          <w:bCs/>
          <w:kern w:val="2"/>
          <w:sz w:val="24"/>
          <w:szCs w:val="24"/>
          <w:lang w:val="en-US" w:eastAsia="zh-CN" w:bidi="ar-SA"/>
        </w:rPr>
        <w:t>浙江省诸暨市职业教育中心</w:t>
      </w:r>
    </w:p>
    <w:p>
      <w:pPr>
        <w:pStyle w:val="2"/>
        <w:jc w:val="right"/>
        <w:rPr>
          <w:rFonts w:hint="default" w:ascii="宋体" w:hAnsi="宋体" w:eastAsia="宋体" w:cs="宋体"/>
          <w:b w:val="0"/>
          <w:bCs w:val="0"/>
          <w:kern w:val="2"/>
          <w:sz w:val="24"/>
          <w:szCs w:val="24"/>
          <w:lang w:val="en-US" w:eastAsia="zh-CN" w:bidi="ar-SA"/>
        </w:rPr>
      </w:pPr>
      <w:r>
        <w:rPr>
          <w:rFonts w:hint="eastAsia" w:ascii="宋体" w:hAnsi="宋体" w:eastAsia="宋体" w:cs="宋体"/>
          <w:b w:val="0"/>
          <w:bCs w:val="0"/>
          <w:kern w:val="2"/>
          <w:sz w:val="24"/>
          <w:szCs w:val="24"/>
          <w:lang w:val="en-US" w:eastAsia="zh-CN" w:bidi="ar-SA"/>
        </w:rPr>
        <w:t xml:space="preserve">                                                 202</w:t>
      </w:r>
      <w:r>
        <w:rPr>
          <w:rFonts w:hint="eastAsia" w:ascii="宋体" w:hAnsi="宋体" w:cs="宋体"/>
          <w:b w:val="0"/>
          <w:bCs w:val="0"/>
          <w:kern w:val="2"/>
          <w:sz w:val="24"/>
          <w:szCs w:val="24"/>
          <w:lang w:val="en-US" w:eastAsia="zh-CN" w:bidi="ar-SA"/>
        </w:rPr>
        <w:t>5.04.15</w:t>
      </w: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182CCA32"/>
    <w:multiLevelType w:val="singleLevel"/>
    <w:tmpl w:val="182CCA32"/>
    <w:lvl w:ilvl="0" w:tentative="0">
      <w:start w:val="1"/>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3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1C7C4353"/>
    <w:rsid w:val="4592266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qFormat="1" w:uiPriority="99"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3">
    <w:name w:val="heading 2"/>
    <w:basedOn w:val="1"/>
    <w:next w:val="1"/>
    <w:qFormat/>
    <w:uiPriority w:val="0"/>
    <w:pPr>
      <w:keepNext/>
      <w:keepLines/>
      <w:spacing w:before="260" w:beforeLines="0" w:after="260" w:afterLines="0" w:line="413" w:lineRule="auto"/>
      <w:outlineLvl w:val="1"/>
    </w:pPr>
    <w:rPr>
      <w:rFonts w:ascii="Arial" w:hAnsi="Arial" w:eastAsia="黑体"/>
      <w:b/>
      <w:kern w:val="2"/>
      <w:sz w:val="32"/>
      <w:lang w:val="en-US" w:eastAsia="zh-CN" w:bidi="ar-SA"/>
    </w:rPr>
  </w:style>
  <w:style w:type="character" w:default="1" w:styleId="6">
    <w:name w:val="Default Paragraph Font"/>
    <w:semiHidden/>
    <w:uiPriority w:val="0"/>
  </w:style>
  <w:style w:type="table" w:default="1" w:styleId="4">
    <w:name w:val="Normal Table"/>
    <w:semiHidden/>
    <w:uiPriority w:val="0"/>
    <w:tblPr>
      <w:tblCellMar>
        <w:top w:w="0" w:type="dxa"/>
        <w:left w:w="108" w:type="dxa"/>
        <w:bottom w:w="0" w:type="dxa"/>
        <w:right w:w="108" w:type="dxa"/>
      </w:tblCellMar>
    </w:tblPr>
  </w:style>
  <w:style w:type="paragraph" w:styleId="2">
    <w:name w:val="Body Text Indent"/>
    <w:basedOn w:val="1"/>
    <w:unhideWhenUsed/>
    <w:qFormat/>
    <w:uiPriority w:val="99"/>
    <w:pPr>
      <w:spacing w:after="120"/>
      <w:ind w:left="420" w:leftChars="200"/>
    </w:pPr>
    <w:rPr>
      <w:kern w:val="0"/>
      <w:szCs w:val="20"/>
    </w:rPr>
  </w:style>
  <w:style w:type="table" w:styleId="5">
    <w:name w:val="Table Grid"/>
    <w:basedOn w:val="4"/>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customStyle="1" w:styleId="7">
    <w:name w:val="font11"/>
    <w:basedOn w:val="6"/>
    <w:qFormat/>
    <w:uiPriority w:val="0"/>
    <w:rPr>
      <w:rFonts w:hint="eastAsia" w:ascii="宋体" w:hAnsi="宋体" w:eastAsia="宋体" w:cs="宋体"/>
      <w:color w:val="000000"/>
      <w:sz w:val="21"/>
      <w:szCs w:val="21"/>
      <w:u w:val="none"/>
    </w:rPr>
  </w:style>
  <w:style w:type="paragraph" w:customStyle="1" w:styleId="8">
    <w:name w:val="UserStyle_20"/>
    <w:basedOn w:val="1"/>
    <w:next w:val="1"/>
    <w:qFormat/>
    <w:uiPriority w:val="0"/>
    <w:pPr>
      <w:widowControl/>
      <w:spacing w:line="360" w:lineRule="auto"/>
      <w:ind w:firstLine="480" w:firstLineChars="200"/>
      <w:textAlignment w:val="baseline"/>
    </w:pPr>
    <w:rPr>
      <w:rFonts w:ascii="Times New Roman" w:hAnsi="Times New Roman" w:eastAsia="宋体" w:cs="Times New Roman"/>
      <w:sz w:val="24"/>
      <w:szCs w:val="21"/>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Office_11.8.2.11718_F1E327BC-269C-435d-A152-05C5408002CA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2025-04-15T05:29:00Z</dcterms:created>
  <dc:creator>lenovo</dc:creator>
  <cp:lastModifiedBy>lenovo</cp:lastModifiedBy>
  <dcterms:modified xsi:type="dcterms:W3CDTF">2025-04-15T05:35:15Z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2052-11.8.2.11718</vt:lpwstr>
  </property>
  <property fmtid="{D5CDD505-2E9C-101B-9397-08002B2CF9AE}" pid="3" name="ICV">
    <vt:lpwstr>D99B642493384BD3B9EB2500E6424E47</vt:lpwstr>
  </property>
</Properties>
</file>