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center"/>
        <w:rPr>
          <w:rFonts w:hint="default" w:ascii="楷体" w:hAnsi="楷体" w:eastAsia="楷体" w:cs="楷体"/>
          <w:b/>
          <w:bCs/>
          <w:color w:val="000000"/>
          <w:kern w:val="0"/>
          <w:sz w:val="30"/>
          <w:szCs w:val="30"/>
          <w:lang w:val="en-US" w:eastAsia="zh-CN" w:bidi="ar"/>
        </w:rPr>
      </w:pPr>
      <w:r>
        <w:rPr>
          <w:rFonts w:hint="eastAsia" w:ascii="楷体" w:hAnsi="楷体" w:eastAsia="楷体" w:cs="楷体"/>
          <w:b/>
          <w:bCs/>
          <w:color w:val="000000"/>
          <w:kern w:val="0"/>
          <w:sz w:val="30"/>
          <w:szCs w:val="30"/>
          <w:lang w:bidi="ar"/>
        </w:rPr>
        <w:t>诸暨市职教中心不锈钢烟道烟罩维修</w:t>
      </w:r>
      <w:r>
        <w:rPr>
          <w:rFonts w:hint="eastAsia" w:ascii="楷体" w:hAnsi="楷体" w:eastAsia="楷体" w:cs="楷体"/>
          <w:b/>
          <w:bCs/>
          <w:color w:val="000000"/>
          <w:kern w:val="0"/>
          <w:sz w:val="30"/>
          <w:szCs w:val="30"/>
          <w:lang w:val="en-US" w:eastAsia="zh-CN" w:bidi="ar"/>
        </w:rPr>
        <w:t>采购要素</w:t>
      </w:r>
    </w:p>
    <w:p>
      <w:pPr>
        <w:pStyle w:val="2"/>
        <w:numPr>
          <w:ilvl w:val="0"/>
          <w:numId w:val="1"/>
        </w:numP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采购内容</w:t>
      </w:r>
    </w:p>
    <w:tbl>
      <w:tblPr>
        <w:tblStyle w:val="4"/>
        <w:tblW w:w="9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
        <w:gridCol w:w="1771"/>
        <w:gridCol w:w="1001"/>
        <w:gridCol w:w="1860"/>
        <w:gridCol w:w="707"/>
        <w:gridCol w:w="868"/>
        <w:gridCol w:w="1078"/>
        <w:gridCol w:w="876"/>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商品名称</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品牌</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333333"/>
                <w:kern w:val="0"/>
                <w:sz w:val="21"/>
                <w:szCs w:val="21"/>
                <w:u w:val="none"/>
                <w:lang w:val="en-US" w:eastAsia="zh-CN" w:bidi="ar"/>
              </w:rPr>
              <w:t>型号与规格</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单位</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控制单价（元）</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合计（元）</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不锈钢油烟罩</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泓胜</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201材质；厚1.0mm</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11700</w:t>
            </w:r>
            <w:bookmarkStart w:id="0" w:name="_GoBack"/>
            <w:bookmarkEnd w:id="0"/>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drawing>
                <wp:inline distT="0" distB="0" distL="114300" distR="114300">
                  <wp:extent cx="519430" cy="269240"/>
                  <wp:effectExtent l="0" t="0" r="13970" b="16510"/>
                  <wp:docPr id="1" name="图片 1" descr="17413221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322152500"/>
                          <pic:cNvPicPr>
                            <a:picLocks noChangeAspect="1"/>
                          </pic:cNvPicPr>
                        </pic:nvPicPr>
                        <pic:blipFill>
                          <a:blip r:embed="rId4"/>
                          <a:stretch>
                            <a:fillRect/>
                          </a:stretch>
                        </pic:blipFill>
                        <pic:spPr>
                          <a:xfrm>
                            <a:off x="0" y="0"/>
                            <a:ext cx="519430" cy="2692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不锈钢油烟管</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泓胜</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201材质；厚1.0mm</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15400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drawing>
                <wp:inline distT="0" distB="0" distL="114300" distR="114300">
                  <wp:extent cx="518160" cy="210185"/>
                  <wp:effectExtent l="0" t="0" r="15240" b="18415"/>
                  <wp:docPr id="2" name="图片 2" descr="174132218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322188216"/>
                          <pic:cNvPicPr>
                            <a:picLocks noChangeAspect="1"/>
                          </pic:cNvPicPr>
                        </pic:nvPicPr>
                        <pic:blipFill>
                          <a:blip r:embed="rId5"/>
                          <a:stretch>
                            <a:fillRect/>
                          </a:stretch>
                        </pic:blipFill>
                        <pic:spPr>
                          <a:xfrm>
                            <a:off x="0" y="0"/>
                            <a:ext cx="518160" cy="2101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集成吊顶</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泓胜</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drawing>
                <wp:inline distT="0" distB="0" distL="114300" distR="114300">
                  <wp:extent cx="520065" cy="471805"/>
                  <wp:effectExtent l="0" t="0" r="13335" b="4445"/>
                  <wp:docPr id="3" name="图片 3" descr="174132231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1322315714"/>
                          <pic:cNvPicPr>
                            <a:picLocks noChangeAspect="1"/>
                          </pic:cNvPicPr>
                        </pic:nvPicPr>
                        <pic:blipFill>
                          <a:blip r:embed="rId6"/>
                          <a:stretch>
                            <a:fillRect/>
                          </a:stretch>
                        </pic:blipFill>
                        <pic:spPr>
                          <a:xfrm>
                            <a:off x="0" y="0"/>
                            <a:ext cx="520065" cy="471805"/>
                          </a:xfrm>
                          <a:prstGeom prst="rect">
                            <a:avLst/>
                          </a:prstGeom>
                        </pic:spPr>
                      </pic:pic>
                    </a:graphicData>
                  </a:graphic>
                </wp:inline>
              </w:drawing>
            </w:r>
          </w:p>
        </w:tc>
      </w:tr>
    </w:tbl>
    <w:p>
      <w:pPr>
        <w:pStyle w:val="3"/>
        <w:keepNext/>
        <w:keepLines/>
        <w:pageBreakBefore w:val="0"/>
        <w:widowControl w:val="0"/>
        <w:numPr>
          <w:ilvl w:val="0"/>
          <w:numId w:val="0"/>
        </w:numPr>
        <w:kinsoku/>
        <w:wordWrap/>
        <w:overflowPunct/>
        <w:topLinePunct w:val="0"/>
        <w:autoSpaceDE/>
        <w:autoSpaceDN/>
        <w:bidi w:val="0"/>
        <w:adjustRightInd/>
        <w:snapToGrid w:val="0"/>
        <w:spacing w:before="0" w:beforeLines="0" w:after="0" w:afterLines="0" w:line="240" w:lineRule="atLeast"/>
        <w:ind w:leftChars="0"/>
        <w:textAlignment w:val="auto"/>
        <w:rPr>
          <w:rFonts w:hint="eastAsia" w:ascii="黑体" w:hAnsi="黑体" w:eastAsia="黑体" w:cs="黑体"/>
          <w:b w:val="0"/>
          <w:color w:val="000000"/>
          <w:kern w:val="0"/>
          <w:sz w:val="24"/>
          <w:szCs w:val="24"/>
          <w:lang w:bidi="ar"/>
        </w:rPr>
      </w:pPr>
      <w:r>
        <w:rPr>
          <w:rFonts w:hint="eastAsia" w:ascii="黑体" w:hAnsi="黑体" w:cs="黑体"/>
          <w:b w:val="0"/>
          <w:color w:val="000000"/>
          <w:kern w:val="0"/>
          <w:sz w:val="24"/>
          <w:szCs w:val="24"/>
          <w:lang w:val="en-US" w:eastAsia="zh-CN" w:bidi="ar"/>
        </w:rPr>
        <w:t>2.</w:t>
      </w:r>
      <w:r>
        <w:rPr>
          <w:rFonts w:hint="eastAsia" w:ascii="黑体" w:hAnsi="黑体" w:eastAsia="黑体" w:cs="黑体"/>
          <w:b w:val="0"/>
          <w:color w:val="000000"/>
          <w:kern w:val="0"/>
          <w:sz w:val="24"/>
          <w:szCs w:val="24"/>
          <w:lang w:bidi="ar"/>
        </w:rPr>
        <w:t>商务要求</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kern w:val="2"/>
          <w:sz w:val="24"/>
          <w:szCs w:val="24"/>
          <w:lang w:val="en-US" w:eastAsia="zh-CN" w:bidi="ar-SA"/>
        </w:rPr>
        <w:t>一、质量要求：</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采购产品需全新的符合国家技术规格和质量标准的原装正品合格产品。实物参考图见要素附件。</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二、交货地点与方式：</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tLeast"/>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中标方需在中标确认后5个工作日内安排专人负责免费供货到诸暨市职业教育中心内指定位置，</w:t>
      </w:r>
      <w:r>
        <w:rPr>
          <w:rFonts w:hint="eastAsia" w:ascii="Times New Roman" w:hAnsi="Times New Roman" w:eastAsia="宋体" w:cs="Times New Roman"/>
          <w:kern w:val="2"/>
          <w:sz w:val="24"/>
          <w:szCs w:val="24"/>
          <w:lang w:val="en-US" w:eastAsia="zh-CN" w:bidi="ar-SA"/>
        </w:rPr>
        <w:t>不接受快递包裹</w:t>
      </w:r>
      <w:r>
        <w:rPr>
          <w:rFonts w:hint="eastAsia" w:ascii="Times New Roman" w:hAnsi="Times New Roman" w:eastAsia="宋体"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三、实质性响应：</w:t>
      </w:r>
    </w:p>
    <w:p>
      <w:pPr>
        <w:pStyle w:val="6"/>
        <w:keepNext w:val="0"/>
        <w:keepLines w:val="0"/>
        <w:pageBreakBefore w:val="0"/>
        <w:kinsoku/>
        <w:wordWrap/>
        <w:overflowPunct/>
        <w:topLinePunct w:val="0"/>
        <w:autoSpaceDE/>
        <w:autoSpaceDN/>
        <w:bidi w:val="0"/>
        <w:adjustRightInd/>
        <w:snapToGrid w:val="0"/>
        <w:spacing w:line="240" w:lineRule="atLeast"/>
        <w:ind w:firstLine="480" w:firstLineChars="200"/>
        <w:jc w:val="both"/>
        <w:rPr>
          <w:rFonts w:hint="eastAsia"/>
          <w:sz w:val="24"/>
          <w:szCs w:val="24"/>
          <w:lang w:eastAsia="zh-CN"/>
        </w:rPr>
      </w:pPr>
      <w:r>
        <w:rPr>
          <w:rFonts w:hint="eastAsia"/>
          <w:sz w:val="24"/>
          <w:szCs w:val="24"/>
        </w:rPr>
        <w:t>1、</w:t>
      </w:r>
      <w:r>
        <w:rPr>
          <w:rFonts w:hint="eastAsia"/>
          <w:sz w:val="24"/>
          <w:szCs w:val="24"/>
          <w:lang w:eastAsia="zh-CN"/>
        </w:rPr>
        <w:t>本项目要求采购的所有商品，中标供应商应当根据采购人要求送货到指定地点安装并</w:t>
      </w:r>
      <w:r>
        <w:rPr>
          <w:rFonts w:hint="eastAsia"/>
          <w:sz w:val="24"/>
          <w:szCs w:val="24"/>
          <w:lang w:val="en-US" w:eastAsia="zh-CN"/>
        </w:rPr>
        <w:t>免费</w:t>
      </w:r>
      <w:r>
        <w:rPr>
          <w:rFonts w:hint="eastAsia"/>
          <w:sz w:val="24"/>
          <w:szCs w:val="24"/>
          <w:lang w:eastAsia="zh-CN"/>
        </w:rPr>
        <w:t>调试完成，供应商报价应包含运费、人工费、售后服务费、税费等所有费用。</w:t>
      </w:r>
      <w:r>
        <w:rPr>
          <w:rFonts w:hint="eastAsia"/>
          <w:sz w:val="24"/>
          <w:szCs w:val="24"/>
          <w:lang w:val="en-US" w:eastAsia="zh-CN"/>
        </w:rPr>
        <w:t>（原有设备需要拆除，并搬运到学校指定地点）</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0" w:firstLineChars="200"/>
        <w:rPr>
          <w:rFonts w:hint="eastAsia"/>
          <w:sz w:val="24"/>
          <w:szCs w:val="24"/>
          <w:lang w:eastAsia="zh-CN"/>
        </w:rPr>
      </w:pPr>
      <w:r>
        <w:rPr>
          <w:rFonts w:hint="eastAsia"/>
          <w:sz w:val="24"/>
          <w:szCs w:val="24"/>
        </w:rPr>
        <w:t>2、</w:t>
      </w:r>
      <w:r>
        <w:rPr>
          <w:rFonts w:hint="eastAsia"/>
          <w:sz w:val="24"/>
          <w:szCs w:val="24"/>
          <w:lang w:eastAsia="zh-CN"/>
        </w:rPr>
        <w:t>中标供应商要按照本竞价单规定的商品规格、型号、品牌供货。样式如不附合附件品牌、规格、型号将无法成交。</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0" w:firstLineChars="200"/>
        <w:rPr>
          <w:rFonts w:hint="eastAsia"/>
          <w:sz w:val="24"/>
          <w:szCs w:val="24"/>
          <w:lang w:eastAsia="zh-CN"/>
        </w:rPr>
      </w:pPr>
      <w:r>
        <w:rPr>
          <w:rFonts w:hint="eastAsia"/>
          <w:sz w:val="24"/>
          <w:szCs w:val="24"/>
          <w:lang w:eastAsia="zh-CN"/>
        </w:rPr>
        <w:t>3、本项目所有商品，保（质）修期内出现质量问题（包括发现所供产品非原厂正品），应免费更换。</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0" w:firstLineChars="200"/>
        <w:rPr>
          <w:rFonts w:hint="eastAsia"/>
          <w:sz w:val="24"/>
          <w:szCs w:val="24"/>
          <w:lang w:eastAsia="zh-CN"/>
        </w:rPr>
      </w:pPr>
      <w:r>
        <w:rPr>
          <w:rFonts w:hint="eastAsia"/>
          <w:sz w:val="24"/>
          <w:szCs w:val="24"/>
          <w:lang w:eastAsia="zh-CN"/>
        </w:rPr>
        <w:t>4、供应商必须满足以上全部商务条款，否则竞价无效。供应商参加此次竞价，即视为完全了解、明白并同意上述要求。一旦发现虚假响应，即使确认成交也将被取消资格，采购人有权追究供应商责任并向监管部门投诉。</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480" w:firstLineChars="200"/>
        <w:rPr>
          <w:rFonts w:hint="eastAsia"/>
          <w:sz w:val="24"/>
          <w:szCs w:val="24"/>
          <w:lang w:eastAsia="zh-CN"/>
        </w:rPr>
      </w:pPr>
      <w:r>
        <w:rPr>
          <w:rFonts w:hint="eastAsia"/>
          <w:sz w:val="24"/>
          <w:szCs w:val="24"/>
          <w:lang w:eastAsia="zh-CN"/>
        </w:rPr>
        <w:t>5、私自更改商品规格、型号、供货名称按无效竞价处理。</w:t>
      </w:r>
    </w:p>
    <w:p>
      <w:pPr>
        <w:pStyle w:val="2"/>
        <w:ind w:left="0" w:leftChars="0" w:firstLine="480" w:firstLineChars="200"/>
        <w:rPr>
          <w:rFonts w:hint="default"/>
          <w:lang w:val="en-US" w:eastAsia="zh-CN"/>
        </w:rPr>
      </w:pPr>
      <w:r>
        <w:rPr>
          <w:rFonts w:hint="eastAsia"/>
          <w:sz w:val="24"/>
          <w:szCs w:val="24"/>
          <w:lang w:val="en-US" w:eastAsia="zh-CN"/>
        </w:rPr>
        <w:t>6、竞价结束后预成交供应商需在24小时免费提供材料样品1份送到诸暨市职业教育中心，待学校验收，样品验收合格后再确认成交，注：如不能按时提供样品或样品不合格本次竞价作无效处理。</w:t>
      </w:r>
    </w:p>
    <w:p>
      <w:pPr>
        <w:keepNext w:val="0"/>
        <w:keepLines w:val="0"/>
        <w:pageBreakBefore w:val="0"/>
        <w:kinsoku/>
        <w:wordWrap/>
        <w:overflowPunct/>
        <w:topLinePunct w:val="0"/>
        <w:autoSpaceDE/>
        <w:autoSpaceDN/>
        <w:bidi w:val="0"/>
        <w:adjustRightInd/>
        <w:snapToGrid w:val="0"/>
        <w:spacing w:line="240" w:lineRule="atLeast"/>
        <w:ind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四、验收与付款：</w:t>
      </w:r>
    </w:p>
    <w:p>
      <w:pPr>
        <w:keepNext w:val="0"/>
        <w:keepLines w:val="0"/>
        <w:pageBreakBefore w:val="0"/>
        <w:kinsoku/>
        <w:wordWrap/>
        <w:overflowPunct/>
        <w:topLinePunct w:val="0"/>
        <w:autoSpaceDE/>
        <w:autoSpaceDN/>
        <w:bidi w:val="0"/>
        <w:adjustRightInd/>
        <w:snapToGrid w:val="0"/>
        <w:spacing w:line="240" w:lineRule="atLeast"/>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合同生效及到货安装完毕后，按照相关质量标准、技术规范要求等，采购人组织人员进行验收。验收合格并收到中标人正式发票后</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个月内付给合同总价的100％。</w:t>
      </w:r>
    </w:p>
    <w:p>
      <w:pPr>
        <w:pStyle w:val="2"/>
        <w:keepNext w:val="0"/>
        <w:keepLines w:val="0"/>
        <w:pageBreakBefore w:val="0"/>
        <w:numPr>
          <w:ilvl w:val="0"/>
          <w:numId w:val="0"/>
        </w:numPr>
        <w:kinsoku/>
        <w:wordWrap/>
        <w:overflowPunct/>
        <w:topLinePunct w:val="0"/>
        <w:autoSpaceDE/>
        <w:autoSpaceDN/>
        <w:bidi w:val="0"/>
        <w:adjustRightInd/>
        <w:snapToGrid w:val="0"/>
        <w:spacing w:after="0" w:line="240" w:lineRule="atLeast"/>
        <w:rPr>
          <w:rFonts w:hint="eastAsia" w:ascii="楷体" w:hAnsi="楷体" w:eastAsia="楷体" w:cs="楷体"/>
          <w:kern w:val="2"/>
          <w:sz w:val="21"/>
          <w:szCs w:val="21"/>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val="0"/>
        <w:spacing w:after="0" w:line="240" w:lineRule="atLeast"/>
        <w:rPr>
          <w:rFonts w:hint="eastAsia" w:ascii="楷体" w:hAnsi="楷体" w:eastAsia="楷体" w:cs="楷体"/>
          <w:kern w:val="2"/>
          <w:sz w:val="21"/>
          <w:szCs w:val="21"/>
          <w:lang w:val="en-US" w:eastAsia="zh-CN" w:bidi="ar-SA"/>
        </w:rPr>
      </w:pPr>
    </w:p>
    <w:p>
      <w:pPr>
        <w:pStyle w:val="2"/>
        <w:jc w:val="righ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浙江省诸暨市职业教育中心</w:t>
      </w:r>
    </w:p>
    <w:p>
      <w:pPr>
        <w:pStyle w:val="2"/>
        <w:jc w:val="right"/>
        <w:rPr>
          <w:rFonts w:hint="eastAsia" w:ascii="黑体" w:hAnsi="黑体" w:eastAsia="黑体" w:cs="黑体"/>
          <w:color w:val="000000"/>
          <w:kern w:val="0"/>
          <w:sz w:val="24"/>
          <w:lang w:bidi="ar"/>
        </w:rPr>
      </w:pPr>
      <w:r>
        <w:rPr>
          <w:rFonts w:hint="eastAsia" w:ascii="Times New Roman" w:hAnsi="Times New Roman" w:eastAsia="宋体" w:cs="Times New Roman"/>
          <w:kern w:val="2"/>
          <w:sz w:val="24"/>
          <w:szCs w:val="24"/>
          <w:lang w:val="en-US" w:eastAsia="zh-CN" w:bidi="ar-SA"/>
        </w:rPr>
        <w:t>2025.</w:t>
      </w: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72118"/>
    <w:multiLevelType w:val="singleLevel"/>
    <w:tmpl w:val="EC0721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11109"/>
    <w:rsid w:val="18207474"/>
    <w:rsid w:val="3EE03213"/>
    <w:rsid w:val="5B21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Cs w:val="20"/>
    </w:rPr>
  </w:style>
  <w:style w:type="paragraph" w:customStyle="1" w:styleId="6">
    <w:name w:val="UserStyle_20"/>
    <w:basedOn w:val="1"/>
    <w:next w:val="1"/>
    <w:qFormat/>
    <w:uiPriority w:val="0"/>
    <w:pPr>
      <w:widowControl/>
      <w:spacing w:line="360" w:lineRule="auto"/>
      <w:ind w:firstLine="480" w:firstLineChars="200"/>
      <w:textAlignment w:val="baseline"/>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2025-03-07T04:31:00Z</dcterms:created>
  <dc:creator>lenovo</dc:creator>
  <cp:lastModifiedBy>lenovo</cp:lastModifiedBy>
  <dcterms:modified xsi:type="dcterms:W3CDTF">2025-03-07T04:58:03Z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2E1DE47C036D42EBA9149FA6B4DEE5B8</vt:lpwstr>
  </property>
</Properties>
</file>