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bookmarkStart w:id="0" w:name="_GoBack"/>
      <w:r>
        <w:rPr>
          <w:rFonts w:hint="eastAsia"/>
          <w:b/>
          <w:bCs/>
          <w:sz w:val="24"/>
          <w:szCs w:val="32"/>
        </w:rPr>
        <w:t>海康威视iSecure Center-NCG集联模块</w:t>
      </w:r>
    </w:p>
    <w:bookmarkEnd w:id="0"/>
    <w:p>
      <w:pPr>
        <w:jc w:val="center"/>
        <w:rPr>
          <w:rFonts w:hint="eastAsia"/>
          <w:b/>
          <w:bCs/>
          <w:sz w:val="24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型号：iSecure Center-NCG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视频级联应用主要为视频监控业务提供级联服务，专注于平台域间视频联网，基于视频通用标准协议（GB/T28181-2011,GB/T28181-2016）与外域平台互联互通，实现上级平台对下级平台视频资源点位的操作控制。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1、支持上下级域注册管理能力，实现平台数据级联；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2、支持资源同步能力；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3、支持级联视频点位实时预览、录像回放、录像下载、语音对讲能力；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4、支持级联视频点位设备操作控制能力；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5、支持下级平台推送到本级平台视频点位路数控制能力，通过级联点位授权路数控制； 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★安装要求：需要向诸暨市教体局教育技术中心海康教育综合安防管理平台(iSecure Center-Education  版本：V1.7.300_20230731)级联视频数据。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WUyNzI1N2Y2MWZiMGIxY2RiZjhiYTYxZWYxNDIifQ=="/>
  </w:docVars>
  <w:rsids>
    <w:rsidRoot w:val="49E22B12"/>
    <w:rsid w:val="2BEB1605"/>
    <w:rsid w:val="2D8C0151"/>
    <w:rsid w:val="49E22B12"/>
    <w:rsid w:val="5B3168E5"/>
    <w:rsid w:val="5F635895"/>
    <w:rsid w:val="61995A1C"/>
    <w:rsid w:val="624164B7"/>
    <w:rsid w:val="64940B5F"/>
    <w:rsid w:val="665033A1"/>
    <w:rsid w:val="7E3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344</Characters>
  <Lines>0</Lines>
  <Paragraphs>0</Paragraphs>
  <TotalTime>11</TotalTime>
  <ScaleCrop>false</ScaleCrop>
  <LinksUpToDate>false</LinksUpToDate>
  <CharactersWithSpaces>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2024-05-28T07:01:00Z</dcterms:created>
  <dc:creator>潮</dc:creator>
  <cp:lastModifiedBy>潮</cp:lastModifiedBy>
  <dcterms:modified xsi:type="dcterms:W3CDTF">2024-06-13T09:16:28Z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F0D93E815B2C473986AB5085F330B2DD_11</vt:lpwstr>
  </property>
</Properties>
</file>