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eastAsiaTheme="minorEastAsia"/>
          <w:sz w:val="44"/>
          <w:szCs w:val="44"/>
          <w:lang w:eastAsia="zh-CN"/>
        </w:rPr>
      </w:pPr>
      <w:r>
        <w:rPr>
          <w:rFonts w:hint="eastAsia"/>
          <w:sz w:val="44"/>
          <w:szCs w:val="44"/>
          <w:lang w:eastAsia="zh-CN"/>
        </w:rPr>
        <w:t>参数明细及要求</w:t>
      </w:r>
    </w:p>
    <w:p>
      <w:pPr>
        <w:ind w:firstLine="480" w:firstLineChars="200"/>
        <w:rPr>
          <w:rFonts w:hint="eastAsia"/>
          <w:sz w:val="24"/>
          <w:szCs w:val="24"/>
        </w:rPr>
      </w:pPr>
      <w:r>
        <w:rPr>
          <w:rFonts w:hint="eastAsia"/>
          <w:sz w:val="24"/>
          <w:szCs w:val="24"/>
        </w:rPr>
        <w:t>数字信道机最大发射功率50W，支持220V交流供电,满足全年24小时持续工作的要求；</w:t>
      </w:r>
    </w:p>
    <w:p>
      <w:pPr>
        <w:ind w:firstLine="480" w:firstLineChars="200"/>
        <w:rPr>
          <w:rFonts w:hint="eastAsia"/>
          <w:sz w:val="24"/>
          <w:szCs w:val="24"/>
        </w:rPr>
      </w:pPr>
      <w:r>
        <w:rPr>
          <w:rFonts w:hint="eastAsia"/>
          <w:sz w:val="24"/>
          <w:szCs w:val="24"/>
        </w:rPr>
        <w:t>数字信道机将基带信号转变成射频信号的发射机和从天馈系统接收射频信号并复原为基带信号的组合设备，可提供优异的射频指标以及可靠性；</w:t>
      </w:r>
    </w:p>
    <w:p>
      <w:pPr>
        <w:ind w:firstLine="480" w:firstLineChars="200"/>
        <w:rPr>
          <w:rFonts w:hint="eastAsia"/>
          <w:sz w:val="24"/>
          <w:szCs w:val="24"/>
        </w:rPr>
      </w:pPr>
      <w:r>
        <w:rPr>
          <w:rFonts w:hint="eastAsia"/>
          <w:sz w:val="24"/>
          <w:szCs w:val="24"/>
        </w:rPr>
        <w:t>信道控制器实现空中无线接口物理层和链路层信令和语音传输，完成基带信号的调制与解调，并控制信道机实现射频信号收发等功能；</w:t>
      </w:r>
    </w:p>
    <w:p>
      <w:pPr>
        <w:rPr>
          <w:rFonts w:hint="eastAsia"/>
          <w:sz w:val="24"/>
          <w:szCs w:val="24"/>
        </w:rPr>
      </w:pPr>
    </w:p>
    <w:p>
      <w:pPr>
        <w:rPr>
          <w:rFonts w:hint="eastAsia"/>
          <w:sz w:val="24"/>
          <w:szCs w:val="24"/>
        </w:rPr>
      </w:pPr>
      <w:r>
        <w:rPr>
          <w:rFonts w:hint="eastAsia"/>
          <w:sz w:val="24"/>
          <w:szCs w:val="24"/>
        </w:rPr>
        <w:t>供电电源：AC 220×(1±10%) V，50×(1±5%) Hz；</w:t>
      </w:r>
    </w:p>
    <w:p>
      <w:pPr>
        <w:rPr>
          <w:rFonts w:hint="eastAsia"/>
          <w:sz w:val="24"/>
          <w:szCs w:val="24"/>
        </w:rPr>
      </w:pPr>
      <w:r>
        <w:rPr>
          <w:rFonts w:hint="eastAsia"/>
          <w:sz w:val="24"/>
          <w:szCs w:val="24"/>
        </w:rPr>
        <w:t>功耗：≤200W（满负荷），≤25W（空载）；</w:t>
      </w:r>
    </w:p>
    <w:p>
      <w:pPr>
        <w:rPr>
          <w:rFonts w:hint="eastAsia"/>
          <w:sz w:val="24"/>
          <w:szCs w:val="24"/>
        </w:rPr>
      </w:pPr>
      <w:r>
        <w:rPr>
          <w:rFonts w:hint="eastAsia"/>
          <w:sz w:val="24"/>
          <w:szCs w:val="24"/>
        </w:rPr>
        <w:t>每载波最大输出功率：≤47dBm；</w:t>
      </w:r>
    </w:p>
    <w:p>
      <w:pPr>
        <w:rPr>
          <w:rFonts w:hint="eastAsia"/>
          <w:sz w:val="24"/>
          <w:szCs w:val="24"/>
        </w:rPr>
      </w:pPr>
      <w:r>
        <w:rPr>
          <w:rFonts w:hint="eastAsia"/>
          <w:sz w:val="24"/>
          <w:szCs w:val="24"/>
        </w:rPr>
        <w:t>4FSK调制频偏误差：≤10.0%；4FSK发射误码率：≤1×10-4；占用带宽：≤8.5kHz；</w:t>
      </w:r>
    </w:p>
    <w:p>
      <w:pPr>
        <w:rPr>
          <w:rFonts w:hint="eastAsia"/>
          <w:sz w:val="24"/>
          <w:szCs w:val="24"/>
        </w:rPr>
      </w:pPr>
      <w:r>
        <w:rPr>
          <w:rFonts w:hint="eastAsia"/>
          <w:sz w:val="24"/>
          <w:szCs w:val="24"/>
        </w:rPr>
        <w:t>最大调制限制：±3.15kHz；频率误差：±1×10-6；互调衰减：≤-60dB；</w:t>
      </w:r>
    </w:p>
    <w:p>
      <w:pPr>
        <w:rPr>
          <w:rFonts w:hint="eastAsia"/>
          <w:sz w:val="24"/>
          <w:szCs w:val="24"/>
        </w:rPr>
      </w:pPr>
      <w:r>
        <w:rPr>
          <w:rFonts w:hint="eastAsia"/>
          <w:sz w:val="24"/>
          <w:szCs w:val="24"/>
        </w:rPr>
        <w:t>邻道功率比（ACPR）：≤-60dB（F0±12.5kHz），≤-70dB（F0±25.0kHz）；</w:t>
      </w:r>
    </w:p>
    <w:p>
      <w:pPr>
        <w:rPr>
          <w:rFonts w:hint="eastAsia"/>
          <w:sz w:val="24"/>
          <w:szCs w:val="24"/>
        </w:rPr>
      </w:pPr>
      <w:r>
        <w:rPr>
          <w:rFonts w:hint="eastAsia"/>
          <w:sz w:val="24"/>
          <w:szCs w:val="24"/>
        </w:rPr>
        <w:t>瞬态切换邻道功率（ACTP）：≤-50dB（F0±12.5kHz），≤-60dB（F0±25.0kHz）；</w:t>
      </w:r>
    </w:p>
    <w:p>
      <w:pPr>
        <w:rPr>
          <w:rFonts w:hint="eastAsia"/>
          <w:sz w:val="24"/>
          <w:szCs w:val="24"/>
        </w:rPr>
      </w:pPr>
      <w:r>
        <w:rPr>
          <w:rFonts w:hint="eastAsia"/>
          <w:sz w:val="24"/>
          <w:szCs w:val="24"/>
        </w:rPr>
        <w:t>发射杂散：≤-36dBm（9kHz～1GHz），≤-30dBm（1GHz～12.75GHz）；</w:t>
      </w:r>
    </w:p>
    <w:p>
      <w:pPr>
        <w:rPr>
          <w:rFonts w:hint="eastAsia"/>
          <w:sz w:val="24"/>
          <w:szCs w:val="24"/>
        </w:rPr>
      </w:pPr>
      <w:r>
        <w:rPr>
          <w:rFonts w:hint="eastAsia"/>
          <w:sz w:val="24"/>
          <w:szCs w:val="24"/>
        </w:rPr>
        <w:t>接收灵敏度：≤-118dBm；互调响应抑制：≥70dB；</w:t>
      </w:r>
    </w:p>
    <w:p>
      <w:pPr>
        <w:rPr>
          <w:rFonts w:hint="eastAsia"/>
          <w:sz w:val="24"/>
          <w:szCs w:val="24"/>
        </w:rPr>
      </w:pPr>
      <w:r>
        <w:rPr>
          <w:rFonts w:hint="eastAsia"/>
          <w:sz w:val="24"/>
          <w:szCs w:val="24"/>
        </w:rPr>
        <w:t>阻塞：≥84dB；杂散响应抗干扰：≥70dB；</w:t>
      </w:r>
    </w:p>
    <w:p>
      <w:pPr>
        <w:rPr>
          <w:rFonts w:hint="eastAsia"/>
          <w:sz w:val="24"/>
          <w:szCs w:val="24"/>
        </w:rPr>
      </w:pPr>
      <w:r>
        <w:rPr>
          <w:rFonts w:hint="eastAsia"/>
          <w:sz w:val="24"/>
          <w:szCs w:val="24"/>
        </w:rPr>
        <w:t>共信道抑制：≥-12dB；</w:t>
      </w:r>
    </w:p>
    <w:p>
      <w:pPr>
        <w:rPr>
          <w:rFonts w:hint="eastAsia"/>
          <w:sz w:val="24"/>
          <w:szCs w:val="24"/>
        </w:rPr>
      </w:pPr>
      <w:r>
        <w:rPr>
          <w:rFonts w:hint="eastAsia"/>
          <w:sz w:val="24"/>
          <w:szCs w:val="24"/>
        </w:rPr>
        <w:t>邻道选择性：≥60dBm；</w:t>
      </w:r>
    </w:p>
    <w:p>
      <w:pPr>
        <w:rPr>
          <w:rFonts w:hint="eastAsia"/>
          <w:sz w:val="24"/>
          <w:szCs w:val="24"/>
        </w:rPr>
      </w:pPr>
      <w:r>
        <w:rPr>
          <w:rFonts w:hint="eastAsia"/>
          <w:sz w:val="24"/>
          <w:szCs w:val="24"/>
        </w:rPr>
        <w:t>传导杂散：≤-57dBm（9kHz～1GHz），≤-47dBm（1GHz～12.75GHz）；</w:t>
      </w:r>
    </w:p>
    <w:p>
      <w:pPr>
        <w:rPr>
          <w:rFonts w:hint="eastAsia"/>
          <w:sz w:val="24"/>
          <w:szCs w:val="24"/>
        </w:rPr>
      </w:pPr>
    </w:p>
    <w:p>
      <w:pPr>
        <w:ind w:firstLine="480" w:firstLineChars="200"/>
        <w:rPr>
          <w:sz w:val="24"/>
          <w:szCs w:val="24"/>
        </w:rPr>
      </w:pPr>
      <w:r>
        <w:rPr>
          <w:rFonts w:hint="eastAsia"/>
          <w:sz w:val="24"/>
          <w:szCs w:val="24"/>
        </w:rPr>
        <w:t>需要兼容并入现有运行系统并正常运行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54C5"/>
    <w:rsid w:val="3F0C7E08"/>
    <w:rsid w:val="61EB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2025-07-01T02:10:55Z</dcterms:created>
  <dc:creator>cjh</dc:creator>
  <cp:lastModifiedBy>cjh</cp:lastModifiedBy>
  <dcterms:modified xsi:type="dcterms:W3CDTF">2025-07-01T02:12:21Z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9F83A0F9CE464818BA204AB9E5EEE837</vt:lpwstr>
  </property>
</Properties>
</file>