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9A8156">
      <w:pPr>
        <w:pStyle w:val="2"/>
        <w:spacing w:before="103"/>
        <w:ind w:right="1672"/>
        <w:jc w:val="center"/>
        <w:rPr>
          <w:b/>
          <w:sz w:val="20"/>
        </w:rPr>
      </w:pPr>
      <w:r>
        <w:rPr>
          <w:rFonts w:hint="eastAsia"/>
          <w:lang w:val="en-US" w:eastAsia="zh-CN"/>
        </w:rPr>
        <w:t xml:space="preserve">         </w:t>
      </w:r>
      <w:r>
        <w:t>牡丹牌 MD5022</w:t>
      </w:r>
      <w:r>
        <w:rPr>
          <w:rFonts w:hint="eastAsia"/>
          <w:lang w:val="en-US" w:eastAsia="zh-CN"/>
        </w:rPr>
        <w:t>XZH3</w:t>
      </w:r>
      <w:r>
        <w:t>型</w:t>
      </w:r>
      <w:r>
        <w:rPr>
          <w:rFonts w:hint="eastAsia"/>
          <w:lang w:val="en-US" w:eastAsia="zh-CN"/>
        </w:rPr>
        <w:t>指挥车</w:t>
      </w:r>
      <w:r>
        <w:t>配置清单</w:t>
      </w:r>
    </w:p>
    <w:p w14:paraId="06B9C31F">
      <w:pPr>
        <w:pStyle w:val="2"/>
        <w:spacing w:before="0"/>
        <w:ind w:right="1672"/>
        <w:jc w:val="center"/>
        <w:rPr>
          <w:b/>
          <w:sz w:val="20"/>
        </w:rPr>
      </w:pPr>
      <w:r>
        <w:rPr>
          <w:rFonts w:hint="eastAsia"/>
          <w:lang w:val="en-US" w:eastAsia="zh-CN"/>
        </w:rPr>
        <w:t xml:space="preserve">           </w:t>
      </w:r>
      <w:r>
        <w:t>—采用别克GL8 改装（改装后 7 座含司机）</w:t>
      </w:r>
    </w:p>
    <w:p w14:paraId="4B6C3C08">
      <w:pPr>
        <w:spacing w:before="1" w:after="3"/>
        <w:ind w:left="121" w:right="0" w:firstLine="0"/>
        <w:jc w:val="left"/>
        <w:rPr>
          <w:b/>
          <w:sz w:val="24"/>
        </w:rPr>
      </w:pPr>
      <w:r>
        <w:rPr>
          <w:b/>
          <w:sz w:val="24"/>
        </w:rPr>
        <w:t>一、标准型配置清单</w:t>
      </w:r>
    </w:p>
    <w:tbl>
      <w:tblPr>
        <w:tblStyle w:val="3"/>
        <w:tblW w:w="9517" w:type="dxa"/>
        <w:tblInd w:w="11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5"/>
        <w:gridCol w:w="1367"/>
        <w:gridCol w:w="1459"/>
        <w:gridCol w:w="936"/>
        <w:gridCol w:w="1235"/>
        <w:gridCol w:w="3805"/>
      </w:tblGrid>
      <w:tr w14:paraId="61017F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715" w:type="dxa"/>
          </w:tcPr>
          <w:p w14:paraId="5170EF9F">
            <w:pPr>
              <w:pStyle w:val="8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序号</w:t>
            </w:r>
          </w:p>
        </w:tc>
        <w:tc>
          <w:tcPr>
            <w:tcW w:w="1367" w:type="dxa"/>
          </w:tcPr>
          <w:p w14:paraId="229078EB">
            <w:pPr>
              <w:pStyle w:val="8"/>
              <w:spacing w:before="2" w:line="310" w:lineRule="atLeast"/>
              <w:ind w:left="78" w:right="68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功能分类</w:t>
            </w:r>
          </w:p>
        </w:tc>
        <w:tc>
          <w:tcPr>
            <w:tcW w:w="1459" w:type="dxa"/>
          </w:tcPr>
          <w:p w14:paraId="77EB722C">
            <w:pPr>
              <w:pStyle w:val="8"/>
              <w:spacing w:before="2" w:line="310" w:lineRule="atLeast"/>
              <w:ind w:left="322" w:right="45" w:hanging="262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设备名称/ 型号</w:t>
            </w:r>
          </w:p>
        </w:tc>
        <w:tc>
          <w:tcPr>
            <w:tcW w:w="936" w:type="dxa"/>
          </w:tcPr>
          <w:p w14:paraId="7B0B75FB">
            <w:pPr>
              <w:pStyle w:val="8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数量</w:t>
            </w:r>
          </w:p>
        </w:tc>
        <w:tc>
          <w:tcPr>
            <w:tcW w:w="1235" w:type="dxa"/>
          </w:tcPr>
          <w:p w14:paraId="332ECB3B">
            <w:pPr>
              <w:pStyle w:val="8"/>
              <w:spacing w:before="34"/>
              <w:ind w:left="107" w:right="97"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优惠价</w:t>
            </w:r>
          </w:p>
        </w:tc>
        <w:tc>
          <w:tcPr>
            <w:tcW w:w="3805" w:type="dxa"/>
          </w:tcPr>
          <w:p w14:paraId="73E22B56">
            <w:pPr>
              <w:pStyle w:val="8"/>
              <w:spacing w:before="2" w:line="310" w:lineRule="atLeast"/>
              <w:ind w:left="1141" w:right="-15" w:hanging="1126"/>
              <w:rPr>
                <w:b/>
                <w:sz w:val="24"/>
                <w:szCs w:val="28"/>
              </w:rPr>
            </w:pPr>
            <w:r>
              <w:rPr>
                <w:b/>
                <w:spacing w:val="-10"/>
                <w:sz w:val="24"/>
                <w:szCs w:val="28"/>
              </w:rPr>
              <w:t>说明</w:t>
            </w:r>
            <w:r>
              <w:rPr>
                <w:b/>
                <w:sz w:val="24"/>
                <w:szCs w:val="28"/>
              </w:rPr>
              <w:t>（</w:t>
            </w:r>
            <w:r>
              <w:rPr>
                <w:b/>
                <w:spacing w:val="-6"/>
                <w:sz w:val="24"/>
                <w:szCs w:val="28"/>
              </w:rPr>
              <w:t>可填写品牌、型号、简单参数）</w:t>
            </w:r>
          </w:p>
        </w:tc>
      </w:tr>
      <w:tr w14:paraId="7F5035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715" w:type="dxa"/>
            <w:vAlign w:val="center"/>
          </w:tcPr>
          <w:p w14:paraId="65F7B27E">
            <w:pPr>
              <w:pStyle w:val="8"/>
              <w:spacing w:before="1"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w w:val="98"/>
                <w:sz w:val="24"/>
                <w:szCs w:val="28"/>
              </w:rPr>
              <w:t>1</w:t>
            </w:r>
          </w:p>
        </w:tc>
        <w:tc>
          <w:tcPr>
            <w:tcW w:w="1367" w:type="dxa"/>
            <w:vAlign w:val="center"/>
          </w:tcPr>
          <w:p w14:paraId="44E5E51A">
            <w:pPr>
              <w:pStyle w:val="8"/>
              <w:spacing w:before="1"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车型</w:t>
            </w:r>
          </w:p>
        </w:tc>
        <w:tc>
          <w:tcPr>
            <w:tcW w:w="1459" w:type="dxa"/>
          </w:tcPr>
          <w:p w14:paraId="2D043FB7">
            <w:pPr>
              <w:pStyle w:val="8"/>
              <w:spacing w:before="33"/>
              <w:ind w:left="12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上汽通用</w:t>
            </w:r>
          </w:p>
          <w:p w14:paraId="77E8B540">
            <w:pPr>
              <w:pStyle w:val="8"/>
              <w:spacing w:before="43"/>
              <w:ind w:left="12"/>
              <w:jc w:val="center"/>
              <w:rPr>
                <w:rFonts w:hint="default" w:eastAsia="宋体"/>
                <w:sz w:val="24"/>
                <w:szCs w:val="28"/>
                <w:lang w:val="en-US" w:eastAsia="zh-CN"/>
              </w:rPr>
            </w:pPr>
            <w:r>
              <w:rPr>
                <w:sz w:val="24"/>
                <w:szCs w:val="28"/>
              </w:rPr>
              <w:t>别克 GL8</w:t>
            </w:r>
          </w:p>
        </w:tc>
        <w:tc>
          <w:tcPr>
            <w:tcW w:w="936" w:type="dxa"/>
            <w:vAlign w:val="center"/>
          </w:tcPr>
          <w:p w14:paraId="4BB1D1C6">
            <w:pPr>
              <w:pStyle w:val="8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 台</w:t>
            </w:r>
          </w:p>
        </w:tc>
        <w:tc>
          <w:tcPr>
            <w:tcW w:w="1235" w:type="dxa"/>
            <w:vAlign w:val="center"/>
          </w:tcPr>
          <w:p w14:paraId="190E2DDB">
            <w:pPr>
              <w:pStyle w:val="8"/>
              <w:spacing w:before="1"/>
              <w:ind w:right="97"/>
              <w:jc w:val="center"/>
              <w:rPr>
                <w:rFonts w:hint="default" w:eastAsia="宋体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23.29</w:t>
            </w:r>
          </w:p>
        </w:tc>
        <w:tc>
          <w:tcPr>
            <w:tcW w:w="3805" w:type="dxa"/>
            <w:vAlign w:val="center"/>
          </w:tcPr>
          <w:p w14:paraId="337536EB">
            <w:pPr>
              <w:pStyle w:val="8"/>
              <w:spacing w:before="43"/>
              <w:ind w:firstLine="960" w:firstLineChars="400"/>
              <w:jc w:val="both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2.0T 发动机，7 座</w:t>
            </w:r>
          </w:p>
        </w:tc>
      </w:tr>
      <w:tr w14:paraId="372652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715" w:type="dxa"/>
            <w:vMerge w:val="restart"/>
            <w:vAlign w:val="center"/>
          </w:tcPr>
          <w:p w14:paraId="29585952">
            <w:pPr>
              <w:pStyle w:val="8"/>
              <w:spacing w:before="1"/>
              <w:ind w:left="7"/>
              <w:jc w:val="center"/>
              <w:rPr>
                <w:rFonts w:hint="eastAsia" w:eastAsia="宋体"/>
                <w:b/>
                <w:w w:val="98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b/>
                <w:w w:val="98"/>
                <w:sz w:val="24"/>
                <w:szCs w:val="28"/>
                <w:lang w:val="en-US" w:eastAsia="zh-CN"/>
              </w:rPr>
              <w:t>2</w:t>
            </w:r>
          </w:p>
        </w:tc>
        <w:tc>
          <w:tcPr>
            <w:tcW w:w="1367" w:type="dxa"/>
            <w:vMerge w:val="restart"/>
            <w:vAlign w:val="center"/>
          </w:tcPr>
          <w:p w14:paraId="67B90536">
            <w:pPr>
              <w:pStyle w:val="8"/>
              <w:spacing w:before="1"/>
              <w:ind w:left="78"/>
              <w:jc w:val="center"/>
              <w:rPr>
                <w:rFonts w:hint="default" w:eastAsia="宋体"/>
                <w:b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8"/>
                <w:lang w:val="en-US" w:eastAsia="zh-CN"/>
              </w:rPr>
              <w:t>警示系统</w:t>
            </w:r>
          </w:p>
        </w:tc>
        <w:tc>
          <w:tcPr>
            <w:tcW w:w="1459" w:type="dxa"/>
            <w:vAlign w:val="center"/>
          </w:tcPr>
          <w:p w14:paraId="26ED8730">
            <w:pPr>
              <w:pStyle w:val="8"/>
              <w:spacing w:before="43"/>
              <w:ind w:left="12" w:leftChars="0" w:right="0" w:rightChars="0"/>
              <w:jc w:val="center"/>
              <w:rPr>
                <w:rFonts w:hint="default" w:eastAsia="宋体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爆闪灯</w:t>
            </w:r>
          </w:p>
        </w:tc>
        <w:tc>
          <w:tcPr>
            <w:tcW w:w="936" w:type="dxa"/>
            <w:vAlign w:val="center"/>
          </w:tcPr>
          <w:p w14:paraId="6B26907C">
            <w:pPr>
              <w:pStyle w:val="8"/>
              <w:ind w:left="0" w:leftChars="0" w:right="0" w:rightChars="0"/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1套</w:t>
            </w:r>
          </w:p>
        </w:tc>
        <w:tc>
          <w:tcPr>
            <w:tcW w:w="1235" w:type="dxa"/>
            <w:vAlign w:val="center"/>
          </w:tcPr>
          <w:p w14:paraId="0910A430">
            <w:pPr>
              <w:pStyle w:val="8"/>
              <w:spacing w:before="1"/>
              <w:ind w:left="0" w:leftChars="0" w:right="97" w:rightChars="0"/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0.15</w:t>
            </w:r>
          </w:p>
        </w:tc>
        <w:tc>
          <w:tcPr>
            <w:tcW w:w="3805" w:type="dxa"/>
            <w:vAlign w:val="center"/>
          </w:tcPr>
          <w:p w14:paraId="3BCF151F">
            <w:pPr>
              <w:pStyle w:val="8"/>
              <w:spacing w:before="43"/>
              <w:ind w:left="12"/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星际 LTE1975-B</w:t>
            </w:r>
            <w:r>
              <w:rPr>
                <w:rFonts w:hint="default"/>
                <w:sz w:val="24"/>
                <w:szCs w:val="28"/>
                <w:lang w:val="en-US" w:eastAsia="zh-CN"/>
              </w:rPr>
              <w:t>/</w:t>
            </w:r>
          </w:p>
          <w:p w14:paraId="41D8FBDE">
            <w:pPr>
              <w:pStyle w:val="8"/>
              <w:spacing w:before="43"/>
              <w:ind w:left="12" w:leftChars="0" w:right="0" w:rightChars="0"/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default"/>
                <w:sz w:val="24"/>
                <w:szCs w:val="28"/>
                <w:lang w:val="en-US" w:eastAsia="zh-CN"/>
              </w:rPr>
              <w:t>LTE1975-R</w:t>
            </w:r>
            <w:r>
              <w:rPr>
                <w:rFonts w:hint="eastAsia"/>
                <w:sz w:val="24"/>
                <w:szCs w:val="28"/>
                <w:lang w:val="en-US" w:eastAsia="zh-CN"/>
              </w:rPr>
              <w:t>进气格栅爆闪灯，一红一蓝</w:t>
            </w:r>
          </w:p>
        </w:tc>
      </w:tr>
      <w:tr w14:paraId="640240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715" w:type="dxa"/>
            <w:vMerge w:val="continue"/>
            <w:vAlign w:val="center"/>
          </w:tcPr>
          <w:p w14:paraId="36854FD8">
            <w:pPr>
              <w:pStyle w:val="8"/>
              <w:spacing w:before="1"/>
              <w:ind w:left="7"/>
              <w:jc w:val="center"/>
              <w:rPr>
                <w:rFonts w:hint="eastAsia"/>
                <w:b/>
                <w:w w:val="98"/>
                <w:sz w:val="24"/>
                <w:szCs w:val="28"/>
                <w:lang w:val="en-US" w:eastAsia="zh-CN"/>
              </w:rPr>
            </w:pPr>
          </w:p>
        </w:tc>
        <w:tc>
          <w:tcPr>
            <w:tcW w:w="1367" w:type="dxa"/>
            <w:vMerge w:val="continue"/>
            <w:vAlign w:val="center"/>
          </w:tcPr>
          <w:p w14:paraId="67AFBB25">
            <w:pPr>
              <w:pStyle w:val="8"/>
              <w:spacing w:before="1"/>
              <w:ind w:left="78"/>
              <w:jc w:val="center"/>
              <w:rPr>
                <w:rFonts w:hint="eastAsia"/>
                <w:b/>
                <w:sz w:val="24"/>
                <w:szCs w:val="28"/>
                <w:lang w:val="en-US" w:eastAsia="zh-CN"/>
              </w:rPr>
            </w:pPr>
          </w:p>
        </w:tc>
        <w:tc>
          <w:tcPr>
            <w:tcW w:w="1459" w:type="dxa"/>
            <w:vAlign w:val="center"/>
          </w:tcPr>
          <w:p w14:paraId="25E22381">
            <w:pPr>
              <w:pStyle w:val="8"/>
              <w:spacing w:before="43"/>
              <w:ind w:left="12" w:leftChars="0" w:right="0" w:rightChars="0"/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长条警灯</w:t>
            </w:r>
          </w:p>
        </w:tc>
        <w:tc>
          <w:tcPr>
            <w:tcW w:w="936" w:type="dxa"/>
            <w:vAlign w:val="center"/>
          </w:tcPr>
          <w:p w14:paraId="2272C9DE">
            <w:pPr>
              <w:ind w:left="0" w:leftChars="0" w:right="0" w:rightChars="0"/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1套</w:t>
            </w:r>
          </w:p>
        </w:tc>
        <w:tc>
          <w:tcPr>
            <w:tcW w:w="1235" w:type="dxa"/>
            <w:vAlign w:val="center"/>
          </w:tcPr>
          <w:p w14:paraId="52FCCCDA">
            <w:pPr>
              <w:pStyle w:val="8"/>
              <w:spacing w:before="1"/>
              <w:ind w:left="0" w:leftChars="0" w:right="97" w:rightChars="0"/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0.38</w:t>
            </w:r>
          </w:p>
        </w:tc>
        <w:tc>
          <w:tcPr>
            <w:tcW w:w="3805" w:type="dxa"/>
            <w:vAlign w:val="center"/>
          </w:tcPr>
          <w:p w14:paraId="448F8940">
            <w:pPr>
              <w:pStyle w:val="8"/>
              <w:spacing w:before="43"/>
              <w:ind w:left="12" w:leftChars="0" w:right="0" w:rightChars="0"/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1.2M 红蓝长条警灯 100W警报器</w:t>
            </w:r>
          </w:p>
        </w:tc>
      </w:tr>
      <w:tr w14:paraId="26391B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715" w:type="dxa"/>
            <w:vMerge w:val="continue"/>
            <w:vAlign w:val="center"/>
          </w:tcPr>
          <w:p w14:paraId="004D2C60">
            <w:pPr>
              <w:pStyle w:val="8"/>
              <w:spacing w:before="1"/>
              <w:ind w:left="7"/>
              <w:jc w:val="center"/>
              <w:rPr>
                <w:rFonts w:hint="eastAsia"/>
                <w:b/>
                <w:w w:val="98"/>
                <w:sz w:val="24"/>
                <w:szCs w:val="28"/>
                <w:lang w:val="en-US" w:eastAsia="zh-CN"/>
              </w:rPr>
            </w:pPr>
          </w:p>
        </w:tc>
        <w:tc>
          <w:tcPr>
            <w:tcW w:w="1367" w:type="dxa"/>
            <w:vMerge w:val="continue"/>
            <w:vAlign w:val="center"/>
          </w:tcPr>
          <w:p w14:paraId="6F0224BC">
            <w:pPr>
              <w:pStyle w:val="8"/>
              <w:spacing w:before="1"/>
              <w:ind w:left="78"/>
              <w:jc w:val="center"/>
              <w:rPr>
                <w:rFonts w:hint="eastAsia"/>
                <w:b/>
                <w:sz w:val="24"/>
                <w:szCs w:val="28"/>
                <w:lang w:val="en-US" w:eastAsia="zh-CN"/>
              </w:rPr>
            </w:pPr>
          </w:p>
        </w:tc>
        <w:tc>
          <w:tcPr>
            <w:tcW w:w="1459" w:type="dxa"/>
            <w:vAlign w:val="center"/>
          </w:tcPr>
          <w:p w14:paraId="39E0B604">
            <w:pPr>
              <w:pStyle w:val="8"/>
              <w:spacing w:before="43"/>
              <w:ind w:left="12" w:leftChars="0" w:right="0" w:rightChars="0"/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警用外观</w:t>
            </w:r>
          </w:p>
        </w:tc>
        <w:tc>
          <w:tcPr>
            <w:tcW w:w="936" w:type="dxa"/>
            <w:vAlign w:val="center"/>
          </w:tcPr>
          <w:p w14:paraId="60C0B984">
            <w:pPr>
              <w:ind w:left="0" w:leftChars="0" w:right="0" w:rightChars="0"/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1套</w:t>
            </w:r>
          </w:p>
        </w:tc>
        <w:tc>
          <w:tcPr>
            <w:tcW w:w="1235" w:type="dxa"/>
            <w:vAlign w:val="center"/>
          </w:tcPr>
          <w:p w14:paraId="47C09F04">
            <w:pPr>
              <w:pStyle w:val="8"/>
              <w:spacing w:before="1"/>
              <w:ind w:left="0" w:leftChars="0" w:right="97" w:rightChars="0"/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0.2</w:t>
            </w:r>
          </w:p>
        </w:tc>
        <w:tc>
          <w:tcPr>
            <w:tcW w:w="3805" w:type="dxa"/>
            <w:vAlign w:val="center"/>
          </w:tcPr>
          <w:p w14:paraId="4C91ADB0">
            <w:pPr>
              <w:pStyle w:val="8"/>
              <w:spacing w:before="43"/>
              <w:ind w:left="12" w:leftChars="0" w:right="0" w:rightChars="0"/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04制式外观</w:t>
            </w:r>
          </w:p>
        </w:tc>
      </w:tr>
      <w:tr w14:paraId="4D41D5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715" w:type="dxa"/>
            <w:vMerge w:val="restart"/>
            <w:vAlign w:val="center"/>
          </w:tcPr>
          <w:p w14:paraId="1B34E0E4">
            <w:pPr>
              <w:pStyle w:val="8"/>
              <w:spacing w:before="142"/>
              <w:jc w:val="center"/>
              <w:rPr>
                <w:rFonts w:hint="eastAsia" w:eastAsia="宋体"/>
                <w:b/>
                <w:sz w:val="24"/>
                <w:szCs w:val="28"/>
                <w:lang w:eastAsia="zh-CN"/>
              </w:rPr>
            </w:pPr>
            <w:r>
              <w:rPr>
                <w:rFonts w:hint="eastAsia"/>
                <w:b/>
                <w:w w:val="98"/>
                <w:sz w:val="24"/>
                <w:szCs w:val="28"/>
                <w:lang w:val="en-US" w:eastAsia="zh-CN"/>
              </w:rPr>
              <w:t>3</w:t>
            </w:r>
          </w:p>
        </w:tc>
        <w:tc>
          <w:tcPr>
            <w:tcW w:w="1367" w:type="dxa"/>
            <w:vMerge w:val="restart"/>
            <w:vAlign w:val="center"/>
          </w:tcPr>
          <w:p w14:paraId="1EBE1369">
            <w:pPr>
              <w:pStyle w:val="8"/>
              <w:spacing w:line="278" w:lineRule="auto"/>
              <w:ind w:right="68"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车辆防护</w:t>
            </w:r>
          </w:p>
        </w:tc>
        <w:tc>
          <w:tcPr>
            <w:tcW w:w="1459" w:type="dxa"/>
            <w:vAlign w:val="center"/>
          </w:tcPr>
          <w:p w14:paraId="79898D34">
            <w:pPr>
              <w:pStyle w:val="8"/>
              <w:spacing w:line="276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脚垫</w:t>
            </w:r>
          </w:p>
        </w:tc>
        <w:tc>
          <w:tcPr>
            <w:tcW w:w="936" w:type="dxa"/>
            <w:vAlign w:val="center"/>
          </w:tcPr>
          <w:p w14:paraId="6D841DAE">
            <w:pPr>
              <w:pStyle w:val="8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 套</w:t>
            </w:r>
          </w:p>
        </w:tc>
        <w:tc>
          <w:tcPr>
            <w:tcW w:w="1235" w:type="dxa"/>
            <w:vAlign w:val="center"/>
          </w:tcPr>
          <w:p w14:paraId="59BAD91A">
            <w:pPr>
              <w:pStyle w:val="8"/>
              <w:spacing w:before="1"/>
              <w:ind w:right="97"/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0.05</w:t>
            </w:r>
          </w:p>
        </w:tc>
        <w:tc>
          <w:tcPr>
            <w:tcW w:w="3805" w:type="dxa"/>
            <w:vAlign w:val="center"/>
          </w:tcPr>
          <w:p w14:paraId="4D4FBDBB">
            <w:pPr>
              <w:pStyle w:val="8"/>
              <w:spacing w:before="43"/>
              <w:ind w:left="12"/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全车脚垫一套，耐脏型，可拆洗</w:t>
            </w:r>
          </w:p>
        </w:tc>
      </w:tr>
      <w:tr w14:paraId="133491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</w:trPr>
        <w:tc>
          <w:tcPr>
            <w:tcW w:w="715" w:type="dxa"/>
            <w:vMerge w:val="continue"/>
            <w:tcBorders>
              <w:top w:val="nil"/>
            </w:tcBorders>
            <w:vAlign w:val="center"/>
          </w:tcPr>
          <w:p w14:paraId="48DD6741">
            <w:pPr>
              <w:jc w:val="center"/>
              <w:rPr>
                <w:sz w:val="6"/>
                <w:szCs w:val="6"/>
              </w:rPr>
            </w:pPr>
          </w:p>
        </w:tc>
        <w:tc>
          <w:tcPr>
            <w:tcW w:w="1367" w:type="dxa"/>
            <w:vMerge w:val="continue"/>
            <w:tcBorders>
              <w:top w:val="nil"/>
            </w:tcBorders>
            <w:vAlign w:val="center"/>
          </w:tcPr>
          <w:p w14:paraId="7DB33263">
            <w:pPr>
              <w:jc w:val="center"/>
              <w:rPr>
                <w:sz w:val="6"/>
                <w:szCs w:val="6"/>
              </w:rPr>
            </w:pPr>
          </w:p>
        </w:tc>
        <w:tc>
          <w:tcPr>
            <w:tcW w:w="1459" w:type="dxa"/>
            <w:vAlign w:val="center"/>
          </w:tcPr>
          <w:p w14:paraId="7D5DF558">
            <w:pPr>
              <w:pStyle w:val="8"/>
              <w:spacing w:before="32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车辆装备</w:t>
            </w:r>
            <w:r>
              <w:rPr>
                <w:w w:val="99"/>
                <w:sz w:val="24"/>
                <w:szCs w:val="28"/>
              </w:rPr>
              <w:t>箱</w:t>
            </w:r>
          </w:p>
        </w:tc>
        <w:tc>
          <w:tcPr>
            <w:tcW w:w="936" w:type="dxa"/>
            <w:vAlign w:val="center"/>
          </w:tcPr>
          <w:p w14:paraId="0138818D">
            <w:pPr>
              <w:pStyle w:val="8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 套</w:t>
            </w:r>
          </w:p>
        </w:tc>
        <w:tc>
          <w:tcPr>
            <w:tcW w:w="1235" w:type="dxa"/>
            <w:vAlign w:val="center"/>
          </w:tcPr>
          <w:p w14:paraId="042B2FA5">
            <w:pPr>
              <w:pStyle w:val="8"/>
              <w:spacing w:before="1"/>
              <w:ind w:right="97"/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0.28</w:t>
            </w:r>
          </w:p>
        </w:tc>
        <w:tc>
          <w:tcPr>
            <w:tcW w:w="3805" w:type="dxa"/>
            <w:vAlign w:val="center"/>
          </w:tcPr>
          <w:p w14:paraId="78189699">
            <w:pPr>
              <w:pStyle w:val="8"/>
              <w:spacing w:before="43"/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按客户要求，按种类和数量设置</w:t>
            </w:r>
          </w:p>
        </w:tc>
      </w:tr>
      <w:tr w14:paraId="0A96D4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715" w:type="dxa"/>
            <w:tcBorders>
              <w:top w:val="nil"/>
            </w:tcBorders>
            <w:vAlign w:val="center"/>
          </w:tcPr>
          <w:p w14:paraId="55CCB426">
            <w:pPr>
              <w:pStyle w:val="8"/>
              <w:spacing w:line="278" w:lineRule="auto"/>
              <w:ind w:right="68"/>
              <w:jc w:val="center"/>
              <w:rPr>
                <w:rFonts w:hint="default"/>
                <w:b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8"/>
                <w:lang w:val="en-US" w:eastAsia="zh-CN"/>
              </w:rPr>
              <w:t>4</w:t>
            </w:r>
          </w:p>
        </w:tc>
        <w:tc>
          <w:tcPr>
            <w:tcW w:w="1367" w:type="dxa"/>
            <w:tcBorders>
              <w:top w:val="nil"/>
            </w:tcBorders>
            <w:vAlign w:val="center"/>
          </w:tcPr>
          <w:p w14:paraId="78E7F3BF">
            <w:pPr>
              <w:pStyle w:val="8"/>
              <w:spacing w:line="278" w:lineRule="auto"/>
              <w:ind w:left="78" w:right="68"/>
              <w:jc w:val="center"/>
              <w:rPr>
                <w:rFonts w:hint="default"/>
                <w:b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8"/>
                <w:lang w:val="en-US" w:eastAsia="zh-CN"/>
              </w:rPr>
              <w:t>车体改制</w:t>
            </w:r>
          </w:p>
        </w:tc>
        <w:tc>
          <w:tcPr>
            <w:tcW w:w="1459" w:type="dxa"/>
            <w:vAlign w:val="center"/>
          </w:tcPr>
          <w:p w14:paraId="6F764FC4">
            <w:pPr>
              <w:pStyle w:val="8"/>
              <w:spacing w:before="43"/>
              <w:ind w:left="12"/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内饰加强</w:t>
            </w:r>
          </w:p>
        </w:tc>
        <w:tc>
          <w:tcPr>
            <w:tcW w:w="936" w:type="dxa"/>
            <w:vAlign w:val="center"/>
          </w:tcPr>
          <w:p w14:paraId="5F64B4DB">
            <w:pPr>
              <w:pStyle w:val="8"/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1套</w:t>
            </w:r>
          </w:p>
        </w:tc>
        <w:tc>
          <w:tcPr>
            <w:tcW w:w="1235" w:type="dxa"/>
            <w:vAlign w:val="center"/>
          </w:tcPr>
          <w:p w14:paraId="36DF2123">
            <w:pPr>
              <w:pStyle w:val="8"/>
              <w:spacing w:before="1"/>
              <w:ind w:right="97"/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0.25</w:t>
            </w:r>
          </w:p>
        </w:tc>
        <w:tc>
          <w:tcPr>
            <w:tcW w:w="3805" w:type="dxa"/>
            <w:vAlign w:val="center"/>
          </w:tcPr>
          <w:p w14:paraId="2D7B44E8">
            <w:pPr>
              <w:pStyle w:val="8"/>
              <w:spacing w:before="43"/>
              <w:ind w:left="12"/>
              <w:jc w:val="center"/>
              <w:rPr>
                <w:rFonts w:hint="eastAsia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内饰需要拆、装,车体加强及预埋</w:t>
            </w:r>
          </w:p>
        </w:tc>
      </w:tr>
      <w:tr w14:paraId="0993D8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715" w:type="dxa"/>
            <w:tcBorders>
              <w:top w:val="nil"/>
            </w:tcBorders>
            <w:vAlign w:val="center"/>
          </w:tcPr>
          <w:p w14:paraId="0E952ED8">
            <w:pPr>
              <w:pStyle w:val="8"/>
              <w:spacing w:line="278" w:lineRule="auto"/>
              <w:ind w:right="68"/>
              <w:jc w:val="center"/>
              <w:rPr>
                <w:rFonts w:hint="default"/>
                <w:b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8"/>
                <w:lang w:val="en-US" w:eastAsia="zh-CN"/>
              </w:rPr>
              <w:t>5</w:t>
            </w:r>
          </w:p>
        </w:tc>
        <w:tc>
          <w:tcPr>
            <w:tcW w:w="1367" w:type="dxa"/>
            <w:tcBorders>
              <w:top w:val="nil"/>
            </w:tcBorders>
            <w:vAlign w:val="center"/>
          </w:tcPr>
          <w:p w14:paraId="3CED9FA8">
            <w:pPr>
              <w:pStyle w:val="8"/>
              <w:spacing w:line="278" w:lineRule="auto"/>
              <w:ind w:right="68"/>
              <w:jc w:val="center"/>
              <w:rPr>
                <w:rFonts w:hint="default"/>
                <w:b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8"/>
                <w:lang w:val="en-US" w:eastAsia="zh-CN"/>
              </w:rPr>
              <w:t>通讯系统</w:t>
            </w:r>
          </w:p>
        </w:tc>
        <w:tc>
          <w:tcPr>
            <w:tcW w:w="1459" w:type="dxa"/>
            <w:vAlign w:val="center"/>
          </w:tcPr>
          <w:p w14:paraId="0D0131A6">
            <w:pPr>
              <w:pStyle w:val="8"/>
              <w:spacing w:before="43"/>
              <w:ind w:left="12"/>
              <w:jc w:val="center"/>
              <w:rPr>
                <w:rFonts w:hint="default" w:eastAsia="宋体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车载电台</w:t>
            </w:r>
          </w:p>
        </w:tc>
        <w:tc>
          <w:tcPr>
            <w:tcW w:w="936" w:type="dxa"/>
            <w:vAlign w:val="center"/>
          </w:tcPr>
          <w:p w14:paraId="62671778">
            <w:pPr>
              <w:pStyle w:val="8"/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1台</w:t>
            </w:r>
          </w:p>
        </w:tc>
        <w:tc>
          <w:tcPr>
            <w:tcW w:w="1235" w:type="dxa"/>
            <w:vAlign w:val="center"/>
          </w:tcPr>
          <w:p w14:paraId="0528531D">
            <w:pPr>
              <w:pStyle w:val="8"/>
              <w:spacing w:before="1"/>
              <w:ind w:right="97"/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0.68</w:t>
            </w:r>
          </w:p>
        </w:tc>
        <w:tc>
          <w:tcPr>
            <w:tcW w:w="3805" w:type="dxa"/>
            <w:vAlign w:val="center"/>
          </w:tcPr>
          <w:p w14:paraId="0464934A">
            <w:pPr>
              <w:pStyle w:val="8"/>
              <w:spacing w:before="43"/>
              <w:ind w:left="10"/>
              <w:jc w:val="center"/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海能达780i</w:t>
            </w:r>
          </w:p>
        </w:tc>
      </w:tr>
      <w:tr w14:paraId="373CFC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715" w:type="dxa"/>
            <w:vAlign w:val="center"/>
          </w:tcPr>
          <w:p w14:paraId="6C1E9CA1">
            <w:pPr>
              <w:pStyle w:val="8"/>
              <w:spacing w:line="278" w:lineRule="auto"/>
              <w:ind w:right="68" w:firstLine="241" w:firstLineChars="100"/>
              <w:jc w:val="both"/>
              <w:rPr>
                <w:rFonts w:hint="eastAsia"/>
                <w:b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8"/>
                <w:lang w:val="en-US" w:eastAsia="zh-CN"/>
              </w:rPr>
              <w:t>6</w:t>
            </w:r>
          </w:p>
        </w:tc>
        <w:tc>
          <w:tcPr>
            <w:tcW w:w="2826" w:type="dxa"/>
            <w:gridSpan w:val="2"/>
            <w:vAlign w:val="center"/>
          </w:tcPr>
          <w:p w14:paraId="550282CC">
            <w:pPr>
              <w:pStyle w:val="8"/>
              <w:spacing w:line="278" w:lineRule="auto"/>
              <w:ind w:right="68"/>
              <w:jc w:val="center"/>
              <w:rPr>
                <w:rFonts w:hint="default"/>
                <w:b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8"/>
                <w:lang w:val="en-US" w:eastAsia="zh-CN"/>
              </w:rPr>
              <w:t>其他费用</w:t>
            </w:r>
          </w:p>
        </w:tc>
        <w:tc>
          <w:tcPr>
            <w:tcW w:w="936" w:type="dxa"/>
            <w:vAlign w:val="center"/>
          </w:tcPr>
          <w:p w14:paraId="1C32ADD3">
            <w:pPr>
              <w:pStyle w:val="8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 项</w:t>
            </w:r>
          </w:p>
        </w:tc>
        <w:tc>
          <w:tcPr>
            <w:tcW w:w="1235" w:type="dxa"/>
            <w:vAlign w:val="center"/>
          </w:tcPr>
          <w:p w14:paraId="427E6647">
            <w:pPr>
              <w:pStyle w:val="8"/>
              <w:spacing w:before="1"/>
              <w:ind w:right="97"/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0.68</w:t>
            </w:r>
          </w:p>
        </w:tc>
        <w:tc>
          <w:tcPr>
            <w:tcW w:w="3805" w:type="dxa"/>
            <w:vAlign w:val="center"/>
          </w:tcPr>
          <w:p w14:paraId="5045DAA0">
            <w:pPr>
              <w:pStyle w:val="8"/>
              <w:spacing w:before="32"/>
              <w:ind w:left="10"/>
              <w:jc w:val="center"/>
              <w:rPr>
                <w:sz w:val="24"/>
                <w:szCs w:val="28"/>
              </w:rPr>
            </w:pPr>
            <w:r>
              <w:rPr>
                <w:spacing w:val="-5"/>
                <w:sz w:val="24"/>
                <w:szCs w:val="28"/>
              </w:rPr>
              <w:t xml:space="preserve">各类改装的人工费用及 </w:t>
            </w:r>
            <w:r>
              <w:rPr>
                <w:sz w:val="24"/>
                <w:szCs w:val="28"/>
              </w:rPr>
              <w:t>1000</w:t>
            </w:r>
            <w:r>
              <w:rPr>
                <w:spacing w:val="-28"/>
                <w:sz w:val="24"/>
                <w:szCs w:val="28"/>
              </w:rPr>
              <w:t xml:space="preserve"> 公</w:t>
            </w:r>
          </w:p>
          <w:p w14:paraId="09671CC2">
            <w:pPr>
              <w:pStyle w:val="8"/>
              <w:spacing w:before="43"/>
              <w:ind w:left="1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里内运费</w:t>
            </w:r>
          </w:p>
        </w:tc>
      </w:tr>
      <w:tr w14:paraId="346D85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715" w:type="dxa"/>
            <w:vAlign w:val="center"/>
          </w:tcPr>
          <w:p w14:paraId="50ADE229">
            <w:pPr>
              <w:pStyle w:val="8"/>
              <w:spacing w:line="278" w:lineRule="auto"/>
              <w:ind w:right="68" w:firstLine="241" w:firstLineChars="100"/>
              <w:jc w:val="both"/>
              <w:rPr>
                <w:rFonts w:hint="default"/>
                <w:b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8"/>
                <w:lang w:val="en-US" w:eastAsia="zh-CN"/>
              </w:rPr>
              <w:t>7</w:t>
            </w:r>
          </w:p>
        </w:tc>
        <w:tc>
          <w:tcPr>
            <w:tcW w:w="2826" w:type="dxa"/>
            <w:gridSpan w:val="2"/>
            <w:vAlign w:val="center"/>
          </w:tcPr>
          <w:p w14:paraId="3CB5B681">
            <w:pPr>
              <w:pStyle w:val="8"/>
              <w:spacing w:line="278" w:lineRule="auto"/>
              <w:ind w:left="0" w:leftChars="0" w:right="68" w:rightChars="0"/>
              <w:jc w:val="center"/>
              <w:rPr>
                <w:rFonts w:hint="eastAsia"/>
                <w:b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8"/>
                <w:lang w:val="en-US" w:eastAsia="zh-CN"/>
              </w:rPr>
              <w:t>税费</w:t>
            </w:r>
          </w:p>
        </w:tc>
        <w:tc>
          <w:tcPr>
            <w:tcW w:w="936" w:type="dxa"/>
            <w:vAlign w:val="center"/>
          </w:tcPr>
          <w:p w14:paraId="670677FD">
            <w:pPr>
              <w:ind w:left="0" w:leftChars="0" w:right="0" w:rightChars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 项</w:t>
            </w:r>
          </w:p>
        </w:tc>
        <w:tc>
          <w:tcPr>
            <w:tcW w:w="1235" w:type="dxa"/>
            <w:vAlign w:val="center"/>
          </w:tcPr>
          <w:p w14:paraId="24A27A6C">
            <w:pPr>
              <w:pStyle w:val="8"/>
              <w:spacing w:before="1"/>
              <w:ind w:right="97"/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1.78</w:t>
            </w:r>
          </w:p>
        </w:tc>
        <w:tc>
          <w:tcPr>
            <w:tcW w:w="3805" w:type="dxa"/>
            <w:vAlign w:val="center"/>
          </w:tcPr>
          <w:p w14:paraId="579A33D7">
            <w:pPr>
              <w:pStyle w:val="8"/>
              <w:spacing w:before="32"/>
              <w:ind w:left="10" w:leftChars="0" w:right="0" w:rightChars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企业需要上缴的各类税费</w:t>
            </w:r>
          </w:p>
        </w:tc>
      </w:tr>
      <w:tr w14:paraId="186EA8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715" w:type="dxa"/>
            <w:vAlign w:val="center"/>
          </w:tcPr>
          <w:p w14:paraId="7643CEA9">
            <w:pPr>
              <w:pStyle w:val="8"/>
              <w:spacing w:line="278" w:lineRule="auto"/>
              <w:ind w:right="68" w:firstLine="241" w:firstLineChars="100"/>
              <w:jc w:val="both"/>
              <w:rPr>
                <w:rFonts w:hint="default"/>
                <w:b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8"/>
                <w:lang w:val="en-US" w:eastAsia="zh-CN"/>
              </w:rPr>
              <w:t>8</w:t>
            </w:r>
          </w:p>
        </w:tc>
        <w:tc>
          <w:tcPr>
            <w:tcW w:w="2826" w:type="dxa"/>
            <w:gridSpan w:val="2"/>
            <w:vAlign w:val="center"/>
          </w:tcPr>
          <w:p w14:paraId="0ABCEC8A">
            <w:pPr>
              <w:pStyle w:val="8"/>
              <w:spacing w:line="278" w:lineRule="auto"/>
              <w:ind w:left="0" w:leftChars="0" w:right="68" w:rightChars="0"/>
              <w:jc w:val="center"/>
              <w:rPr>
                <w:rFonts w:hint="eastAsia"/>
                <w:b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8"/>
                <w:lang w:val="en-US" w:eastAsia="zh-CN"/>
              </w:rPr>
              <w:t>售后服务及利润</w:t>
            </w:r>
          </w:p>
        </w:tc>
        <w:tc>
          <w:tcPr>
            <w:tcW w:w="936" w:type="dxa"/>
            <w:vAlign w:val="center"/>
          </w:tcPr>
          <w:p w14:paraId="54F13B27">
            <w:pPr>
              <w:ind w:left="0" w:leftChars="0" w:right="0" w:rightChars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 项</w:t>
            </w:r>
          </w:p>
        </w:tc>
        <w:tc>
          <w:tcPr>
            <w:tcW w:w="1235" w:type="dxa"/>
            <w:vAlign w:val="center"/>
          </w:tcPr>
          <w:p w14:paraId="26D23A8B">
            <w:pPr>
              <w:pStyle w:val="8"/>
              <w:spacing w:before="1"/>
              <w:ind w:right="97"/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0.94</w:t>
            </w:r>
          </w:p>
        </w:tc>
        <w:tc>
          <w:tcPr>
            <w:tcW w:w="3805" w:type="dxa"/>
            <w:vAlign w:val="center"/>
          </w:tcPr>
          <w:p w14:paraId="02876236">
            <w:pPr>
              <w:pStyle w:val="8"/>
              <w:spacing w:before="34"/>
              <w:ind w:left="1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企业合理的利润需求及售后服</w:t>
            </w:r>
          </w:p>
          <w:p w14:paraId="622809DE">
            <w:pPr>
              <w:pStyle w:val="8"/>
              <w:spacing w:before="43"/>
              <w:ind w:left="10" w:leftChars="0" w:right="0" w:rightChars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务费用</w:t>
            </w:r>
          </w:p>
        </w:tc>
      </w:tr>
      <w:tr w14:paraId="4EFB38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715" w:type="dxa"/>
            <w:vAlign w:val="center"/>
          </w:tcPr>
          <w:p w14:paraId="5CC68BA1">
            <w:pPr>
              <w:pStyle w:val="8"/>
              <w:spacing w:line="278" w:lineRule="auto"/>
              <w:ind w:right="68"/>
              <w:jc w:val="center"/>
              <w:rPr>
                <w:rFonts w:hint="default"/>
                <w:b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8"/>
                <w:lang w:val="en-US" w:eastAsia="zh-CN"/>
              </w:rPr>
              <w:t>9</w:t>
            </w:r>
          </w:p>
        </w:tc>
        <w:tc>
          <w:tcPr>
            <w:tcW w:w="2826" w:type="dxa"/>
            <w:gridSpan w:val="2"/>
          </w:tcPr>
          <w:p w14:paraId="75E88DAB">
            <w:pPr>
              <w:pStyle w:val="8"/>
              <w:spacing w:line="278" w:lineRule="auto"/>
              <w:ind w:right="68"/>
              <w:jc w:val="center"/>
              <w:rPr>
                <w:rFonts w:hint="eastAsia"/>
                <w:b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8"/>
                <w:lang w:val="en-US" w:eastAsia="zh-CN"/>
              </w:rPr>
              <w:t>系统总价</w:t>
            </w:r>
          </w:p>
        </w:tc>
        <w:tc>
          <w:tcPr>
            <w:tcW w:w="936" w:type="dxa"/>
          </w:tcPr>
          <w:p w14:paraId="12A98D75">
            <w:pPr>
              <w:pStyle w:val="8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 辆</w:t>
            </w:r>
          </w:p>
        </w:tc>
        <w:tc>
          <w:tcPr>
            <w:tcW w:w="1235" w:type="dxa"/>
            <w:vAlign w:val="center"/>
          </w:tcPr>
          <w:p w14:paraId="697AFFC5">
            <w:pPr>
              <w:pStyle w:val="8"/>
              <w:spacing w:before="1"/>
              <w:ind w:right="97"/>
              <w:jc w:val="center"/>
              <w:rPr>
                <w:rFonts w:hint="default"/>
                <w:sz w:val="24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2</w:t>
            </w:r>
            <w:r>
              <w:rPr>
                <w:rFonts w:hint="default"/>
                <w:sz w:val="24"/>
                <w:szCs w:val="28"/>
                <w:lang w:val="en-US" w:eastAsia="zh-CN"/>
              </w:rPr>
              <w:t>8</w:t>
            </w:r>
            <w:r>
              <w:rPr>
                <w:rFonts w:hint="eastAsia"/>
                <w:sz w:val="24"/>
                <w:szCs w:val="28"/>
                <w:lang w:val="en-US" w:eastAsia="zh-CN"/>
              </w:rPr>
              <w:t>.68</w:t>
            </w:r>
          </w:p>
        </w:tc>
        <w:tc>
          <w:tcPr>
            <w:tcW w:w="3805" w:type="dxa"/>
            <w:vAlign w:val="center"/>
          </w:tcPr>
          <w:p w14:paraId="787A3F2E">
            <w:pPr>
              <w:pStyle w:val="8"/>
              <w:spacing w:before="33"/>
              <w:ind w:left="10" w:leftChars="0" w:right="0" w:rightChars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整车基础报价，不含选装</w:t>
            </w:r>
          </w:p>
        </w:tc>
      </w:tr>
    </w:tbl>
    <w:p w14:paraId="2B8296B5">
      <w:pPr>
        <w:spacing w:before="4" w:line="240" w:lineRule="auto"/>
        <w:rPr>
          <w:b/>
          <w:sz w:val="21"/>
        </w:rPr>
      </w:pPr>
    </w:p>
    <w:p w14:paraId="32ECF018">
      <w:pPr>
        <w:spacing w:before="12" w:line="240" w:lineRule="auto"/>
        <w:rPr>
          <w:b/>
          <w:sz w:val="29"/>
        </w:rPr>
      </w:pPr>
    </w:p>
    <w:p w14:paraId="0629F026">
      <w:pPr>
        <w:jc w:val="left"/>
        <w:rPr>
          <w:rFonts w:ascii="仿宋" w:hAnsi="仿宋" w:eastAsia="仿宋"/>
          <w:color w:val="000000"/>
          <w:sz w:val="28"/>
          <w:szCs w:val="32"/>
        </w:rPr>
      </w:pPr>
      <w:r>
        <w:rPr>
          <w:rFonts w:hint="eastAsia" w:ascii="仿宋" w:hAnsi="仿宋" w:eastAsia="仿宋"/>
          <w:color w:val="000000"/>
          <w:sz w:val="28"/>
          <w:szCs w:val="32"/>
        </w:rPr>
        <w:t>2、</w:t>
      </w:r>
      <w:r>
        <w:rPr>
          <w:rFonts w:hint="eastAsia" w:ascii="仿宋" w:hAnsi="仿宋" w:eastAsia="仿宋"/>
          <w:color w:val="000000"/>
          <w:sz w:val="28"/>
          <w:szCs w:val="32"/>
          <w:lang w:val="en-US" w:eastAsia="zh-CN"/>
        </w:rPr>
        <w:t>牡丹</w:t>
      </w:r>
      <w:r>
        <w:rPr>
          <w:rFonts w:hint="eastAsia" w:ascii="仿宋" w:hAnsi="仿宋" w:eastAsia="仿宋"/>
          <w:color w:val="000000"/>
          <w:sz w:val="28"/>
          <w:szCs w:val="32"/>
        </w:rPr>
        <w:t>牌</w:t>
      </w:r>
      <w:r>
        <w:rPr>
          <w:rFonts w:hint="eastAsia" w:ascii="仿宋" w:hAnsi="仿宋" w:eastAsia="仿宋"/>
          <w:color w:val="000000"/>
          <w:sz w:val="28"/>
          <w:szCs w:val="32"/>
          <w:lang w:val="en-US" w:eastAsia="zh-CN"/>
        </w:rPr>
        <w:t>MD5022XZH3型指挥车</w:t>
      </w:r>
      <w:r>
        <w:rPr>
          <w:rFonts w:hint="eastAsia" w:ascii="仿宋" w:hAnsi="仿宋" w:eastAsia="仿宋"/>
          <w:color w:val="000000"/>
          <w:sz w:val="28"/>
          <w:szCs w:val="32"/>
        </w:rPr>
        <w:t>产品介绍</w:t>
      </w:r>
    </w:p>
    <w:tbl>
      <w:tblPr>
        <w:tblStyle w:val="4"/>
        <w:tblW w:w="961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71"/>
        <w:gridCol w:w="7845"/>
      </w:tblGrid>
      <w:tr w14:paraId="15AFE5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tcPr>
            <w:tcW w:w="9616" w:type="dxa"/>
            <w:gridSpan w:val="2"/>
          </w:tcPr>
          <w:p w14:paraId="3DB530D8">
            <w:pPr>
              <w:jc w:val="center"/>
              <w:rPr>
                <w:rFonts w:ascii="仿宋" w:hAnsi="仿宋" w:eastAsia="仿宋"/>
                <w:color w:val="000000"/>
                <w:kern w:val="0"/>
                <w:sz w:val="28"/>
                <w:szCs w:val="32"/>
              </w:rPr>
            </w:pPr>
            <w:r>
              <w:rPr>
                <w:rFonts w:hint="eastAsia" w:ascii="仿宋" w:hAnsi="仿宋" w:eastAsia="仿宋"/>
                <w:color w:val="000000"/>
                <w:kern w:val="0"/>
                <w:sz w:val="28"/>
                <w:szCs w:val="32"/>
                <w:lang w:val="en-US" w:eastAsia="zh-CN"/>
              </w:rPr>
              <w:t>MD5022XZH3型指挥车</w:t>
            </w:r>
            <w:r>
              <w:rPr>
                <w:rFonts w:hint="eastAsia" w:ascii="仿宋" w:hAnsi="仿宋" w:eastAsia="仿宋"/>
                <w:color w:val="000000"/>
                <w:kern w:val="0"/>
                <w:sz w:val="28"/>
                <w:szCs w:val="32"/>
              </w:rPr>
              <w:t>简介</w:t>
            </w:r>
          </w:p>
        </w:tc>
      </w:tr>
      <w:tr w14:paraId="0C4526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1" w:type="dxa"/>
            <w:vAlign w:val="center"/>
          </w:tcPr>
          <w:p w14:paraId="60833B9F">
            <w:pPr>
              <w:jc w:val="center"/>
              <w:rPr>
                <w:rFonts w:ascii="仿宋" w:hAnsi="仿宋" w:eastAsia="仿宋"/>
                <w:color w:val="000000"/>
                <w:kern w:val="0"/>
                <w:sz w:val="28"/>
                <w:szCs w:val="32"/>
              </w:rPr>
            </w:pPr>
            <w:r>
              <w:rPr>
                <w:rFonts w:hint="eastAsia" w:ascii="仿宋" w:hAnsi="仿宋" w:eastAsia="仿宋"/>
                <w:color w:val="000000"/>
                <w:kern w:val="0"/>
                <w:sz w:val="28"/>
                <w:szCs w:val="32"/>
              </w:rPr>
              <w:t>产品介绍</w:t>
            </w:r>
          </w:p>
        </w:tc>
        <w:tc>
          <w:tcPr>
            <w:tcW w:w="7845" w:type="dxa"/>
          </w:tcPr>
          <w:p w14:paraId="75806CC5">
            <w:pPr>
              <w:spacing w:line="360" w:lineRule="auto"/>
              <w:ind w:firstLine="480" w:firstLineChars="200"/>
              <w:rPr>
                <w:rFonts w:ascii="仿宋" w:hAnsi="仿宋" w:eastAsia="仿宋"/>
                <w:kern w:val="0"/>
                <w:sz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  <w:lang w:val="en-US" w:eastAsia="zh-CN"/>
              </w:rPr>
              <w:t>牡丹牌MD5022XZH3型指挥车</w:t>
            </w:r>
            <w:r>
              <w:rPr>
                <w:rFonts w:hint="eastAsia" w:ascii="仿宋" w:hAnsi="仿宋" w:eastAsia="仿宋"/>
                <w:kern w:val="0"/>
                <w:sz w:val="24"/>
              </w:rPr>
              <w:t>是采用通用别克GL8型7座车改装，整车配置</w:t>
            </w:r>
            <w:r>
              <w:rPr>
                <w:rFonts w:hint="eastAsia" w:ascii="仿宋" w:hAnsi="仿宋" w:eastAsia="仿宋"/>
                <w:kern w:val="0"/>
                <w:sz w:val="24"/>
                <w:lang w:val="en-US" w:eastAsia="zh-CN"/>
              </w:rPr>
              <w:t>车载电台</w:t>
            </w:r>
            <w:r>
              <w:rPr>
                <w:rFonts w:hint="eastAsia" w:ascii="仿宋" w:hAnsi="仿宋" w:eastAsia="仿宋"/>
                <w:kern w:val="0"/>
                <w:sz w:val="24"/>
              </w:rPr>
              <w:t>、</w:t>
            </w:r>
            <w:r>
              <w:rPr>
                <w:rFonts w:hint="eastAsia" w:ascii="仿宋" w:hAnsi="仿宋" w:eastAsia="仿宋"/>
                <w:kern w:val="0"/>
                <w:sz w:val="24"/>
                <w:lang w:val="en-US" w:eastAsia="zh-CN"/>
              </w:rPr>
              <w:t>行</w:t>
            </w:r>
            <w:r>
              <w:rPr>
                <w:rFonts w:hint="eastAsia" w:ascii="仿宋" w:hAnsi="仿宋" w:eastAsia="仿宋"/>
                <w:kern w:val="0"/>
                <w:sz w:val="24"/>
              </w:rPr>
              <w:t>李舱装备</w:t>
            </w:r>
            <w:r>
              <w:rPr>
                <w:rFonts w:hint="eastAsia" w:ascii="仿宋" w:hAnsi="仿宋" w:eastAsia="仿宋"/>
                <w:kern w:val="0"/>
                <w:sz w:val="24"/>
                <w:lang w:val="en-US" w:eastAsia="zh-CN"/>
              </w:rPr>
              <w:t>架</w:t>
            </w:r>
            <w:r>
              <w:rPr>
                <w:rFonts w:hint="eastAsia" w:ascii="仿宋" w:hAnsi="仿宋" w:eastAsia="仿宋"/>
                <w:kern w:val="0"/>
                <w:sz w:val="24"/>
              </w:rPr>
              <w:t>等车载警用装备、警示系统、以及电源接线盒、电源控制器等供电系统。</w:t>
            </w:r>
          </w:p>
          <w:p w14:paraId="075E25E8">
            <w:pPr>
              <w:spacing w:line="500" w:lineRule="exact"/>
              <w:jc w:val="left"/>
              <w:rPr>
                <w:rStyle w:val="9"/>
                <w:rFonts w:ascii="仿宋" w:hAnsi="仿宋" w:eastAsia="仿宋"/>
                <w:kern w:val="0"/>
                <w:sz w:val="24"/>
              </w:rPr>
            </w:pPr>
            <w:r>
              <w:rPr>
                <w:rFonts w:hint="eastAsia" w:ascii="仿宋" w:hAnsi="仿宋" w:eastAsia="仿宋"/>
                <w:kern w:val="0"/>
                <w:sz w:val="24"/>
              </w:rPr>
              <w:t xml:space="preserve">    在新形势下公安工作的特点下，旨在进一步深化社区警务战略和全警大巡逻工作，以执法服务巡逻车</w:t>
            </w:r>
            <w:r>
              <w:rPr>
                <w:rFonts w:hint="eastAsia" w:ascii="仿宋" w:hAnsi="仿宋" w:eastAsia="仿宋"/>
                <w:kern w:val="0"/>
                <w:sz w:val="24"/>
                <w:lang w:val="en-US" w:eastAsia="zh-CN"/>
              </w:rPr>
              <w:t>配合指挥车</w:t>
            </w:r>
            <w:r>
              <w:rPr>
                <w:rFonts w:hint="eastAsia" w:ascii="仿宋" w:hAnsi="仿宋" w:eastAsia="仿宋"/>
                <w:kern w:val="0"/>
                <w:sz w:val="24"/>
              </w:rPr>
              <w:t>为依托，切实构筑起整体联动、反应迅速的流动警务工作站布局，实现静态守护和动态巡逻相结合的巡控格局，全面提高公安机关管理、防范和控制社会治安的能力，同时在反恐防暴、应急工作现场处置过程中，实现突击保障。同时通过摄像监控系统及4G模块装置，可以实现移动中图像、语音、数据的实时、同步通信传输。</w:t>
            </w:r>
          </w:p>
        </w:tc>
      </w:tr>
      <w:tr w14:paraId="06156E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1" w:type="dxa"/>
            <w:vAlign w:val="center"/>
          </w:tcPr>
          <w:p w14:paraId="600AFD2E">
            <w:pPr>
              <w:jc w:val="center"/>
              <w:rPr>
                <w:rFonts w:ascii="仿宋" w:hAnsi="仿宋" w:eastAsia="仿宋"/>
                <w:color w:val="000000"/>
                <w:kern w:val="0"/>
                <w:sz w:val="28"/>
                <w:szCs w:val="32"/>
              </w:rPr>
            </w:pPr>
            <w:r>
              <w:rPr>
                <w:rFonts w:hint="eastAsia" w:ascii="仿宋" w:hAnsi="仿宋" w:eastAsia="仿宋"/>
                <w:color w:val="000000"/>
                <w:kern w:val="0"/>
                <w:sz w:val="28"/>
                <w:szCs w:val="32"/>
              </w:rPr>
              <w:t>功能描述</w:t>
            </w:r>
          </w:p>
        </w:tc>
        <w:tc>
          <w:tcPr>
            <w:tcW w:w="7845" w:type="dxa"/>
          </w:tcPr>
          <w:p w14:paraId="401127D6">
            <w:pPr>
              <w:spacing w:line="360" w:lineRule="auto"/>
              <w:rPr>
                <w:rStyle w:val="9"/>
                <w:rFonts w:ascii="仿宋" w:hAnsi="仿宋" w:eastAsia="仿宋"/>
                <w:b/>
                <w:bCs/>
                <w:kern w:val="0"/>
                <w:sz w:val="24"/>
              </w:rPr>
            </w:pPr>
            <w:r>
              <w:rPr>
                <w:rStyle w:val="9"/>
                <w:rFonts w:hint="eastAsia" w:ascii="仿宋" w:hAnsi="仿宋" w:eastAsia="仿宋"/>
                <w:b/>
                <w:bCs/>
                <w:kern w:val="0"/>
                <w:sz w:val="24"/>
              </w:rPr>
              <w:t>供电系统：</w:t>
            </w:r>
            <w:r>
              <w:rPr>
                <w:rFonts w:hint="eastAsia" w:ascii="仿宋" w:hAnsi="仿宋" w:eastAsia="仿宋"/>
                <w:kern w:val="0"/>
                <w:sz w:val="24"/>
              </w:rPr>
              <w:t>车载设备使用汽车电瓶供电，整车设备供电由汽车ACC统一管理控制，有利于保护汽车电瓶不损害；</w:t>
            </w:r>
          </w:p>
          <w:p w14:paraId="74DA5D09">
            <w:pPr>
              <w:spacing w:line="360" w:lineRule="auto"/>
              <w:rPr>
                <w:rStyle w:val="9"/>
                <w:rFonts w:ascii="仿宋" w:hAnsi="仿宋" w:eastAsia="仿宋"/>
                <w:b/>
                <w:bCs/>
                <w:kern w:val="0"/>
                <w:sz w:val="24"/>
              </w:rPr>
            </w:pPr>
            <w:r>
              <w:rPr>
                <w:rStyle w:val="9"/>
                <w:rFonts w:hint="eastAsia" w:ascii="仿宋" w:hAnsi="仿宋" w:eastAsia="仿宋"/>
                <w:b/>
                <w:bCs/>
                <w:kern w:val="0"/>
                <w:sz w:val="24"/>
                <w:lang w:val="en-US" w:eastAsia="zh-CN"/>
              </w:rPr>
              <w:t>通讯系统</w:t>
            </w:r>
            <w:r>
              <w:rPr>
                <w:rStyle w:val="9"/>
                <w:rFonts w:hint="eastAsia" w:ascii="仿宋" w:hAnsi="仿宋" w:eastAsia="仿宋"/>
                <w:b/>
                <w:bCs/>
                <w:kern w:val="0"/>
                <w:sz w:val="24"/>
              </w:rPr>
              <w:t>；</w:t>
            </w:r>
          </w:p>
          <w:p w14:paraId="0984138C">
            <w:pPr>
              <w:spacing w:line="360" w:lineRule="auto"/>
              <w:rPr>
                <w:rFonts w:hint="eastAsia" w:ascii="仿宋" w:hAnsi="仿宋" w:eastAsia="仿宋"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/>
                <w:kern w:val="0"/>
                <w:sz w:val="24"/>
                <w:lang w:val="en-US" w:eastAsia="zh-CN"/>
              </w:rPr>
              <w:t>车载电台</w:t>
            </w:r>
          </w:p>
          <w:p w14:paraId="2C9A3945">
            <w:pPr>
              <w:spacing w:line="360" w:lineRule="auto"/>
              <w:rPr>
                <w:rStyle w:val="9"/>
                <w:rFonts w:ascii="仿宋" w:hAnsi="仿宋" w:eastAsia="仿宋"/>
                <w:b/>
                <w:bCs/>
                <w:kern w:val="0"/>
                <w:sz w:val="24"/>
              </w:rPr>
            </w:pPr>
            <w:r>
              <w:rPr>
                <w:rStyle w:val="9"/>
                <w:rFonts w:hint="eastAsia" w:ascii="仿宋" w:hAnsi="仿宋" w:eastAsia="仿宋"/>
                <w:b/>
                <w:bCs/>
                <w:kern w:val="0"/>
                <w:sz w:val="24"/>
              </w:rPr>
              <w:t>装备存储功能：</w:t>
            </w:r>
            <w:r>
              <w:rPr>
                <w:rFonts w:hint="eastAsia" w:ascii="仿宋" w:hAnsi="仿宋" w:eastAsia="仿宋"/>
                <w:kern w:val="0"/>
                <w:sz w:val="24"/>
              </w:rPr>
              <w:t>采用了专利技术，充分利用车内空间同时，对装备存取可实现快速，高效；</w:t>
            </w:r>
          </w:p>
          <w:p w14:paraId="5DD169A7">
            <w:pPr>
              <w:spacing w:line="360" w:lineRule="auto"/>
              <w:rPr>
                <w:rFonts w:ascii="仿宋" w:hAnsi="仿宋" w:eastAsia="仿宋"/>
                <w:kern w:val="0"/>
                <w:sz w:val="24"/>
              </w:rPr>
            </w:pPr>
          </w:p>
        </w:tc>
      </w:tr>
      <w:tr w14:paraId="1787A0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1" w:type="dxa"/>
            <w:vAlign w:val="center"/>
          </w:tcPr>
          <w:p w14:paraId="3A245EAD">
            <w:pPr>
              <w:jc w:val="center"/>
              <w:rPr>
                <w:rFonts w:ascii="仿宋" w:hAnsi="仿宋" w:eastAsia="仿宋"/>
                <w:color w:val="000000"/>
                <w:kern w:val="0"/>
                <w:sz w:val="28"/>
                <w:szCs w:val="32"/>
              </w:rPr>
            </w:pPr>
          </w:p>
          <w:p w14:paraId="380A190E">
            <w:pPr>
              <w:jc w:val="center"/>
              <w:rPr>
                <w:rFonts w:ascii="仿宋" w:hAnsi="仿宋" w:eastAsia="仿宋"/>
                <w:color w:val="000000"/>
                <w:kern w:val="0"/>
                <w:sz w:val="28"/>
                <w:szCs w:val="32"/>
              </w:rPr>
            </w:pPr>
          </w:p>
          <w:p w14:paraId="6889C38C">
            <w:pPr>
              <w:jc w:val="center"/>
              <w:rPr>
                <w:rFonts w:ascii="仿宋" w:hAnsi="仿宋" w:eastAsia="仿宋"/>
                <w:color w:val="000000"/>
                <w:kern w:val="0"/>
                <w:sz w:val="28"/>
                <w:szCs w:val="32"/>
              </w:rPr>
            </w:pPr>
            <w:r>
              <w:rPr>
                <w:rFonts w:hint="eastAsia" w:ascii="仿宋" w:hAnsi="仿宋" w:eastAsia="仿宋"/>
                <w:color w:val="000000"/>
                <w:kern w:val="0"/>
                <w:sz w:val="28"/>
                <w:szCs w:val="32"/>
              </w:rPr>
              <w:t>车型图片</w:t>
            </w:r>
          </w:p>
          <w:p w14:paraId="0B34BB37">
            <w:pPr>
              <w:jc w:val="center"/>
              <w:rPr>
                <w:rFonts w:ascii="仿宋" w:hAnsi="仿宋" w:eastAsia="仿宋"/>
                <w:color w:val="000000"/>
                <w:kern w:val="0"/>
                <w:sz w:val="28"/>
                <w:szCs w:val="32"/>
              </w:rPr>
            </w:pPr>
          </w:p>
          <w:p w14:paraId="16275BDF">
            <w:pPr>
              <w:jc w:val="center"/>
              <w:rPr>
                <w:rFonts w:ascii="仿宋" w:hAnsi="仿宋" w:eastAsia="仿宋"/>
                <w:color w:val="000000"/>
                <w:kern w:val="0"/>
                <w:sz w:val="28"/>
                <w:szCs w:val="32"/>
              </w:rPr>
            </w:pPr>
          </w:p>
        </w:tc>
        <w:tc>
          <w:tcPr>
            <w:tcW w:w="7845" w:type="dxa"/>
          </w:tcPr>
          <w:p w14:paraId="12EE1A61">
            <w:pPr>
              <w:spacing w:line="360" w:lineRule="auto"/>
              <w:jc w:val="center"/>
              <w:rPr>
                <w:rStyle w:val="9"/>
                <w:rFonts w:ascii="仿宋" w:hAnsi="仿宋" w:eastAsia="仿宋"/>
                <w:b/>
                <w:bCs/>
                <w:kern w:val="0"/>
                <w:sz w:val="24"/>
              </w:rPr>
            </w:pPr>
          </w:p>
          <w:p w14:paraId="04EEFDD9">
            <w:pPr>
              <w:spacing w:line="360" w:lineRule="auto"/>
              <w:jc w:val="center"/>
              <w:rPr>
                <w:rStyle w:val="9"/>
                <w:rFonts w:hint="eastAsia" w:ascii="仿宋" w:hAnsi="仿宋" w:eastAsia="仿宋"/>
                <w:b/>
                <w:bCs/>
                <w:kern w:val="0"/>
                <w:sz w:val="24"/>
                <w:lang w:eastAsia="zh-CN"/>
              </w:rPr>
            </w:pPr>
          </w:p>
          <w:p w14:paraId="1607AA57">
            <w:pPr>
              <w:spacing w:line="360" w:lineRule="auto"/>
              <w:jc w:val="center"/>
              <w:rPr>
                <w:rStyle w:val="9"/>
                <w:rFonts w:hint="eastAsia" w:ascii="仿宋" w:hAnsi="仿宋" w:eastAsia="仿宋"/>
                <w:b/>
                <w:bCs/>
                <w:kern w:val="0"/>
                <w:sz w:val="24"/>
                <w:lang w:eastAsia="zh-CN"/>
              </w:rPr>
            </w:pPr>
            <w:r>
              <w:rPr>
                <w:rStyle w:val="9"/>
                <w:rFonts w:hint="eastAsia" w:ascii="仿宋" w:hAnsi="仿宋" w:eastAsia="仿宋"/>
                <w:b/>
                <w:bCs/>
                <w:kern w:val="0"/>
                <w:sz w:val="24"/>
                <w:lang w:eastAsia="zh-CN"/>
              </w:rPr>
              <w:drawing>
                <wp:inline distT="0" distB="0" distL="114300" distR="114300">
                  <wp:extent cx="4823460" cy="3617595"/>
                  <wp:effectExtent l="0" t="0" r="7620" b="9525"/>
                  <wp:docPr id="1" name="图片 1" descr="00fd6b63e1617707a70c127dba7cc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00fd6b63e1617707a70c127dba7cc3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3460" cy="361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9"/>
                <w:rFonts w:hint="eastAsia" w:ascii="仿宋" w:hAnsi="仿宋" w:eastAsia="仿宋"/>
                <w:b/>
                <w:bCs/>
                <w:kern w:val="0"/>
                <w:sz w:val="24"/>
                <w:lang w:eastAsia="zh-CN"/>
              </w:rPr>
              <w:drawing>
                <wp:inline distT="0" distB="0" distL="114300" distR="114300">
                  <wp:extent cx="4823460" cy="3617595"/>
                  <wp:effectExtent l="0" t="0" r="7620" b="9525"/>
                  <wp:docPr id="2" name="图片 2" descr="5528fceeca732843eb05ff3b99f070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5528fceeca732843eb05ff3b99f070b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3460" cy="361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4E5A1D">
            <w:pPr>
              <w:spacing w:line="360" w:lineRule="auto"/>
              <w:jc w:val="center"/>
              <w:rPr>
                <w:rStyle w:val="9"/>
                <w:rFonts w:hint="eastAsia" w:ascii="仿宋" w:hAnsi="仿宋" w:eastAsia="仿宋"/>
                <w:b/>
                <w:bCs/>
                <w:kern w:val="0"/>
                <w:sz w:val="24"/>
                <w:lang w:eastAsia="zh-CN"/>
              </w:rPr>
            </w:pPr>
            <w:r>
              <w:rPr>
                <w:rStyle w:val="9"/>
                <w:rFonts w:hint="eastAsia" w:ascii="仿宋" w:hAnsi="仿宋" w:eastAsia="仿宋"/>
                <w:b/>
                <w:bCs/>
                <w:kern w:val="0"/>
                <w:sz w:val="24"/>
                <w:lang w:eastAsia="zh-CN"/>
              </w:rPr>
              <w:drawing>
                <wp:inline distT="0" distB="0" distL="114300" distR="114300">
                  <wp:extent cx="4813300" cy="3609975"/>
                  <wp:effectExtent l="0" t="0" r="2540" b="1905"/>
                  <wp:docPr id="3" name="图片 3" descr="0edb590e95fa2aeb493c54223ef2a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0edb590e95fa2aeb493c54223ef2a9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3300" cy="360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9"/>
                <w:rFonts w:hint="eastAsia" w:ascii="仿宋" w:hAnsi="仿宋" w:eastAsia="仿宋"/>
                <w:b/>
                <w:bCs/>
                <w:kern w:val="0"/>
                <w:sz w:val="24"/>
                <w:lang w:eastAsia="zh-CN"/>
              </w:rPr>
              <w:drawing>
                <wp:inline distT="0" distB="0" distL="114300" distR="114300">
                  <wp:extent cx="4813300" cy="3609975"/>
                  <wp:effectExtent l="0" t="0" r="2540" b="1905"/>
                  <wp:docPr id="4" name="图片 4" descr="50c52595518dbe573a0f369c3448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50c52595518dbe573a0f369c344845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3300" cy="360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58E56B">
            <w:pPr>
              <w:spacing w:line="360" w:lineRule="auto"/>
              <w:jc w:val="center"/>
              <w:rPr>
                <w:rStyle w:val="9"/>
                <w:rFonts w:ascii="仿宋" w:hAnsi="仿宋" w:eastAsia="仿宋"/>
                <w:b/>
                <w:bCs/>
                <w:kern w:val="0"/>
                <w:sz w:val="24"/>
              </w:rPr>
            </w:pPr>
          </w:p>
          <w:p w14:paraId="7F9DA708">
            <w:pPr>
              <w:spacing w:line="360" w:lineRule="auto"/>
              <w:jc w:val="center"/>
              <w:rPr>
                <w:rStyle w:val="9"/>
                <w:rFonts w:hint="eastAsia" w:ascii="仿宋" w:hAnsi="仿宋" w:eastAsia="仿宋"/>
                <w:b/>
                <w:bCs/>
                <w:kern w:val="0"/>
                <w:sz w:val="24"/>
                <w:lang w:eastAsia="zh-CN"/>
              </w:rPr>
            </w:pPr>
          </w:p>
          <w:p w14:paraId="547C55B6">
            <w:pPr>
              <w:spacing w:line="360" w:lineRule="auto"/>
              <w:jc w:val="center"/>
              <w:rPr>
                <w:rStyle w:val="9"/>
                <w:rFonts w:hint="eastAsia" w:ascii="仿宋" w:hAnsi="仿宋" w:eastAsia="仿宋"/>
                <w:b/>
                <w:bCs/>
                <w:kern w:val="0"/>
                <w:sz w:val="24"/>
                <w:lang w:eastAsia="zh-CN"/>
              </w:rPr>
            </w:pPr>
          </w:p>
          <w:p w14:paraId="63F91BB8">
            <w:pPr>
              <w:spacing w:line="360" w:lineRule="auto"/>
              <w:jc w:val="center"/>
              <w:rPr>
                <w:rStyle w:val="9"/>
                <w:rFonts w:hint="eastAsia" w:ascii="仿宋" w:hAnsi="仿宋" w:eastAsia="仿宋"/>
                <w:b/>
                <w:bCs/>
                <w:kern w:val="0"/>
                <w:sz w:val="24"/>
                <w:lang w:eastAsia="zh-CN"/>
              </w:rPr>
            </w:pPr>
          </w:p>
        </w:tc>
      </w:tr>
    </w:tbl>
    <w:p w14:paraId="0A11FFF7">
      <w:pPr>
        <w:spacing w:before="12" w:line="240" w:lineRule="auto"/>
        <w:rPr>
          <w:b/>
          <w:sz w:val="29"/>
        </w:rPr>
      </w:pPr>
    </w:p>
    <w:p w14:paraId="06B09EB8"/>
    <w:p w14:paraId="132360BA">
      <w:pPr>
        <w:spacing w:before="12" w:line="240" w:lineRule="auto"/>
        <w:rPr>
          <w:b/>
          <w:sz w:val="29"/>
        </w:rPr>
      </w:pPr>
    </w:p>
    <w:p w14:paraId="5AC4A842">
      <w:pPr>
        <w:spacing w:before="12" w:line="240" w:lineRule="auto"/>
        <w:rPr>
          <w:b/>
          <w:sz w:val="29"/>
        </w:rPr>
      </w:pPr>
    </w:p>
    <w:p w14:paraId="091567B7">
      <w:pPr>
        <w:spacing w:before="12" w:line="240" w:lineRule="auto"/>
        <w:rPr>
          <w:b/>
          <w:sz w:val="29"/>
        </w:rPr>
      </w:pPr>
    </w:p>
    <w:p w14:paraId="4A37D5F6">
      <w:pPr>
        <w:spacing w:before="12" w:line="240" w:lineRule="auto"/>
        <w:rPr>
          <w:b/>
          <w:sz w:val="29"/>
        </w:rPr>
      </w:pPr>
    </w:p>
    <w:p w14:paraId="49B24CA7">
      <w:pPr>
        <w:spacing w:before="12" w:line="240" w:lineRule="auto"/>
        <w:rPr>
          <w:b/>
          <w:sz w:val="29"/>
        </w:rPr>
      </w:pPr>
    </w:p>
    <w:p w14:paraId="6FB53211">
      <w:pPr>
        <w:spacing w:before="12" w:line="240" w:lineRule="auto"/>
        <w:rPr>
          <w:b/>
          <w:sz w:val="29"/>
        </w:rPr>
      </w:pPr>
    </w:p>
    <w:p w14:paraId="530A7E99">
      <w:pPr>
        <w:spacing w:before="12" w:line="240" w:lineRule="auto"/>
        <w:rPr>
          <w:b/>
          <w:sz w:val="29"/>
        </w:rPr>
      </w:pPr>
    </w:p>
    <w:p w14:paraId="54776F13">
      <w:pPr>
        <w:spacing w:before="12" w:line="240" w:lineRule="auto"/>
        <w:rPr>
          <w:b/>
          <w:sz w:val="29"/>
        </w:rPr>
      </w:pPr>
    </w:p>
    <w:p w14:paraId="4CF28A29">
      <w:pPr>
        <w:spacing w:before="12" w:line="240" w:lineRule="auto"/>
        <w:rPr>
          <w:b/>
          <w:sz w:val="29"/>
        </w:rPr>
      </w:pPr>
    </w:p>
    <w:p w14:paraId="70AF6574">
      <w:pPr>
        <w:spacing w:before="12" w:line="240" w:lineRule="auto"/>
        <w:rPr>
          <w:b/>
          <w:sz w:val="29"/>
        </w:rPr>
      </w:pPr>
    </w:p>
    <w:p w14:paraId="72DDC772">
      <w:pPr>
        <w:spacing w:before="12" w:line="240" w:lineRule="auto"/>
        <w:rPr>
          <w:b/>
          <w:sz w:val="29"/>
        </w:rPr>
      </w:pPr>
    </w:p>
    <w:p w14:paraId="59AB8E9E">
      <w:pPr>
        <w:spacing w:before="12" w:line="240" w:lineRule="auto"/>
        <w:rPr>
          <w:b/>
          <w:sz w:val="29"/>
        </w:rPr>
      </w:pPr>
    </w:p>
    <w:p w14:paraId="6D52D49C">
      <w:pPr>
        <w:spacing w:before="12" w:line="240" w:lineRule="auto"/>
        <w:rPr>
          <w:b/>
          <w:sz w:val="29"/>
        </w:rPr>
      </w:pPr>
    </w:p>
    <w:p w14:paraId="63626B1A">
      <w:pPr>
        <w:spacing w:before="12" w:line="240" w:lineRule="auto"/>
        <w:rPr>
          <w:b/>
          <w:sz w:val="29"/>
        </w:rPr>
      </w:pPr>
    </w:p>
    <w:p w14:paraId="385C4D81">
      <w:pPr>
        <w:spacing w:before="12" w:line="240" w:lineRule="auto"/>
        <w:rPr>
          <w:b/>
          <w:sz w:val="29"/>
        </w:rPr>
      </w:pPr>
    </w:p>
    <w:p w14:paraId="1A043058">
      <w:pPr>
        <w:spacing w:before="12" w:line="240" w:lineRule="auto"/>
        <w:rPr>
          <w:b/>
          <w:sz w:val="29"/>
        </w:rPr>
      </w:pPr>
    </w:p>
    <w:p w14:paraId="291902F9">
      <w:pPr>
        <w:spacing w:before="12" w:line="240" w:lineRule="auto"/>
        <w:rPr>
          <w:rFonts w:hint="eastAsia"/>
          <w:b/>
          <w:sz w:val="29"/>
          <w:lang w:val="en-US" w:eastAsia="zh-CN"/>
        </w:rPr>
      </w:pPr>
      <w:r>
        <w:rPr>
          <w:rFonts w:hint="eastAsia"/>
          <w:b/>
          <w:sz w:val="29"/>
          <w:lang w:val="en-US" w:eastAsia="zh-CN"/>
        </w:rPr>
        <w:t>公告页：</w:t>
      </w:r>
    </w:p>
    <w:p w14:paraId="75FA1E38">
      <w:pPr>
        <w:spacing w:before="12" w:line="240" w:lineRule="auto"/>
      </w:pPr>
      <w:r>
        <w:drawing>
          <wp:inline distT="0" distB="0" distL="114300" distR="114300">
            <wp:extent cx="5507990" cy="7884795"/>
            <wp:effectExtent l="0" t="0" r="8890" b="952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7990" cy="788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ACB34">
      <w:pPr>
        <w:spacing w:before="12" w:line="240" w:lineRule="auto"/>
      </w:pPr>
    </w:p>
    <w:p w14:paraId="7281AF98">
      <w:pPr>
        <w:spacing w:before="12" w:line="240" w:lineRule="auto"/>
      </w:pPr>
    </w:p>
    <w:p w14:paraId="0CF0B872">
      <w:pPr>
        <w:spacing w:before="12" w:line="240" w:lineRule="auto"/>
      </w:pPr>
    </w:p>
    <w:p w14:paraId="29D93ADA">
      <w:pPr>
        <w:spacing w:before="12" w:line="240" w:lineRule="auto"/>
      </w:pPr>
    </w:p>
    <w:p w14:paraId="41C1CC15">
      <w:pPr>
        <w:spacing w:before="12" w:line="240" w:lineRule="auto"/>
      </w:pPr>
    </w:p>
    <w:p w14:paraId="0B645696">
      <w:pPr>
        <w:spacing w:before="12" w:line="240" w:lineRule="auto"/>
      </w:pPr>
    </w:p>
    <w:p w14:paraId="3DB27720">
      <w:pPr>
        <w:spacing w:before="12" w:line="240" w:lineRule="auto"/>
      </w:pPr>
    </w:p>
    <w:p w14:paraId="42A5BD24">
      <w:pPr>
        <w:spacing w:before="12" w:line="240" w:lineRule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622925" cy="4344670"/>
            <wp:effectExtent l="0" t="0" r="635" b="13970"/>
            <wp:docPr id="5" name="图片 5" descr="d5197609d74ce3af83d238dfea90f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5197609d74ce3af83d238dfea90f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22925" cy="434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10" w:h="16840"/>
      <w:pgMar w:top="1440" w:right="1520" w:bottom="280" w:left="152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细黑一...">
    <w:altName w:val="黑体"/>
    <w:panose1 w:val="00000000000000000000"/>
    <w:charset w:val="86"/>
    <w:family w:val="decorative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BlZGIyZjZjYjMxZTVlMDc4OTY2ZTcxYmE5YTVkY2YifQ=="/>
  </w:docVars>
  <w:rsids>
    <w:rsidRoot w:val="00000000"/>
    <w:rsid w:val="0D7A2FB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character" w:default="1" w:styleId="5">
    <w:name w:val="Default Paragraph Font"/>
    <w:qFormat/>
    <w:uiPriority w:val="1"/>
  </w:style>
  <w:style w:type="table" w:default="1" w:styleId="3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spacing w:before="4"/>
    </w:pPr>
    <w:rPr>
      <w:rFonts w:ascii="宋体" w:hAnsi="宋体" w:eastAsia="宋体" w:cs="宋体"/>
      <w:b/>
      <w:bCs/>
      <w:sz w:val="28"/>
      <w:szCs w:val="28"/>
      <w:lang w:val="zh-CN" w:eastAsia="zh-CN" w:bidi="zh-CN"/>
    </w:rPr>
  </w:style>
  <w:style w:type="table" w:styleId="4">
    <w:name w:val="Table Grid"/>
    <w:basedOn w:val="3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Table Normal"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7">
    <w:name w:val="List Paragraph"/>
    <w:basedOn w:val="1"/>
    <w:qFormat/>
    <w:uiPriority w:val="1"/>
    <w:rPr>
      <w:lang w:val="zh-CN" w:eastAsia="zh-CN" w:bidi="zh-CN"/>
    </w:rPr>
  </w:style>
  <w:style w:type="paragraph" w:customStyle="1" w:styleId="8">
    <w:name w:val="Table Paragraph"/>
    <w:basedOn w:val="1"/>
    <w:qFormat/>
    <w:uiPriority w:val="1"/>
    <w:rPr>
      <w:rFonts w:ascii="宋体" w:hAnsi="宋体" w:eastAsia="宋体" w:cs="宋体"/>
      <w:lang w:val="zh-CN" w:eastAsia="zh-CN" w:bidi="zh-CN"/>
    </w:rPr>
  </w:style>
  <w:style w:type="character" w:customStyle="1" w:styleId="9">
    <w:name w:val="A2"/>
    <w:qFormat/>
    <w:uiPriority w:val="0"/>
    <w:rPr>
      <w:rFonts w:cs="方正细黑一..."/>
      <w:color w:val="00000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719</Words>
  <Characters>834</Characters>
  <Paragraphs>99</Paragraphs>
  <TotalTime>159</TotalTime>
  <ScaleCrop>false</ScaleCrop>
  <LinksUpToDate>false</LinksUpToDate>
  <CharactersWithSpaces>878</CharactersWithSpaces>
  <Application>WPS Office_12.1.0.18166_F1E327BC-269C-435d-A152-05C5408002CA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2020-12-22T07:38:00Z</dcterms:created>
  <dc:creator>86189</dc:creator>
  <cp:lastModifiedBy>胖子</cp:lastModifiedBy>
  <dcterms:modified xsi:type="dcterms:W3CDTF">2024-08-28T06:34:05Z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2020-07-15T00:00:00Z</vt:filetime>
  </property>
  <property fmtid="{D5CDD505-2E9C-101B-9397-08002B2CF9AE}" pid="3" name="Creator">
    <vt:lpwstr>WPS 文字</vt:lpwstr>
  </property>
  <property fmtid="{D5CDD505-2E9C-101B-9397-08002B2CF9AE}" pid="4" name="LastSaved">
    <vt:filetime>2020-12-22T00:00:00Z</vt:filetime>
  </property>
  <property fmtid="{D5CDD505-2E9C-101B-9397-08002B2CF9AE}" pid="5" name="KSOProductBuildVer">
    <vt:lpwstr>2052-12.1.0.18166</vt:lpwstr>
  </property>
  <property fmtid="{D5CDD505-2E9C-101B-9397-08002B2CF9AE}" pid="6" name="ICV">
    <vt:lpwstr>D837232FAC3A47B8B4516A6F4F5140F1_13</vt:lpwstr>
  </property>
</Properties>
</file>