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526" w:type="dxa"/>
        <w:tblInd w:w="-98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1"/>
        <w:gridCol w:w="9485"/>
      </w:tblGrid>
      <w:tr w14:paraId="2CD8C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041" w:type="dxa"/>
            <w:vMerge w:val="restart"/>
            <w:tcBorders>
              <w:tl2br w:val="nil"/>
              <w:tr2bl w:val="nil"/>
            </w:tcBorders>
            <w:shd w:val="clear" w:color="000000" w:fill="FFFFFF"/>
            <w:vAlign w:val="center"/>
          </w:tcPr>
          <w:p w14:paraId="7D86A443">
            <w:pPr>
              <w:widowControl/>
              <w:jc w:val="center"/>
              <w:rPr>
                <w:rFonts w:hint="eastAsia" w:ascii="宋体" w:hAnsi="宋体" w:eastAsia="宋体" w:cs="宋体"/>
                <w:b/>
                <w:bCs/>
                <w:color w:val="auto"/>
                <w:kern w:val="0"/>
                <w:sz w:val="18"/>
                <w:szCs w:val="18"/>
              </w:rPr>
            </w:pPr>
            <w:bookmarkStart w:id="0" w:name="_GoBack"/>
            <w:bookmarkEnd w:id="0"/>
            <w:r>
              <w:rPr>
                <w:rFonts w:hint="eastAsia" w:ascii="宋体" w:hAnsi="宋体" w:eastAsia="宋体" w:cs="宋体"/>
                <w:b/>
                <w:bCs/>
                <w:color w:val="auto"/>
                <w:kern w:val="0"/>
                <w:sz w:val="18"/>
                <w:szCs w:val="18"/>
              </w:rPr>
              <w:t>指标</w:t>
            </w:r>
          </w:p>
        </w:tc>
        <w:tc>
          <w:tcPr>
            <w:tcW w:w="9485" w:type="dxa"/>
            <w:vMerge w:val="restart"/>
            <w:tcBorders>
              <w:tl2br w:val="nil"/>
              <w:tr2bl w:val="nil"/>
            </w:tcBorders>
            <w:shd w:val="clear" w:color="000000" w:fill="FFFFFF"/>
            <w:vAlign w:val="center"/>
          </w:tcPr>
          <w:p w14:paraId="31588AFD">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具体要求</w:t>
            </w:r>
          </w:p>
        </w:tc>
      </w:tr>
      <w:tr w14:paraId="74F4B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1041" w:type="dxa"/>
            <w:vMerge w:val="continue"/>
            <w:tcBorders>
              <w:tl2br w:val="nil"/>
              <w:tr2bl w:val="nil"/>
            </w:tcBorders>
            <w:vAlign w:val="center"/>
          </w:tcPr>
          <w:p w14:paraId="1466714B">
            <w:pPr>
              <w:widowControl/>
              <w:jc w:val="center"/>
              <w:rPr>
                <w:rFonts w:hint="eastAsia" w:ascii="宋体" w:hAnsi="宋体" w:eastAsia="宋体" w:cs="宋体"/>
                <w:color w:val="auto"/>
                <w:kern w:val="0"/>
                <w:sz w:val="18"/>
                <w:szCs w:val="18"/>
              </w:rPr>
            </w:pPr>
          </w:p>
        </w:tc>
        <w:tc>
          <w:tcPr>
            <w:tcW w:w="9485" w:type="dxa"/>
            <w:vMerge w:val="continue"/>
            <w:tcBorders>
              <w:tl2br w:val="nil"/>
              <w:tr2bl w:val="nil"/>
            </w:tcBorders>
            <w:vAlign w:val="center"/>
          </w:tcPr>
          <w:p w14:paraId="3914FB2D">
            <w:pPr>
              <w:widowControl/>
              <w:jc w:val="left"/>
              <w:rPr>
                <w:rFonts w:hint="eastAsia" w:ascii="宋体" w:hAnsi="宋体" w:eastAsia="宋体" w:cs="宋体"/>
                <w:color w:val="auto"/>
                <w:kern w:val="0"/>
                <w:sz w:val="18"/>
                <w:szCs w:val="18"/>
              </w:rPr>
            </w:pPr>
          </w:p>
        </w:tc>
      </w:tr>
      <w:tr w14:paraId="36D32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6B4E47D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性能规格</w:t>
            </w:r>
          </w:p>
        </w:tc>
        <w:tc>
          <w:tcPr>
            <w:tcW w:w="9485" w:type="dxa"/>
            <w:tcBorders>
              <w:tl2br w:val="nil"/>
              <w:tr2bl w:val="nil"/>
            </w:tcBorders>
            <w:shd w:val="clear" w:color="000000" w:fill="FFFFFF"/>
            <w:vAlign w:val="center"/>
          </w:tcPr>
          <w:p w14:paraId="3527116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整机吞吐8G，基于飞腾平台和银河麒麟操作系统；标准1U机架式设备;IPSec国际算法吞吐量2G/IPSec国密算法吞吐量300M;支持SM1/2/3/4算法;默认支持2000隧道数;整机吞吐8G;最大并发连接数50万;标配8个千兆电口;4个千兆光口;1个console接口;2个USB接口;2个接口板卡扩展插槽;单电源;含三年质保服务和三年高级安全功能特征库升级服务，包含威胁情报、入侵防御、防病毒及相应特征库升级</w:t>
            </w:r>
          </w:p>
        </w:tc>
      </w:tr>
      <w:tr w14:paraId="036390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10711DA0">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强制性要求</w:t>
            </w:r>
          </w:p>
        </w:tc>
        <w:tc>
          <w:tcPr>
            <w:tcW w:w="9485" w:type="dxa"/>
            <w:tcBorders>
              <w:tl2br w:val="nil"/>
              <w:tr2bl w:val="nil"/>
            </w:tcBorders>
            <w:shd w:val="clear" w:color="000000" w:fill="FFFFFF"/>
            <w:vAlign w:val="center"/>
          </w:tcPr>
          <w:p w14:paraId="71E9055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国产化信创设备，必须支持“智慧医保”嘉兴市级安全接入区的统一监测及安全事件上报，上报至安全接入区运维管理平台。</w:t>
            </w:r>
          </w:p>
        </w:tc>
      </w:tr>
      <w:tr w14:paraId="124D4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5D911C3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部署模式</w:t>
            </w:r>
          </w:p>
        </w:tc>
        <w:tc>
          <w:tcPr>
            <w:tcW w:w="9485" w:type="dxa"/>
            <w:tcBorders>
              <w:tl2br w:val="nil"/>
              <w:tr2bl w:val="nil"/>
            </w:tcBorders>
            <w:shd w:val="clear" w:color="000000" w:fill="FFFFFF"/>
            <w:vAlign w:val="center"/>
          </w:tcPr>
          <w:p w14:paraId="22F4542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产品支持路由、透明、交换以及混合模式接入，复杂应用环境的接入需求。</w:t>
            </w:r>
          </w:p>
        </w:tc>
      </w:tr>
      <w:tr w14:paraId="29409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395402E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路由协议</w:t>
            </w:r>
          </w:p>
        </w:tc>
        <w:tc>
          <w:tcPr>
            <w:tcW w:w="9485" w:type="dxa"/>
            <w:tcBorders>
              <w:tl2br w:val="nil"/>
              <w:tr2bl w:val="nil"/>
            </w:tcBorders>
            <w:shd w:val="clear" w:color="000000" w:fill="FFFFFF"/>
            <w:vAlign w:val="center"/>
          </w:tcPr>
          <w:p w14:paraId="6700EAE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★所投产品必须支持静态路由、策略路由及动态路由。策略路由支持用户自定义其优先级，动态路由应至少支持RIP v1/v2/ng，OSPFv2/v3，BGP4/4+协议；（投标文件需要提供能够体现上述功能及配置选项的</w:t>
            </w:r>
            <w:r>
              <w:rPr>
                <w:color w:val="auto"/>
              </w:rPr>
              <w:fldChar w:fldCharType="begin"/>
            </w:r>
            <w:r>
              <w:rPr>
                <w:color w:val="auto"/>
              </w:rPr>
              <w:instrText xml:space="preserve"> HYPERLINK \l "_静态和动态路由"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F40C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D1DF006">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08DE96C">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★所投产品必须支持基于策略的路由负载，支持根据安全域、地址、ISP、用户、应用和服务定义精细化策略，支持基于链路质量探测进行智能选路。（投标文件需要提供能够体现上述功能及配置选项的</w:t>
            </w:r>
            <w:r>
              <w:rPr>
                <w:color w:val="auto"/>
              </w:rPr>
              <w:fldChar w:fldCharType="begin"/>
            </w:r>
            <w:r>
              <w:rPr>
                <w:color w:val="auto"/>
              </w:rPr>
              <w:instrText xml:space="preserve"> HYPERLINK \l "_策略路由"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302A1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44004B92">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A60019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支持基于IPv4或IPv6的TCP、HTTP、DNS、ICMP等方式的链路健康探测，同时TCP与HTTP可使用自定义目标端口进行测试</w:t>
            </w:r>
          </w:p>
        </w:tc>
      </w:tr>
      <w:tr w14:paraId="758F7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58DE7645">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96C29E1">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★支持基于隧道内遥测技术的链路质量探测，可对链路的连通性、时延、抖动、跳数进行探测，保证探测的有效性。（投标文件需要提供能够体现上述功能及配置选项的</w:t>
            </w:r>
            <w:r>
              <w:rPr>
                <w:color w:val="auto"/>
              </w:rPr>
              <w:fldChar w:fldCharType="begin"/>
            </w:r>
            <w:r>
              <w:rPr>
                <w:color w:val="auto"/>
              </w:rPr>
              <w:instrText xml:space="preserve"> HYPERLINK \l "_链路质量探测"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EBD8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1CCA71A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1D778F3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所投产品必须支持ISP路由负载均衡，最大可支持8条链路负载，支持自定义负载权重，支持基于优先级的ISP路由链路备份；</w:t>
            </w:r>
          </w:p>
        </w:tc>
      </w:tr>
      <w:tr w14:paraId="09130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191CA1F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地址转换</w:t>
            </w:r>
          </w:p>
        </w:tc>
        <w:tc>
          <w:tcPr>
            <w:tcW w:w="9485" w:type="dxa"/>
            <w:tcBorders>
              <w:tl2br w:val="nil"/>
              <w:tr2bl w:val="nil"/>
            </w:tcBorders>
            <w:shd w:val="clear" w:color="000000" w:fill="FFFFFF"/>
            <w:vAlign w:val="center"/>
          </w:tcPr>
          <w:p w14:paraId="7A7F84B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★所投产品必须支持全面的NAT转换配置，包括包括一对一，一对多，多对一的源、目的地址转换，并至少支持FULL_CONE模式和SyMMETRIC模式（投标文件需要提供能够体现上述功能及配置选项的</w:t>
            </w:r>
            <w:r>
              <w:rPr>
                <w:color w:val="auto"/>
              </w:rPr>
              <w:fldChar w:fldCharType="begin"/>
            </w:r>
            <w:r>
              <w:rPr>
                <w:color w:val="auto"/>
              </w:rPr>
              <w:instrText xml:space="preserve"> HYPERLINK \l "_NAT"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以及测试方案）</w:t>
            </w:r>
          </w:p>
        </w:tc>
      </w:tr>
      <w:tr w14:paraId="3766E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39454E88">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32E2872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所投产品必须支持在会话的源、目的地址同为IPv4地址时，可将目的地址转换至指定服务器地址，同时可探测服务器是否存活</w:t>
            </w:r>
          </w:p>
        </w:tc>
      </w:tr>
      <w:tr w14:paraId="044BA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00D3431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IPv6支持</w:t>
            </w:r>
          </w:p>
        </w:tc>
        <w:tc>
          <w:tcPr>
            <w:tcW w:w="9485" w:type="dxa"/>
            <w:tcBorders>
              <w:tl2br w:val="nil"/>
              <w:tr2bl w:val="nil"/>
            </w:tcBorders>
            <w:shd w:val="clear" w:color="000000" w:fill="FFFFFF"/>
            <w:vAlign w:val="center"/>
          </w:tcPr>
          <w:p w14:paraId="43C1FE7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所投产品必须设备接口支持配置IPv6地址，并可使用IPv6地址管理设备；</w:t>
            </w:r>
          </w:p>
        </w:tc>
      </w:tr>
      <w:tr w14:paraId="7AA9A1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65AB736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D77DEC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支持IPv6手动及自动的IP/MAC探测及绑定；</w:t>
            </w:r>
          </w:p>
        </w:tc>
      </w:tr>
      <w:tr w14:paraId="07716B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041" w:type="dxa"/>
            <w:vMerge w:val="continue"/>
            <w:tcBorders>
              <w:tl2br w:val="nil"/>
              <w:tr2bl w:val="nil"/>
            </w:tcBorders>
            <w:shd w:val="clear" w:color="auto" w:fill="auto"/>
            <w:vAlign w:val="center"/>
          </w:tcPr>
          <w:p w14:paraId="589B0583">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4E2F4B8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★所投产品必须支持IPv6下静态路由及策略路由、动态路由，动态路由应包括RIPng、OSPFv3、BGP4+。（投标文件需要提供能够体现上述功能及配置选项的</w:t>
            </w:r>
            <w:r>
              <w:rPr>
                <w:color w:val="auto"/>
              </w:rPr>
              <w:fldChar w:fldCharType="begin"/>
            </w:r>
            <w:r>
              <w:rPr>
                <w:color w:val="auto"/>
              </w:rPr>
              <w:instrText xml:space="preserve"> HYPERLINK \l "_IPv6路由"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41E7D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trPr>
        <w:tc>
          <w:tcPr>
            <w:tcW w:w="1041" w:type="dxa"/>
            <w:vMerge w:val="continue"/>
            <w:tcBorders>
              <w:tl2br w:val="nil"/>
              <w:tr2bl w:val="nil"/>
            </w:tcBorders>
            <w:shd w:val="clear" w:color="auto" w:fill="auto"/>
            <w:vAlign w:val="center"/>
          </w:tcPr>
          <w:p w14:paraId="2529CE8E">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4FE5E75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所投产品必须支持NAT64，包括：</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对源地址为IPv6地址、目的地址为IPv4地址的会话执行源地址转换，将IPv6地址转换为IPv4地址，实现IPv6客户端转换为IPv4地址后访问IPv4资源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源地址为IPv4地址、目的地址为IPv4地址的会话执行目的地址转换，将IPv4地址转换为IPv6地址。实现IPv4客户端通过IPv4地址访问IPv6资源</w:t>
            </w:r>
          </w:p>
        </w:tc>
      </w:tr>
      <w:tr w14:paraId="2CAB4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773F5BF6">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4B7DD2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DNS64功能；支持IPv6入站的DNS代理功能，即从指定的入接口或源ISP接收到的DNS解析请求，设备可根据自定义的IP、域名对应关系，代理DNS服务器返回查询结果（投标文件需要提供能够体现上述功能及配置选项的</w:t>
            </w:r>
            <w:r>
              <w:rPr>
                <w:color w:val="auto"/>
              </w:rPr>
              <w:fldChar w:fldCharType="begin"/>
            </w:r>
            <w:r>
              <w:rPr>
                <w:color w:val="auto"/>
              </w:rPr>
              <w:instrText xml:space="preserve"> HYPERLINK \l "_DNS64"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3CA3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422CBFE7">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49CACA9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所投产品必须支持配置基于IPv6地址的安全策略；</w:t>
            </w:r>
          </w:p>
        </w:tc>
      </w:tr>
      <w:tr w14:paraId="4E7F3D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7EF030C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访问控制</w:t>
            </w:r>
          </w:p>
        </w:tc>
        <w:tc>
          <w:tcPr>
            <w:tcW w:w="9485" w:type="dxa"/>
            <w:tcBorders>
              <w:tl2br w:val="nil"/>
              <w:tr2bl w:val="nil"/>
            </w:tcBorders>
            <w:shd w:val="clear" w:color="000000" w:fill="FFFFFF"/>
            <w:vAlign w:val="center"/>
          </w:tcPr>
          <w:p w14:paraId="5F8D659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所投产品必须支持基于源安全域、目的安全域、源用户、源地址、源地区、目的地址、目的地区、服务、应用、隧道、时间、VLAN等多种方式进行访问控制，并支持地理区域对象的导入以及重复策略的检查</w:t>
            </w:r>
          </w:p>
        </w:tc>
      </w:tr>
      <w:tr w14:paraId="1EDC1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02627ED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应用识别与控制</w:t>
            </w:r>
          </w:p>
        </w:tc>
        <w:tc>
          <w:tcPr>
            <w:tcW w:w="9485" w:type="dxa"/>
            <w:tcBorders>
              <w:tl2br w:val="nil"/>
              <w:tr2bl w:val="nil"/>
            </w:tcBorders>
            <w:shd w:val="clear" w:color="000000" w:fill="FFFFFF"/>
            <w:vAlign w:val="center"/>
          </w:tcPr>
          <w:p w14:paraId="17A7E3D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应用识别，应用特征库包含的应用数量（非应用协议的规则总数）大于3000种，可深度识别每种应用的属性，为每种应用提供预定义的风险系数，并将应用基于类型、使用场景、数据传输、风险等级等特征分类（投标文件需要提供能够体现上述功能及配置选项的</w:t>
            </w:r>
            <w:r>
              <w:rPr>
                <w:color w:val="auto"/>
              </w:rPr>
              <w:fldChar w:fldCharType="begin"/>
            </w:r>
            <w:r>
              <w:rPr>
                <w:color w:val="auto"/>
              </w:rPr>
              <w:instrText xml:space="preserve"> HYPERLINK \l "_应用识别"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6ACB0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7C423B1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用户识别与认证</w:t>
            </w:r>
          </w:p>
        </w:tc>
        <w:tc>
          <w:tcPr>
            <w:tcW w:w="9485" w:type="dxa"/>
            <w:tcBorders>
              <w:tl2br w:val="nil"/>
              <w:tr2bl w:val="nil"/>
            </w:tcBorders>
            <w:shd w:val="clear" w:color="000000" w:fill="FFFFFF"/>
            <w:vAlign w:val="center"/>
          </w:tcPr>
          <w:p w14:paraId="13E2470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所投产品必须支持基于用户的访问控制，可与LDAP/Radius/证书/Active Directory/TACACS+/POP3/证书等用户认证系统联动</w:t>
            </w:r>
          </w:p>
        </w:tc>
      </w:tr>
      <w:tr w14:paraId="30DD6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0AD528F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2E91F7D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★所投产品必须支持802.1x认证，要求支持基于端口和MAC两种接入控制方式（投标文件需提供能够体现上述功能</w:t>
            </w:r>
            <w:r>
              <w:rPr>
                <w:color w:val="auto"/>
              </w:rPr>
              <w:fldChar w:fldCharType="begin"/>
            </w:r>
            <w:r>
              <w:rPr>
                <w:color w:val="auto"/>
              </w:rPr>
              <w:instrText xml:space="preserve"> HYPERLINK \l "_802.1x"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5A902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38CF8115">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0B97D341">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★支持二层MAC地址IP地址绑定；支持跨三层MAC地址IP地址绑定（投标文件需提供能够体现上述功能</w:t>
            </w:r>
            <w:r>
              <w:rPr>
                <w:color w:val="auto"/>
              </w:rPr>
              <w:fldChar w:fldCharType="begin"/>
            </w:r>
            <w:r>
              <w:rPr>
                <w:color w:val="auto"/>
              </w:rPr>
              <w:instrText xml:space="preserve"> HYPERLINK \l "_IP_MAC绑定"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CBC1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67885E8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流量管理</w:t>
            </w:r>
          </w:p>
        </w:tc>
        <w:tc>
          <w:tcPr>
            <w:tcW w:w="9485" w:type="dxa"/>
            <w:tcBorders>
              <w:tl2br w:val="nil"/>
              <w:tr2bl w:val="nil"/>
            </w:tcBorders>
            <w:shd w:val="clear" w:color="000000" w:fill="FFFFFF"/>
            <w:vAlign w:val="center"/>
          </w:tcPr>
          <w:p w14:paraId="759FC10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多调度类相互嵌套最大5级的带宽管理设置。支持设置每IP最大或最小带宽，支持对每IP进行带宽配额管理，可通过优先级实现多应用的差分服务，并支持对剩余带宽进行基于优先级的动态分配。（投标文件需要提供能够体现上述功能及配置选项的</w:t>
            </w:r>
            <w:r>
              <w:rPr>
                <w:color w:val="auto"/>
              </w:rPr>
              <w:fldChar w:fldCharType="begin"/>
            </w:r>
            <w:r>
              <w:rPr>
                <w:color w:val="auto"/>
              </w:rPr>
              <w:instrText xml:space="preserve"> HYPERLINK \l "_QoS分级"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DE63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7490A9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3828BCF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★支持配置基于IP、用户、应用的流量管理规则，且至少支持对3000种应用定制流量管理规则（投标文件需要提供能够体现上述功能及配置选项的</w:t>
            </w:r>
            <w:r>
              <w:rPr>
                <w:color w:val="auto"/>
              </w:rPr>
              <w:fldChar w:fldCharType="begin"/>
            </w:r>
            <w:r>
              <w:rPr>
                <w:color w:val="auto"/>
              </w:rPr>
              <w:instrText xml:space="preserve"> HYPERLINK \l "_QoS-基于应用"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1DC6DC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53A742C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网络攻击防护</w:t>
            </w:r>
          </w:p>
        </w:tc>
        <w:tc>
          <w:tcPr>
            <w:tcW w:w="9485" w:type="dxa"/>
            <w:tcBorders>
              <w:tl2br w:val="nil"/>
              <w:tr2bl w:val="nil"/>
            </w:tcBorders>
            <w:shd w:val="clear" w:color="000000" w:fill="FFFFFF"/>
            <w:vAlign w:val="center"/>
          </w:tcPr>
          <w:p w14:paraId="52B8FCCB">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所投产品必须支持基于不同安全区域防御DNS Flood、HTTP Flood攻击，并支持警告、阻断、日志多种防护措施</w:t>
            </w:r>
          </w:p>
        </w:tc>
      </w:tr>
      <w:tr w14:paraId="5D0F5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70FE46AB">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5EA0003">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所投产品必须支持基于安全区域的异常包攻击防御，异常包攻击类型至少包括PiNg of Death、Teardrop、IP选项、TCP异常、Smurf、Fraggle、LaNd、WiNNuke、DNS异常、IP分片等；并可在设备页面显示每种攻击类型的丢包统计结果</w:t>
            </w:r>
          </w:p>
        </w:tc>
      </w:tr>
      <w:tr w14:paraId="4A0CB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F9111ED">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B69847E">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所投产品必须支持防御基于安全域的IP地址欺骗攻击，指定IP或网段必须从特定安全域流入</w:t>
            </w:r>
          </w:p>
        </w:tc>
      </w:tr>
      <w:tr w14:paraId="645CF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64AE40B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IPSec VPN</w:t>
            </w:r>
          </w:p>
        </w:tc>
        <w:tc>
          <w:tcPr>
            <w:tcW w:w="9485" w:type="dxa"/>
            <w:tcBorders>
              <w:tl2br w:val="nil"/>
              <w:tr2bl w:val="nil"/>
            </w:tcBorders>
            <w:shd w:val="clear" w:color="000000" w:fill="FFFFFF"/>
            <w:vAlign w:val="center"/>
          </w:tcPr>
          <w:p w14:paraId="0BF580DA">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★所投产品必须支持IPv4 IPSec VPN及IPv6 IPSec VPN的国密协商模式。（投标文件需要提供能够体现上述功能及配置选项的</w:t>
            </w:r>
            <w:r>
              <w:rPr>
                <w:color w:val="auto"/>
              </w:rPr>
              <w:fldChar w:fldCharType="begin"/>
            </w:r>
            <w:r>
              <w:rPr>
                <w:color w:val="auto"/>
              </w:rPr>
              <w:instrText xml:space="preserve"> HYPERLINK \l "_IPv4/v6_IPSec_VPN"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6C348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5CDF5B3D">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FBC0C6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所投产品必须支持IPSec VPN的主模式（Main Mode）、积极模式（Aggressive Mode）、国密三种协商模式建立的网关-网关加密隧道；国密协商模式经国家密码管理局核准；</w:t>
            </w:r>
          </w:p>
        </w:tc>
      </w:tr>
      <w:tr w14:paraId="599EE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1041" w:type="dxa"/>
            <w:vMerge w:val="continue"/>
            <w:tcBorders>
              <w:tl2br w:val="nil"/>
              <w:tr2bl w:val="nil"/>
            </w:tcBorders>
            <w:shd w:val="clear" w:color="auto" w:fill="auto"/>
            <w:vAlign w:val="center"/>
          </w:tcPr>
          <w:p w14:paraId="36E072E6">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BA4BACB">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支持我国自主研发的商用密码算法。加密算法支持国密算法SM1/SM2/SM4；验证算法支持国密算法SM3；支持独立的国密硬件加密卡，支持通过Ukey管理员身份认证来使能国密硬件加密卡。</w:t>
            </w:r>
          </w:p>
        </w:tc>
      </w:tr>
      <w:tr w14:paraId="1B503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3FACF10D">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8A84AF3">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支持IPSec VPN穿越NAT，支持DPD探测；</w:t>
            </w:r>
          </w:p>
        </w:tc>
      </w:tr>
      <w:tr w14:paraId="3B4A5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6EEF8641">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5FE63DF">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所投产品必须支持GRE隧道，支持GRE over IPSec VPN；</w:t>
            </w:r>
          </w:p>
        </w:tc>
      </w:tr>
      <w:tr w14:paraId="0004F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CFA8882">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2253B2F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所投产品的IPSec VPN功能必须支持无损数据压缩算法；</w:t>
            </w:r>
          </w:p>
        </w:tc>
      </w:tr>
      <w:tr w14:paraId="1B91F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59B6B4FB">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149E98F">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支持本地CA并可为参与IPSec VPN隧道建立的设备颁发用于身份认证的证书</w:t>
            </w:r>
          </w:p>
        </w:tc>
      </w:tr>
      <w:tr w14:paraId="1088B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4A6EF97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其他VPN</w:t>
            </w:r>
          </w:p>
        </w:tc>
        <w:tc>
          <w:tcPr>
            <w:tcW w:w="9485" w:type="dxa"/>
            <w:tcBorders>
              <w:tl2br w:val="nil"/>
              <w:tr2bl w:val="nil"/>
            </w:tcBorders>
            <w:shd w:val="clear" w:color="000000" w:fill="FFFFFF"/>
            <w:vAlign w:val="center"/>
          </w:tcPr>
          <w:p w14:paraId="1E647FD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所投产品必须支持L2TP、支持L2TP over IPSec、支持PPTP，并支持本地认证以及LDAP/Radius/证书/Active Directory/TACACS+/POP3等第三方用户认证系统。支持客户端地址分配</w:t>
            </w:r>
          </w:p>
        </w:tc>
      </w:tr>
      <w:tr w14:paraId="1C75E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trPr>
        <w:tc>
          <w:tcPr>
            <w:tcW w:w="1041" w:type="dxa"/>
            <w:vMerge w:val="restart"/>
            <w:tcBorders>
              <w:tl2br w:val="nil"/>
              <w:tr2bl w:val="nil"/>
            </w:tcBorders>
            <w:shd w:val="clear" w:color="000000" w:fill="FFFFFF"/>
            <w:vAlign w:val="center"/>
          </w:tcPr>
          <w:p w14:paraId="676278A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运维管理</w:t>
            </w:r>
          </w:p>
        </w:tc>
        <w:tc>
          <w:tcPr>
            <w:tcW w:w="9485" w:type="dxa"/>
            <w:tcBorders>
              <w:tl2br w:val="nil"/>
              <w:tr2bl w:val="nil"/>
            </w:tcBorders>
            <w:shd w:val="clear" w:color="000000" w:fill="FFFFFF"/>
            <w:vAlign w:val="center"/>
          </w:tcPr>
          <w:p w14:paraId="47BC437D">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所投产品必须支持双系统备份，且在系统切换中可实现配置的自动迁移；可记录不同时间点的历史配置文件，最大支持记录三份不同时间点的历史配置文件，并支持切换历史配置。</w:t>
            </w:r>
          </w:p>
        </w:tc>
      </w:tr>
      <w:tr w14:paraId="43250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1041" w:type="dxa"/>
            <w:vMerge w:val="continue"/>
            <w:tcBorders>
              <w:tl2br w:val="nil"/>
              <w:tr2bl w:val="nil"/>
            </w:tcBorders>
            <w:vAlign w:val="center"/>
          </w:tcPr>
          <w:p w14:paraId="721AAEBF">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04AEDB7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三权分立管理，支持安全管理员、审计管理员、系统管理员三种管理员角色；支持以读写、只读、无权限的方式自定义权限管理，权限管理的范围至少包括策略配置、对象配置、网络配置、系统配置、日志等；</w:t>
            </w:r>
          </w:p>
        </w:tc>
      </w:tr>
      <w:tr w14:paraId="79AE5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vAlign w:val="center"/>
          </w:tcPr>
          <w:p w14:paraId="7EEADEC5">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1371394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支持启用管理员证书认证功能，通过管理员所持有的电子钥匙内的证书，表征管理员身份，实现管理员双因素认证；管理员证书必须为SM2证书，且不同角色管理员必须采用不同的SM2证书。（投标文件需提供能够体现上述功能及配置选项</w:t>
            </w:r>
            <w:r>
              <w:rPr>
                <w:color w:val="auto"/>
              </w:rPr>
              <w:fldChar w:fldCharType="begin"/>
            </w:r>
            <w:r>
              <w:rPr>
                <w:color w:val="auto"/>
              </w:rPr>
              <w:instrText xml:space="preserve"> HYPERLINK \l "_管理员证书认证"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7DEC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vAlign w:val="center"/>
          </w:tcPr>
          <w:p w14:paraId="3180AFBE">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30E2CCFD">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所投产品必须支持将告警信息以SNMP Trap、邮件、声音、短信等形式通知管理员，告警信息的范围至少包括配置变更、攻击事件、CPU利用率、内存利用率、硬盘利用率、接口带宽利用率等；</w:t>
            </w:r>
          </w:p>
        </w:tc>
      </w:tr>
      <w:tr w14:paraId="1D969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Borders>
              <w:tl2br w:val="nil"/>
              <w:tr2bl w:val="nil"/>
            </w:tcBorders>
            <w:vAlign w:val="center"/>
          </w:tcPr>
          <w:p w14:paraId="0940DCB2">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185F5D9A">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将不同设备模块产生的不同重要性的日志发送至不同的日志服务器，设备模块至少包括流量日志、域名日志、系统日志、操作日志，重要性等级至少包括紧急、警报、严重、错误、告警、通知、信息、调试八种</w:t>
            </w:r>
          </w:p>
        </w:tc>
      </w:tr>
      <w:tr w14:paraId="5CA7F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restart"/>
            <w:tcBorders>
              <w:tl2br w:val="nil"/>
              <w:tr2bl w:val="nil"/>
            </w:tcBorders>
            <w:vAlign w:val="center"/>
          </w:tcPr>
          <w:p w14:paraId="34D049A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资质</w:t>
            </w:r>
          </w:p>
        </w:tc>
        <w:tc>
          <w:tcPr>
            <w:tcW w:w="9485" w:type="dxa"/>
            <w:tcBorders>
              <w:tl2br w:val="nil"/>
              <w:tr2bl w:val="nil"/>
            </w:tcBorders>
            <w:shd w:val="clear" w:color="auto" w:fill="auto"/>
          </w:tcPr>
          <w:p w14:paraId="35A6D78C">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★设备制造商为 CNCERT 网络安全应急服务支撑单位（甲级）；（投标文件需要提供能够体现上述功能的证明材料）</w:t>
            </w:r>
          </w:p>
        </w:tc>
      </w:tr>
      <w:tr w14:paraId="6984E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330AC789">
            <w:pPr>
              <w:widowControl/>
              <w:jc w:val="center"/>
              <w:rPr>
                <w:rFonts w:hint="eastAsia" w:ascii="宋体" w:hAnsi="宋体" w:eastAsia="宋体" w:cs="宋体"/>
                <w:color w:val="auto"/>
                <w:kern w:val="0"/>
                <w:sz w:val="18"/>
                <w:szCs w:val="18"/>
              </w:rPr>
            </w:pPr>
          </w:p>
        </w:tc>
        <w:tc>
          <w:tcPr>
            <w:tcW w:w="9485" w:type="dxa"/>
            <w:shd w:val="clear" w:color="auto" w:fill="auto"/>
          </w:tcPr>
          <w:p w14:paraId="3F959BC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★为了体现设备原厂商在漏洞掘方面的实力，请提供2022年、2023年连续两年向国家信息安全漏洞共享平台提供漏洞个数不少于7万条；（投标文件需要提供能够体现上述能力的证明材料）</w:t>
            </w:r>
          </w:p>
        </w:tc>
      </w:tr>
      <w:tr w14:paraId="701BB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2B492DF6">
            <w:pPr>
              <w:widowControl/>
              <w:jc w:val="center"/>
              <w:rPr>
                <w:rFonts w:hint="eastAsia" w:ascii="宋体" w:hAnsi="宋体" w:eastAsia="宋体" w:cs="宋体"/>
                <w:color w:val="auto"/>
                <w:kern w:val="0"/>
                <w:sz w:val="18"/>
                <w:szCs w:val="18"/>
              </w:rPr>
            </w:pPr>
          </w:p>
        </w:tc>
        <w:tc>
          <w:tcPr>
            <w:tcW w:w="9485" w:type="dxa"/>
            <w:shd w:val="clear" w:color="auto" w:fill="auto"/>
          </w:tcPr>
          <w:p w14:paraId="3174FD0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★设备制造商要求为“信息安全等级保护关键技术国家工程实验室”理事单位；（投标文件需要提供能够体现上述能力的证明材料）</w:t>
            </w:r>
          </w:p>
        </w:tc>
      </w:tr>
      <w:tr w14:paraId="5CF4D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7448BF00">
            <w:pPr>
              <w:widowControl/>
              <w:jc w:val="center"/>
              <w:rPr>
                <w:rFonts w:hint="eastAsia" w:ascii="宋体" w:hAnsi="宋体" w:eastAsia="宋体" w:cs="宋体"/>
                <w:color w:val="auto"/>
                <w:kern w:val="0"/>
                <w:sz w:val="18"/>
                <w:szCs w:val="18"/>
              </w:rPr>
            </w:pPr>
          </w:p>
        </w:tc>
        <w:tc>
          <w:tcPr>
            <w:tcW w:w="9485" w:type="dxa"/>
            <w:shd w:val="clear" w:color="auto" w:fill="auto"/>
          </w:tcPr>
          <w:p w14:paraId="25D44F59">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★设备制造商具备ISO28000供应链安全管理体系证书；（投标文件需要提供能够体现上述能力的证明材料）</w:t>
            </w:r>
          </w:p>
        </w:tc>
      </w:tr>
      <w:tr w14:paraId="108095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013CE7C7">
            <w:pPr>
              <w:widowControl/>
              <w:jc w:val="center"/>
              <w:rPr>
                <w:rFonts w:hint="eastAsia" w:ascii="宋体" w:hAnsi="宋体" w:eastAsia="宋体" w:cs="宋体"/>
                <w:color w:val="auto"/>
                <w:kern w:val="0"/>
                <w:sz w:val="18"/>
                <w:szCs w:val="18"/>
              </w:rPr>
            </w:pPr>
          </w:p>
        </w:tc>
        <w:tc>
          <w:tcPr>
            <w:tcW w:w="9485" w:type="dxa"/>
            <w:shd w:val="clear" w:color="auto" w:fill="auto"/>
          </w:tcPr>
          <w:p w14:paraId="189468AE">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★设备制造商具备CIC信息化建设及数字化能力评价证书；（投标文件需要提供能够体现上述能力的证明材料）</w:t>
            </w:r>
          </w:p>
        </w:tc>
      </w:tr>
      <w:tr w14:paraId="12B75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71D6837A">
            <w:pPr>
              <w:widowControl/>
              <w:jc w:val="center"/>
              <w:rPr>
                <w:rFonts w:hint="eastAsia" w:ascii="宋体" w:hAnsi="宋体" w:eastAsia="宋体" w:cs="宋体"/>
                <w:color w:val="auto"/>
                <w:kern w:val="0"/>
                <w:sz w:val="18"/>
                <w:szCs w:val="18"/>
              </w:rPr>
            </w:pPr>
          </w:p>
        </w:tc>
        <w:tc>
          <w:tcPr>
            <w:tcW w:w="9485" w:type="dxa"/>
            <w:shd w:val="clear" w:color="auto" w:fill="auto"/>
          </w:tcPr>
          <w:p w14:paraId="4D7EC0CD">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设备制造商具备国测信息安全服务资质﹣云计算安全类一级资质；（投标文件需要提供能够体现上述能力的证明材料）</w:t>
            </w:r>
          </w:p>
        </w:tc>
      </w:tr>
      <w:tr w14:paraId="72248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tcPr>
          <w:p w14:paraId="09285A86">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案例</w:t>
            </w:r>
          </w:p>
        </w:tc>
        <w:tc>
          <w:tcPr>
            <w:tcW w:w="9485" w:type="dxa"/>
            <w:shd w:val="clear" w:color="auto" w:fill="auto"/>
          </w:tcPr>
          <w:p w14:paraId="0588B7BA">
            <w:pPr>
              <w:widowControl/>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提供嘉兴市或嘉兴市区县的案例7个，（不需要合同原件，提供客户单位名字即可）</w:t>
            </w:r>
          </w:p>
        </w:tc>
      </w:tr>
      <w:tr w14:paraId="661658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shd w:val="clear" w:color="auto" w:fill="auto"/>
            <w:vAlign w:val="top"/>
          </w:tcPr>
          <w:p w14:paraId="7BB39402">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▲质保期</w:t>
            </w:r>
          </w:p>
        </w:tc>
        <w:tc>
          <w:tcPr>
            <w:tcW w:w="9485" w:type="dxa"/>
            <w:shd w:val="clear" w:color="auto" w:fill="auto"/>
            <w:vAlign w:val="top"/>
          </w:tcPr>
          <w:p w14:paraId="46033AAC">
            <w:pPr>
              <w:widowControl/>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提供三年原厂质保，报价时提供原厂授权函</w:t>
            </w:r>
          </w:p>
        </w:tc>
      </w:tr>
    </w:tbl>
    <w:p w14:paraId="1D1907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TFiNDAwM2UwZjk1MjUzMWY0OGVhN2M5ZTEyNDAifQ=="/>
  </w:docVars>
  <w:rsids>
    <w:rsidRoot w:val="FFFF32BA"/>
    <w:rsid w:val="00031738"/>
    <w:rsid w:val="00586E4A"/>
    <w:rsid w:val="005C79C7"/>
    <w:rsid w:val="005F607E"/>
    <w:rsid w:val="00B60838"/>
    <w:rsid w:val="00BF74B2"/>
    <w:rsid w:val="07104A38"/>
    <w:rsid w:val="17BBE409"/>
    <w:rsid w:val="3FF5F171"/>
    <w:rsid w:val="45DF0014"/>
    <w:rsid w:val="4BD94B7E"/>
    <w:rsid w:val="5B9A2EB5"/>
    <w:rsid w:val="644F6459"/>
    <w:rsid w:val="665B7E23"/>
    <w:rsid w:val="6D3A24F7"/>
    <w:rsid w:val="756DE561"/>
    <w:rsid w:val="75FFCB69"/>
    <w:rsid w:val="776D0A60"/>
    <w:rsid w:val="7F9FC3F9"/>
    <w:rsid w:val="EB5E6638"/>
    <w:rsid w:val="EDFB82B3"/>
    <w:rsid w:val="FFFF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3072</Words>
  <Characters>3591</Characters>
  <Lines>27</Lines>
  <Paragraphs>7</Paragraphs>
  <TotalTime>0</TotalTime>
  <ScaleCrop>false</ScaleCrop>
  <LinksUpToDate>false</LinksUpToDate>
  <CharactersWithSpaces>3617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2024-08-17T06:14:00Z</dcterms:created>
  <dc:creator>Mr.X</dc:creator>
  <cp:lastModifiedBy>Administrator</cp:lastModifiedBy>
  <dcterms:modified xsi:type="dcterms:W3CDTF">2024-11-28T00:22:19Z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D1E70982FC4540A78F72F8883686405A_13</vt:lpwstr>
  </property>
</Properties>
</file>