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数据中心防火墙采购项目的</w:t>
      </w:r>
    </w:p>
    <w:p>
      <w:pPr>
        <w:snapToGrid w:val="0"/>
        <w:spacing w:line="360" w:lineRule="auto"/>
        <w:jc w:val="center"/>
        <w:rPr>
          <w:rFonts w:hint="eastAsia"/>
          <w:b/>
          <w:sz w:val="28"/>
          <w:szCs w:val="28"/>
          <w:highlight w:val="none"/>
        </w:rPr>
      </w:pPr>
      <w:r>
        <w:rPr>
          <w:rFonts w:hint="eastAsia" w:ascii="仿宋" w:hAnsi="仿宋" w:eastAsia="仿宋" w:cs="仿宋"/>
          <w:b/>
          <w:sz w:val="28"/>
          <w:szCs w:val="28"/>
          <w:highlight w:val="none"/>
          <w:lang w:val="en-US" w:eastAsia="zh-CN"/>
        </w:rPr>
        <w:t>反向竞价</w:t>
      </w:r>
      <w:r>
        <w:rPr>
          <w:rFonts w:hint="eastAsia" w:ascii="仿宋" w:hAnsi="仿宋" w:eastAsia="仿宋" w:cs="仿宋"/>
          <w:b/>
          <w:sz w:val="28"/>
          <w:szCs w:val="28"/>
          <w:highlight w:val="none"/>
        </w:rPr>
        <w:t>说明</w:t>
      </w:r>
    </w:p>
    <w:p>
      <w:pPr>
        <w:pStyle w:val="14"/>
        <w:rPr>
          <w:highlight w:val="none"/>
        </w:rPr>
      </w:pPr>
    </w:p>
    <w:p>
      <w:pPr>
        <w:snapToGrid w:val="0"/>
        <w:spacing w:line="360" w:lineRule="auto"/>
        <w:ind w:firstLine="472" w:firstLineChars="225"/>
        <w:rPr>
          <w:rFonts w:ascii="仿宋" w:hAnsi="仿宋" w:eastAsia="仿宋"/>
          <w:kern w:val="0"/>
          <w:highlight w:val="none"/>
        </w:rPr>
      </w:pPr>
      <w:r>
        <w:rPr>
          <w:rFonts w:hint="eastAsia" w:ascii="仿宋" w:hAnsi="仿宋" w:eastAsia="仿宋"/>
          <w:kern w:val="0"/>
          <w:highlight w:val="none"/>
        </w:rPr>
        <w:t>根据《中华人民共和国政府采购法》《浙江省政府采购电子卖场暂行管理办法》等相关规定，现就数据中心防火墙采购项目</w:t>
      </w:r>
      <w:r>
        <w:rPr>
          <w:rFonts w:hint="eastAsia" w:ascii="仿宋" w:hAnsi="仿宋" w:eastAsia="仿宋"/>
          <w:kern w:val="0"/>
          <w:highlight w:val="none"/>
          <w:lang w:eastAsia="zh-CN"/>
        </w:rPr>
        <w:t>进</w:t>
      </w:r>
      <w:r>
        <w:rPr>
          <w:rFonts w:hint="eastAsia" w:ascii="仿宋" w:hAnsi="仿宋" w:eastAsia="仿宋"/>
          <w:kern w:val="0"/>
          <w:highlight w:val="none"/>
        </w:rPr>
        <w:t>行</w:t>
      </w:r>
      <w:r>
        <w:rPr>
          <w:rFonts w:hint="eastAsia" w:ascii="仿宋" w:hAnsi="仿宋" w:eastAsia="仿宋"/>
          <w:kern w:val="0"/>
          <w:highlight w:val="none"/>
          <w:lang w:val="en-US" w:eastAsia="zh-CN"/>
        </w:rPr>
        <w:t>反向竞价</w:t>
      </w:r>
      <w:r>
        <w:rPr>
          <w:rFonts w:hint="eastAsia" w:ascii="仿宋" w:hAnsi="仿宋" w:eastAsia="仿宋"/>
          <w:kern w:val="0"/>
          <w:highlight w:val="none"/>
        </w:rPr>
        <w:t>，欢迎国内合格的供应商参与</w:t>
      </w:r>
      <w:r>
        <w:rPr>
          <w:rFonts w:hint="eastAsia" w:ascii="仿宋" w:hAnsi="仿宋" w:eastAsia="仿宋"/>
          <w:kern w:val="0"/>
          <w:highlight w:val="none"/>
          <w:lang w:val="en-US" w:eastAsia="zh-CN"/>
        </w:rPr>
        <w:t>反向竞价</w:t>
      </w:r>
      <w:r>
        <w:rPr>
          <w:rFonts w:hint="eastAsia" w:ascii="仿宋" w:hAnsi="仿宋" w:eastAsia="仿宋"/>
          <w:kern w:val="0"/>
          <w:highlight w:val="none"/>
        </w:rPr>
        <w:t>。</w:t>
      </w:r>
    </w:p>
    <w:p>
      <w:pPr>
        <w:numPr>
          <w:ilvl w:val="0"/>
          <w:numId w:val="2"/>
        </w:numPr>
        <w:snapToGrid w:val="0"/>
        <w:spacing w:line="360" w:lineRule="auto"/>
        <w:ind w:firstLine="474" w:firstLineChars="225"/>
        <w:rPr>
          <w:rFonts w:ascii="仿宋" w:hAnsi="仿宋" w:eastAsia="仿宋"/>
          <w:kern w:val="0"/>
          <w:highlight w:val="none"/>
        </w:rPr>
      </w:pPr>
      <w:r>
        <w:rPr>
          <w:rFonts w:hint="eastAsia" w:ascii="仿宋" w:hAnsi="仿宋" w:eastAsia="仿宋"/>
          <w:b/>
          <w:kern w:val="0"/>
          <w:highlight w:val="none"/>
          <w:lang w:eastAsia="zh-CN"/>
        </w:rPr>
        <w:t>反向竞价</w:t>
      </w:r>
      <w:r>
        <w:rPr>
          <w:rFonts w:hint="eastAsia" w:ascii="仿宋" w:hAnsi="仿宋" w:eastAsia="仿宋"/>
          <w:b/>
          <w:kern w:val="0"/>
          <w:highlight w:val="none"/>
        </w:rPr>
        <w:t>项目编号</w:t>
      </w:r>
      <w:bookmarkStart w:id="0" w:name="B08_项目编号"/>
      <w:r>
        <w:rPr>
          <w:rFonts w:hint="eastAsia" w:ascii="仿宋" w:hAnsi="仿宋" w:eastAsia="仿宋"/>
          <w:b/>
          <w:kern w:val="0"/>
          <w:highlight w:val="none"/>
        </w:rPr>
        <w:t>：</w:t>
      </w:r>
      <w:bookmarkEnd w:id="0"/>
    </w:p>
    <w:p>
      <w:pPr>
        <w:numPr>
          <w:ilvl w:val="0"/>
          <w:numId w:val="2"/>
        </w:numPr>
        <w:snapToGrid w:val="0"/>
        <w:spacing w:line="360" w:lineRule="auto"/>
        <w:ind w:firstLine="474" w:firstLineChars="225"/>
        <w:rPr>
          <w:rFonts w:ascii="仿宋" w:hAnsi="仿宋" w:eastAsia="仿宋"/>
          <w:kern w:val="0"/>
          <w:highlight w:val="none"/>
        </w:rPr>
      </w:pPr>
      <w:r>
        <w:rPr>
          <w:rFonts w:hint="eastAsia" w:ascii="仿宋" w:hAnsi="仿宋" w:eastAsia="仿宋"/>
          <w:b/>
          <w:kern w:val="0"/>
          <w:highlight w:val="none"/>
        </w:rPr>
        <w:t>采购组织类型：</w:t>
      </w:r>
      <w:r>
        <w:rPr>
          <w:rFonts w:hint="eastAsia" w:ascii="仿宋" w:hAnsi="仿宋" w:eastAsia="仿宋"/>
          <w:b/>
          <w:kern w:val="0"/>
          <w:highlight w:val="none"/>
          <w:lang w:val="en-US" w:eastAsia="zh-CN"/>
        </w:rPr>
        <w:t>反向竞价</w:t>
      </w:r>
    </w:p>
    <w:p>
      <w:pPr>
        <w:snapToGrid w:val="0"/>
        <w:spacing w:line="360" w:lineRule="auto"/>
        <w:ind w:firstLine="474" w:firstLineChars="225"/>
        <w:rPr>
          <w:rFonts w:ascii="仿宋" w:hAnsi="仿宋" w:eastAsia="仿宋"/>
          <w:kern w:val="0"/>
          <w:highlight w:val="none"/>
        </w:rPr>
      </w:pPr>
      <w:r>
        <w:rPr>
          <w:rFonts w:hint="eastAsia" w:ascii="仿宋" w:hAnsi="仿宋" w:eastAsia="仿宋"/>
          <w:b/>
          <w:kern w:val="0"/>
          <w:highlight w:val="none"/>
        </w:rPr>
        <w:t>三、</w:t>
      </w:r>
      <w:r>
        <w:rPr>
          <w:rFonts w:hint="eastAsia" w:ascii="仿宋" w:hAnsi="仿宋" w:eastAsia="仿宋"/>
          <w:b/>
          <w:kern w:val="0"/>
          <w:highlight w:val="none"/>
          <w:lang w:eastAsia="zh-CN"/>
        </w:rPr>
        <w:t>反向竞价</w:t>
      </w:r>
      <w:r>
        <w:rPr>
          <w:rFonts w:hint="eastAsia" w:ascii="仿宋" w:hAnsi="仿宋" w:eastAsia="仿宋"/>
          <w:b/>
          <w:kern w:val="0"/>
          <w:highlight w:val="none"/>
        </w:rPr>
        <w:t>项目概况</w:t>
      </w:r>
      <w:r>
        <w:rPr>
          <w:rFonts w:hint="eastAsia" w:ascii="仿宋" w:hAnsi="仿宋" w:eastAsia="仿宋"/>
          <w:kern w:val="0"/>
          <w:highlight w:val="none"/>
        </w:rPr>
        <w:t>：</w:t>
      </w:r>
    </w:p>
    <w:tbl>
      <w:tblPr>
        <w:tblStyle w:val="10"/>
        <w:tblW w:w="845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3260"/>
        <w:gridCol w:w="2205"/>
        <w:gridCol w:w="2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dxa"/>
            <w:tcBorders>
              <w:top w:val="single" w:color="auto" w:sz="4" w:space="0"/>
              <w:bottom w:val="single" w:color="auto" w:sz="4" w:space="0"/>
              <w:right w:val="single" w:color="auto" w:sz="4" w:space="0"/>
            </w:tcBorders>
          </w:tcPr>
          <w:p>
            <w:pPr>
              <w:snapToGrid w:val="0"/>
              <w:jc w:val="center"/>
              <w:rPr>
                <w:rFonts w:ascii="仿宋" w:hAnsi="仿宋" w:eastAsia="仿宋"/>
                <w:b/>
                <w:kern w:val="0"/>
                <w:highlight w:val="none"/>
              </w:rPr>
            </w:pPr>
            <w:r>
              <w:rPr>
                <w:rFonts w:hint="eastAsia" w:ascii="仿宋" w:hAnsi="仿宋" w:eastAsia="仿宋"/>
                <w:b/>
                <w:kern w:val="0"/>
                <w:highlight w:val="none"/>
              </w:rPr>
              <w:t>序号</w:t>
            </w:r>
          </w:p>
        </w:tc>
        <w:tc>
          <w:tcPr>
            <w:tcW w:w="3260" w:type="dxa"/>
            <w:tcBorders>
              <w:top w:val="single" w:color="auto" w:sz="4" w:space="0"/>
              <w:left w:val="single" w:color="auto" w:sz="4" w:space="0"/>
              <w:bottom w:val="single" w:color="auto" w:sz="4" w:space="0"/>
              <w:right w:val="single" w:color="auto" w:sz="4" w:space="0"/>
            </w:tcBorders>
          </w:tcPr>
          <w:p>
            <w:pPr>
              <w:snapToGrid w:val="0"/>
              <w:jc w:val="center"/>
              <w:rPr>
                <w:rFonts w:ascii="仿宋" w:hAnsi="仿宋" w:eastAsia="仿宋"/>
                <w:b/>
                <w:kern w:val="0"/>
                <w:highlight w:val="none"/>
              </w:rPr>
            </w:pPr>
            <w:r>
              <w:rPr>
                <w:rFonts w:hint="eastAsia" w:ascii="仿宋" w:hAnsi="仿宋" w:eastAsia="仿宋"/>
                <w:b/>
                <w:kern w:val="0"/>
                <w:highlight w:val="none"/>
              </w:rPr>
              <w:t>采购内容</w:t>
            </w:r>
          </w:p>
        </w:tc>
        <w:tc>
          <w:tcPr>
            <w:tcW w:w="2205" w:type="dxa"/>
            <w:tcBorders>
              <w:top w:val="single" w:color="auto" w:sz="4" w:space="0"/>
              <w:left w:val="single" w:color="auto" w:sz="4" w:space="0"/>
              <w:bottom w:val="single" w:color="auto" w:sz="4" w:space="0"/>
              <w:right w:val="single" w:color="auto" w:sz="4" w:space="0"/>
            </w:tcBorders>
          </w:tcPr>
          <w:p>
            <w:pPr>
              <w:snapToGrid w:val="0"/>
              <w:jc w:val="center"/>
              <w:rPr>
                <w:rFonts w:ascii="仿宋" w:hAnsi="仿宋" w:eastAsia="仿宋"/>
                <w:b/>
                <w:kern w:val="0"/>
                <w:highlight w:val="none"/>
              </w:rPr>
            </w:pPr>
            <w:r>
              <w:rPr>
                <w:rFonts w:hint="eastAsia" w:ascii="仿宋" w:hAnsi="仿宋" w:eastAsia="仿宋"/>
                <w:b/>
                <w:kern w:val="0"/>
                <w:highlight w:val="none"/>
              </w:rPr>
              <w:t>数量</w:t>
            </w:r>
          </w:p>
        </w:tc>
        <w:tc>
          <w:tcPr>
            <w:tcW w:w="2117" w:type="dxa"/>
            <w:tcBorders>
              <w:top w:val="single" w:color="auto" w:sz="4" w:space="0"/>
              <w:left w:val="single" w:color="auto" w:sz="4" w:space="0"/>
              <w:bottom w:val="single" w:color="auto" w:sz="4" w:space="0"/>
            </w:tcBorders>
          </w:tcPr>
          <w:p>
            <w:pPr>
              <w:snapToGrid w:val="0"/>
              <w:jc w:val="center"/>
              <w:rPr>
                <w:rFonts w:ascii="仿宋" w:hAnsi="仿宋" w:eastAsia="仿宋"/>
                <w:b/>
                <w:kern w:val="0"/>
                <w:highlight w:val="none"/>
              </w:rPr>
            </w:pPr>
            <w:r>
              <w:rPr>
                <w:rFonts w:hint="eastAsia" w:ascii="仿宋" w:hAnsi="仿宋" w:eastAsia="仿宋"/>
                <w:b/>
                <w:kern w:val="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dxa"/>
            <w:tcBorders>
              <w:top w:val="single" w:color="auto" w:sz="4" w:space="0"/>
              <w:bottom w:val="single" w:color="auto" w:sz="4" w:space="0"/>
              <w:right w:val="single" w:color="auto" w:sz="4" w:space="0"/>
            </w:tcBorders>
            <w:vAlign w:val="center"/>
          </w:tcPr>
          <w:p>
            <w:pPr>
              <w:snapToGrid w:val="0"/>
              <w:jc w:val="center"/>
              <w:rPr>
                <w:rFonts w:ascii="仿宋" w:hAnsi="仿宋" w:eastAsia="仿宋"/>
                <w:kern w:val="0"/>
                <w:highlight w:val="none"/>
              </w:rPr>
            </w:pPr>
            <w:r>
              <w:rPr>
                <w:rFonts w:ascii="仿宋" w:hAnsi="仿宋" w:eastAsia="仿宋"/>
                <w:kern w:val="0"/>
                <w:highlight w:val="none"/>
              </w:rPr>
              <w:t>1</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仿宋" w:hAnsi="仿宋" w:eastAsia="仿宋"/>
                <w:bCs/>
                <w:kern w:val="0"/>
                <w:highlight w:val="none"/>
                <w:lang w:val="en-US" w:eastAsia="zh-CN"/>
              </w:rPr>
            </w:pPr>
            <w:r>
              <w:rPr>
                <w:rFonts w:hint="eastAsia" w:ascii="仿宋" w:hAnsi="仿宋" w:eastAsia="仿宋"/>
                <w:kern w:val="0"/>
                <w:highlight w:val="none"/>
              </w:rPr>
              <w:t>数据中心防火墙采购</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kern w:val="0"/>
                <w:highlight w:val="none"/>
                <w:lang w:val="en-US" w:eastAsia="zh-CN"/>
              </w:rPr>
            </w:pPr>
            <w:r>
              <w:rPr>
                <w:rFonts w:hint="eastAsia" w:ascii="仿宋" w:hAnsi="仿宋" w:eastAsia="仿宋"/>
                <w:kern w:val="0"/>
                <w:highlight w:val="none"/>
                <w:lang w:val="en-US" w:eastAsia="zh-CN"/>
              </w:rPr>
              <w:t>1</w:t>
            </w:r>
          </w:p>
        </w:tc>
        <w:tc>
          <w:tcPr>
            <w:tcW w:w="2117" w:type="dxa"/>
            <w:tcBorders>
              <w:top w:val="single" w:color="auto" w:sz="4" w:space="0"/>
              <w:left w:val="single" w:color="auto" w:sz="4" w:space="0"/>
              <w:bottom w:val="single" w:color="auto" w:sz="4" w:space="0"/>
            </w:tcBorders>
            <w:vAlign w:val="center"/>
          </w:tcPr>
          <w:p>
            <w:pPr>
              <w:snapToGrid w:val="0"/>
              <w:jc w:val="left"/>
              <w:rPr>
                <w:rFonts w:hint="eastAsia" w:ascii="仿宋" w:hAnsi="仿宋" w:eastAsia="仿宋"/>
                <w:kern w:val="0"/>
                <w:highlight w:val="none"/>
              </w:rPr>
            </w:pPr>
            <w:r>
              <w:rPr>
                <w:rFonts w:hint="eastAsia" w:ascii="仿宋" w:hAnsi="仿宋" w:eastAsia="仿宋"/>
                <w:kern w:val="0"/>
                <w:highlight w:val="none"/>
              </w:rPr>
              <w:t>本项目最高限价：</w:t>
            </w:r>
          </w:p>
          <w:p>
            <w:pPr>
              <w:snapToGrid w:val="0"/>
              <w:jc w:val="left"/>
              <w:rPr>
                <w:rFonts w:hint="default" w:ascii="仿宋" w:hAnsi="仿宋" w:eastAsia="仿宋"/>
                <w:kern w:val="0"/>
                <w:highlight w:val="none"/>
                <w:lang w:val="en-US" w:eastAsia="zh-CN"/>
              </w:rPr>
            </w:pPr>
            <w:r>
              <w:rPr>
                <w:rFonts w:hint="eastAsia" w:ascii="仿宋" w:hAnsi="仿宋" w:eastAsia="仿宋"/>
                <w:kern w:val="0"/>
                <w:highlight w:val="none"/>
              </w:rPr>
              <w:t>￥</w:t>
            </w:r>
            <w:r>
              <w:rPr>
                <w:rFonts w:hint="eastAsia" w:ascii="仿宋" w:hAnsi="仿宋" w:eastAsia="仿宋"/>
                <w:kern w:val="0"/>
                <w:highlight w:val="none"/>
                <w:lang w:eastAsia="zh-CN"/>
              </w:rPr>
              <w:t>：</w:t>
            </w:r>
            <w:r>
              <w:rPr>
                <w:rFonts w:hint="eastAsia" w:ascii="仿宋" w:hAnsi="仿宋" w:eastAsia="仿宋"/>
                <w:kern w:val="0"/>
                <w:highlight w:val="none"/>
                <w:lang w:val="en-US" w:eastAsia="zh-CN"/>
              </w:rPr>
              <w:t>110000.00</w:t>
            </w:r>
          </w:p>
          <w:p>
            <w:pPr>
              <w:snapToGrid w:val="0"/>
              <w:jc w:val="left"/>
              <w:rPr>
                <w:rFonts w:hint="default" w:ascii="仿宋" w:hAnsi="仿宋" w:eastAsia="仿宋"/>
                <w:kern w:val="0"/>
                <w:highlight w:val="none"/>
                <w:lang w:val="en-US" w:eastAsia="zh-CN"/>
              </w:rPr>
            </w:pPr>
            <w:r>
              <w:rPr>
                <w:rFonts w:hint="eastAsia" w:ascii="仿宋" w:hAnsi="仿宋" w:eastAsia="仿宋"/>
                <w:kern w:val="0"/>
                <w:highlight w:val="none"/>
              </w:rPr>
              <w:t>2.</w:t>
            </w:r>
            <w:r>
              <w:rPr>
                <w:rFonts w:hint="eastAsia" w:ascii="仿宋" w:hAnsi="仿宋" w:eastAsia="仿宋"/>
                <w:kern w:val="0"/>
                <w:highlight w:val="none"/>
                <w:lang w:val="en-US" w:eastAsia="zh-CN"/>
              </w:rPr>
              <w:t>详细需求见附件</w:t>
            </w:r>
          </w:p>
        </w:tc>
      </w:tr>
    </w:tbl>
    <w:p>
      <w:pPr>
        <w:snapToGrid w:val="0"/>
        <w:ind w:firstLine="630" w:firstLineChars="225"/>
        <w:rPr>
          <w:rFonts w:ascii="仿宋" w:hAnsi="仿宋" w:eastAsia="仿宋"/>
          <w:kern w:val="0"/>
          <w:sz w:val="28"/>
          <w:szCs w:val="28"/>
          <w:highlight w:val="none"/>
        </w:rPr>
      </w:pPr>
    </w:p>
    <w:p>
      <w:pPr>
        <w:snapToGrid w:val="0"/>
        <w:spacing w:line="360" w:lineRule="auto"/>
        <w:ind w:firstLine="474" w:firstLineChars="225"/>
        <w:rPr>
          <w:rFonts w:ascii="仿宋" w:hAnsi="仿宋" w:eastAsia="仿宋"/>
          <w:b/>
          <w:kern w:val="0"/>
          <w:highlight w:val="none"/>
        </w:rPr>
      </w:pPr>
      <w:r>
        <w:rPr>
          <w:rFonts w:hint="eastAsia" w:ascii="仿宋" w:hAnsi="仿宋" w:eastAsia="仿宋"/>
          <w:b/>
          <w:kern w:val="0"/>
          <w:highlight w:val="none"/>
        </w:rPr>
        <w:t>四、</w:t>
      </w:r>
      <w:r>
        <w:rPr>
          <w:rFonts w:hint="eastAsia" w:ascii="仿宋" w:hAnsi="仿宋" w:eastAsia="仿宋"/>
          <w:b/>
          <w:kern w:val="0"/>
          <w:highlight w:val="none"/>
          <w:lang w:val="en-US" w:eastAsia="zh-CN"/>
        </w:rPr>
        <w:t>反向竞价</w:t>
      </w:r>
      <w:r>
        <w:rPr>
          <w:rFonts w:hint="eastAsia" w:ascii="仿宋" w:hAnsi="仿宋" w:eastAsia="仿宋"/>
          <w:b/>
          <w:kern w:val="0"/>
          <w:highlight w:val="none"/>
        </w:rPr>
        <w:t>供应商资格要求：</w:t>
      </w:r>
    </w:p>
    <w:p>
      <w:pPr>
        <w:snapToGrid w:val="0"/>
        <w:spacing w:line="360" w:lineRule="auto"/>
        <w:ind w:firstLine="472" w:firstLineChars="225"/>
        <w:rPr>
          <w:rFonts w:ascii="仿宋" w:hAnsi="仿宋" w:eastAsia="仿宋"/>
          <w:kern w:val="0"/>
          <w:highlight w:val="none"/>
        </w:rPr>
      </w:pPr>
      <w:r>
        <w:rPr>
          <w:rFonts w:ascii="仿宋" w:hAnsi="仿宋" w:eastAsia="仿宋"/>
          <w:kern w:val="0"/>
          <w:highlight w:val="none"/>
        </w:rPr>
        <w:t>1</w:t>
      </w:r>
      <w:r>
        <w:rPr>
          <w:rFonts w:hint="eastAsia" w:ascii="仿宋" w:hAnsi="仿宋" w:eastAsia="仿宋"/>
          <w:kern w:val="0"/>
          <w:highlight w:val="none"/>
        </w:rPr>
        <w:t>、符合政府采购法第二十二条规定的投标人资格条件。</w:t>
      </w:r>
    </w:p>
    <w:p>
      <w:pPr>
        <w:snapToGrid w:val="0"/>
        <w:spacing w:line="360" w:lineRule="auto"/>
        <w:ind w:firstLine="472" w:firstLineChars="225"/>
        <w:rPr>
          <w:rFonts w:ascii="仿宋" w:hAnsi="仿宋" w:eastAsia="仿宋"/>
          <w:kern w:val="0"/>
          <w:highlight w:val="none"/>
        </w:rPr>
      </w:pPr>
      <w:r>
        <w:rPr>
          <w:rFonts w:ascii="仿宋" w:hAnsi="仿宋" w:eastAsia="仿宋"/>
          <w:kern w:val="0"/>
          <w:highlight w:val="none"/>
        </w:rPr>
        <w:t>2</w:t>
      </w:r>
      <w:r>
        <w:rPr>
          <w:rFonts w:hint="eastAsia" w:ascii="仿宋" w:hAnsi="仿宋" w:eastAsia="仿宋"/>
          <w:kern w:val="0"/>
          <w:highlight w:val="none"/>
        </w:rPr>
        <w:t>、未被信用中国（</w:t>
      </w:r>
      <w:r>
        <w:rPr>
          <w:rFonts w:ascii="仿宋" w:hAnsi="仿宋" w:eastAsia="仿宋"/>
          <w:kern w:val="0"/>
          <w:highlight w:val="none"/>
        </w:rPr>
        <w:t>www.creditchina.gov.cn</w:t>
      </w:r>
      <w:r>
        <w:rPr>
          <w:rFonts w:hint="eastAsia" w:ascii="仿宋" w:hAnsi="仿宋" w:eastAsia="仿宋"/>
          <w:kern w:val="0"/>
          <w:highlight w:val="none"/>
        </w:rPr>
        <w:t>）、中国政府采购网（</w:t>
      </w:r>
      <w:r>
        <w:rPr>
          <w:rFonts w:ascii="仿宋" w:hAnsi="仿宋" w:eastAsia="仿宋"/>
          <w:kern w:val="0"/>
          <w:highlight w:val="none"/>
        </w:rPr>
        <w:t>www.ccgp.gov.cn</w:t>
      </w:r>
      <w:r>
        <w:rPr>
          <w:rFonts w:hint="eastAsia" w:ascii="仿宋" w:hAnsi="仿宋" w:eastAsia="仿宋"/>
          <w:kern w:val="0"/>
          <w:highlight w:val="none"/>
        </w:rPr>
        <w:t>）列入行政处罚、黑名单、失信被执行人、重大税收违法案件当事人名单、政府采购严重违法失信行为记录名单。</w:t>
      </w:r>
    </w:p>
    <w:p>
      <w:pPr>
        <w:snapToGrid w:val="0"/>
        <w:spacing w:line="360" w:lineRule="auto"/>
        <w:ind w:firstLine="474" w:firstLineChars="225"/>
        <w:rPr>
          <w:rFonts w:ascii="仿宋" w:hAnsi="仿宋" w:eastAsia="仿宋"/>
          <w:kern w:val="0"/>
          <w:highlight w:val="none"/>
        </w:rPr>
      </w:pPr>
      <w:r>
        <w:rPr>
          <w:rFonts w:hint="eastAsia" w:ascii="仿宋" w:hAnsi="仿宋" w:eastAsia="仿宋"/>
          <w:b/>
          <w:kern w:val="0"/>
          <w:highlight w:val="none"/>
        </w:rPr>
        <w:t>五、</w:t>
      </w:r>
      <w:r>
        <w:rPr>
          <w:rFonts w:hint="eastAsia" w:ascii="仿宋" w:hAnsi="仿宋" w:eastAsia="仿宋"/>
          <w:b/>
          <w:kern w:val="0"/>
          <w:highlight w:val="none"/>
          <w:lang w:val="en-US" w:eastAsia="zh-CN"/>
        </w:rPr>
        <w:t>反向竞价</w:t>
      </w:r>
      <w:r>
        <w:rPr>
          <w:rFonts w:hint="eastAsia" w:ascii="仿宋" w:hAnsi="仿宋" w:eastAsia="仿宋"/>
          <w:b/>
          <w:kern w:val="0"/>
          <w:highlight w:val="none"/>
        </w:rPr>
        <w:t>响应开始时间：</w:t>
      </w:r>
      <w:r>
        <w:rPr>
          <w:rFonts w:hint="eastAsia" w:ascii="仿宋" w:hAnsi="仿宋" w:eastAsia="仿宋"/>
          <w:kern w:val="0"/>
          <w:highlight w:val="none"/>
        </w:rPr>
        <w:t>以“政采云”设定时间为准</w:t>
      </w:r>
    </w:p>
    <w:p>
      <w:pPr>
        <w:snapToGrid w:val="0"/>
        <w:spacing w:line="360" w:lineRule="auto"/>
        <w:ind w:firstLine="474" w:firstLineChars="225"/>
        <w:rPr>
          <w:rFonts w:ascii="仿宋" w:hAnsi="仿宋" w:eastAsia="仿宋"/>
          <w:kern w:val="0"/>
          <w:highlight w:val="none"/>
        </w:rPr>
      </w:pPr>
      <w:r>
        <w:rPr>
          <w:rFonts w:hint="eastAsia" w:ascii="仿宋" w:hAnsi="仿宋" w:eastAsia="仿宋"/>
          <w:b/>
          <w:kern w:val="0"/>
          <w:highlight w:val="none"/>
        </w:rPr>
        <w:t>六、</w:t>
      </w:r>
      <w:r>
        <w:rPr>
          <w:rFonts w:hint="eastAsia" w:ascii="仿宋" w:hAnsi="仿宋" w:eastAsia="仿宋"/>
          <w:b/>
          <w:kern w:val="0"/>
          <w:highlight w:val="none"/>
          <w:lang w:val="en-US" w:eastAsia="zh-CN"/>
        </w:rPr>
        <w:t>反向竞价</w:t>
      </w:r>
      <w:r>
        <w:rPr>
          <w:rFonts w:hint="eastAsia" w:ascii="仿宋" w:hAnsi="仿宋" w:eastAsia="仿宋"/>
          <w:b/>
          <w:kern w:val="0"/>
          <w:highlight w:val="none"/>
        </w:rPr>
        <w:t>响应开始时间：</w:t>
      </w:r>
      <w:r>
        <w:rPr>
          <w:rFonts w:hint="eastAsia" w:ascii="仿宋" w:hAnsi="仿宋" w:eastAsia="仿宋"/>
          <w:kern w:val="0"/>
          <w:highlight w:val="none"/>
        </w:rPr>
        <w:t>以“政采云”设定时间为准</w:t>
      </w:r>
    </w:p>
    <w:p>
      <w:pPr>
        <w:snapToGrid w:val="0"/>
        <w:spacing w:line="360" w:lineRule="auto"/>
        <w:ind w:firstLine="474" w:firstLineChars="225"/>
        <w:rPr>
          <w:rFonts w:ascii="仿宋" w:hAnsi="仿宋" w:eastAsia="仿宋"/>
          <w:kern w:val="0"/>
          <w:highlight w:val="none"/>
        </w:rPr>
      </w:pPr>
      <w:r>
        <w:rPr>
          <w:rFonts w:hint="eastAsia" w:ascii="仿宋" w:hAnsi="仿宋" w:eastAsia="仿宋"/>
          <w:b/>
          <w:kern w:val="0"/>
          <w:highlight w:val="none"/>
          <w:lang w:val="en-US" w:eastAsia="zh-CN"/>
        </w:rPr>
        <w:t>七</w:t>
      </w:r>
      <w:r>
        <w:rPr>
          <w:rFonts w:hint="eastAsia" w:ascii="仿宋" w:hAnsi="仿宋" w:eastAsia="仿宋"/>
          <w:b/>
          <w:kern w:val="0"/>
          <w:highlight w:val="none"/>
        </w:rPr>
        <w:t>、</w:t>
      </w:r>
      <w:r>
        <w:rPr>
          <w:rFonts w:hint="eastAsia" w:ascii="仿宋" w:hAnsi="仿宋" w:eastAsia="仿宋"/>
          <w:b/>
          <w:kern w:val="0"/>
          <w:highlight w:val="none"/>
          <w:lang w:val="en-US" w:eastAsia="zh-CN"/>
        </w:rPr>
        <w:t>反向竞价</w:t>
      </w:r>
      <w:r>
        <w:rPr>
          <w:rFonts w:hint="eastAsia" w:ascii="仿宋" w:hAnsi="仿宋" w:eastAsia="仿宋"/>
          <w:b/>
          <w:kern w:val="0"/>
          <w:highlight w:val="none"/>
        </w:rPr>
        <w:t>响应截止时间：</w:t>
      </w:r>
      <w:bookmarkStart w:id="1" w:name="B24_询价响应截止日期"/>
      <w:r>
        <w:rPr>
          <w:rFonts w:hint="eastAsia" w:ascii="仿宋" w:hAnsi="仿宋" w:eastAsia="仿宋"/>
          <w:kern w:val="0"/>
          <w:highlight w:val="none"/>
        </w:rPr>
        <w:t>以“政采云”设定时间为准</w:t>
      </w:r>
      <w:bookmarkEnd w:id="1"/>
    </w:p>
    <w:p>
      <w:pPr>
        <w:snapToGrid w:val="0"/>
        <w:spacing w:line="360" w:lineRule="auto"/>
        <w:ind w:firstLine="474" w:firstLineChars="225"/>
        <w:rPr>
          <w:rFonts w:ascii="仿宋" w:hAnsi="仿宋" w:eastAsia="仿宋"/>
          <w:b/>
          <w:kern w:val="0"/>
          <w:highlight w:val="none"/>
        </w:rPr>
      </w:pPr>
      <w:r>
        <w:rPr>
          <w:rFonts w:hint="eastAsia" w:ascii="仿宋" w:hAnsi="仿宋" w:eastAsia="仿宋"/>
          <w:b/>
          <w:kern w:val="0"/>
          <w:highlight w:val="none"/>
          <w:lang w:val="en-US" w:eastAsia="zh-CN"/>
        </w:rPr>
        <w:t>八</w:t>
      </w:r>
      <w:r>
        <w:rPr>
          <w:rFonts w:hint="eastAsia" w:ascii="仿宋" w:hAnsi="仿宋" w:eastAsia="仿宋"/>
          <w:b/>
          <w:kern w:val="0"/>
          <w:highlight w:val="none"/>
        </w:rPr>
        <w:t>、其他事项：</w:t>
      </w:r>
    </w:p>
    <w:p>
      <w:pPr>
        <w:snapToGrid w:val="0"/>
        <w:spacing w:line="360" w:lineRule="auto"/>
        <w:ind w:firstLine="472" w:firstLineChars="225"/>
        <w:rPr>
          <w:rFonts w:ascii="仿宋" w:hAnsi="仿宋" w:eastAsia="仿宋"/>
          <w:kern w:val="0"/>
          <w:highlight w:val="none"/>
        </w:rPr>
      </w:pPr>
      <w:r>
        <w:rPr>
          <w:rFonts w:ascii="仿宋" w:hAnsi="仿宋" w:eastAsia="仿宋"/>
          <w:kern w:val="0"/>
          <w:highlight w:val="none"/>
        </w:rPr>
        <w:t>1</w:t>
      </w:r>
      <w:r>
        <w:rPr>
          <w:rFonts w:hint="eastAsia" w:ascii="仿宋" w:hAnsi="仿宋" w:eastAsia="仿宋"/>
          <w:kern w:val="0"/>
          <w:highlight w:val="none"/>
        </w:rPr>
        <w:t>、网上自动成交后，需双方确认达成一致结果才为正式成交。</w:t>
      </w:r>
    </w:p>
    <w:p>
      <w:pPr>
        <w:snapToGrid w:val="0"/>
        <w:spacing w:line="360" w:lineRule="auto"/>
        <w:ind w:firstLine="472" w:firstLineChars="225"/>
        <w:rPr>
          <w:rFonts w:ascii="仿宋" w:hAnsi="仿宋" w:eastAsia="仿宋"/>
          <w:kern w:val="0"/>
          <w:highlight w:val="none"/>
        </w:rPr>
      </w:pPr>
      <w:r>
        <w:rPr>
          <w:rFonts w:ascii="仿宋" w:hAnsi="仿宋" w:eastAsia="仿宋"/>
          <w:kern w:val="0"/>
          <w:highlight w:val="none"/>
        </w:rPr>
        <w:t>2</w:t>
      </w:r>
      <w:r>
        <w:rPr>
          <w:rFonts w:hint="eastAsia" w:ascii="仿宋" w:hAnsi="仿宋" w:eastAsia="仿宋"/>
          <w:kern w:val="0"/>
          <w:highlight w:val="none"/>
        </w:rPr>
        <w:t>、如供货商响应中有漏项或者</w:t>
      </w:r>
      <w:r>
        <w:rPr>
          <w:rFonts w:hint="eastAsia" w:ascii="仿宋" w:hAnsi="仿宋" w:eastAsia="仿宋"/>
          <w:kern w:val="0"/>
          <w:highlight w:val="none"/>
          <w:lang w:val="en-US" w:eastAsia="zh-CN"/>
        </w:rPr>
        <w:t>核心</w:t>
      </w:r>
      <w:r>
        <w:rPr>
          <w:rFonts w:hint="eastAsia" w:ascii="仿宋" w:hAnsi="仿宋" w:eastAsia="仿宋"/>
          <w:kern w:val="0"/>
          <w:highlight w:val="none"/>
        </w:rPr>
        <w:t>技术参数负偏离，采购方有权取消供应商中标资格并重新组织</w:t>
      </w:r>
      <w:r>
        <w:rPr>
          <w:rFonts w:hint="eastAsia" w:ascii="仿宋" w:hAnsi="仿宋" w:eastAsia="仿宋"/>
          <w:kern w:val="0"/>
          <w:highlight w:val="none"/>
          <w:lang w:eastAsia="zh-CN"/>
        </w:rPr>
        <w:t>在线招投标</w:t>
      </w:r>
      <w:r>
        <w:rPr>
          <w:rFonts w:hint="eastAsia" w:ascii="仿宋" w:hAnsi="仿宋" w:eastAsia="仿宋"/>
          <w:kern w:val="0"/>
          <w:highlight w:val="none"/>
        </w:rPr>
        <w:t>。</w:t>
      </w:r>
    </w:p>
    <w:p>
      <w:pPr>
        <w:snapToGrid w:val="0"/>
        <w:spacing w:line="360" w:lineRule="auto"/>
        <w:ind w:firstLine="474" w:firstLineChars="225"/>
        <w:rPr>
          <w:rFonts w:ascii="仿宋" w:hAnsi="仿宋" w:eastAsia="仿宋"/>
          <w:b/>
          <w:kern w:val="0"/>
          <w:highlight w:val="none"/>
        </w:rPr>
      </w:pPr>
      <w:r>
        <w:rPr>
          <w:rFonts w:hint="eastAsia" w:ascii="仿宋" w:hAnsi="仿宋" w:eastAsia="仿宋"/>
          <w:b/>
          <w:kern w:val="0"/>
          <w:highlight w:val="none"/>
          <w:lang w:val="en-US" w:eastAsia="zh-CN"/>
        </w:rPr>
        <w:t>九</w:t>
      </w:r>
      <w:r>
        <w:rPr>
          <w:rFonts w:hint="eastAsia" w:ascii="仿宋" w:hAnsi="仿宋" w:eastAsia="仿宋"/>
          <w:b/>
          <w:kern w:val="0"/>
          <w:highlight w:val="none"/>
        </w:rPr>
        <w:t>、联系方式：</w:t>
      </w:r>
      <w:r>
        <w:rPr>
          <w:rFonts w:ascii="仿宋" w:hAnsi="仿宋" w:eastAsia="仿宋"/>
          <w:b/>
          <w:kern w:val="0"/>
          <w:highlight w:val="none"/>
        </w:rPr>
        <w:t xml:space="preserve">  </w:t>
      </w:r>
    </w:p>
    <w:p>
      <w:pPr>
        <w:snapToGrid w:val="0"/>
        <w:spacing w:line="360" w:lineRule="auto"/>
        <w:ind w:firstLine="682" w:firstLineChars="325"/>
        <w:rPr>
          <w:rFonts w:hint="eastAsia" w:ascii="仿宋" w:hAnsi="仿宋" w:eastAsia="仿宋"/>
          <w:kern w:val="0"/>
          <w:highlight w:val="none"/>
          <w:lang w:eastAsia="zh-CN"/>
        </w:rPr>
      </w:pPr>
      <w:r>
        <w:rPr>
          <w:rFonts w:hint="eastAsia" w:ascii="仿宋" w:hAnsi="仿宋" w:eastAsia="仿宋"/>
          <w:kern w:val="0"/>
          <w:highlight w:val="none"/>
        </w:rPr>
        <w:t>采购人名称：</w:t>
      </w:r>
      <w:r>
        <w:rPr>
          <w:rFonts w:hint="eastAsia" w:ascii="仿宋" w:hAnsi="仿宋" w:eastAsia="仿宋"/>
          <w:kern w:val="0"/>
          <w:highlight w:val="none"/>
          <w:lang w:eastAsia="zh-CN"/>
        </w:rPr>
        <w:t>温州城市大学</w:t>
      </w:r>
    </w:p>
    <w:p>
      <w:pPr>
        <w:snapToGrid w:val="0"/>
        <w:spacing w:line="360" w:lineRule="auto"/>
        <w:ind w:firstLine="682" w:firstLineChars="325"/>
        <w:rPr>
          <w:rFonts w:hint="default" w:ascii="仿宋" w:hAnsi="仿宋" w:eastAsia="仿宋" w:cs="仿宋"/>
          <w:b/>
          <w:kern w:val="0"/>
          <w:sz w:val="21"/>
          <w:szCs w:val="21"/>
          <w:highlight w:val="none"/>
          <w:u w:val="single"/>
          <w:lang w:val="en-US" w:eastAsia="zh-CN"/>
        </w:rPr>
      </w:pPr>
      <w:r>
        <w:rPr>
          <w:rFonts w:hint="eastAsia" w:ascii="仿宋" w:hAnsi="仿宋" w:eastAsia="仿宋"/>
          <w:kern w:val="0"/>
          <w:highlight w:val="none"/>
        </w:rPr>
        <w:t>联系人：</w:t>
      </w:r>
      <w:r>
        <w:rPr>
          <w:rFonts w:hint="eastAsia" w:ascii="仿宋" w:hAnsi="仿宋" w:eastAsia="仿宋"/>
          <w:kern w:val="0"/>
          <w:highlight w:val="none"/>
          <w:lang w:val="en-US" w:eastAsia="zh-CN"/>
        </w:rPr>
        <w:t>胡老师</w:t>
      </w:r>
      <w:r>
        <w:rPr>
          <w:rFonts w:hint="eastAsia" w:ascii="仿宋" w:hAnsi="仿宋" w:eastAsia="仿宋"/>
          <w:kern w:val="0"/>
          <w:highlight w:val="none"/>
          <w:lang w:eastAsia="zh-CN"/>
        </w:rPr>
        <w:t>，</w:t>
      </w:r>
      <w:r>
        <w:rPr>
          <w:rFonts w:hint="eastAsia" w:ascii="仿宋" w:hAnsi="仿宋" w:eastAsia="仿宋"/>
          <w:kern w:val="0"/>
          <w:highlight w:val="none"/>
          <w:lang w:val="en-US" w:eastAsia="zh-CN"/>
        </w:rPr>
        <w:t>联系方式：</w:t>
      </w:r>
      <w:r>
        <w:rPr>
          <w:rFonts w:hint="eastAsia" w:ascii="仿宋" w:hAnsi="仿宋" w:eastAsia="仿宋"/>
          <w:kern w:val="0"/>
          <w:highlight w:val="none"/>
        </w:rPr>
        <w:t>88</w:t>
      </w:r>
      <w:r>
        <w:rPr>
          <w:rFonts w:hint="eastAsia" w:ascii="仿宋" w:hAnsi="仿宋" w:eastAsia="仿宋"/>
          <w:kern w:val="0"/>
          <w:highlight w:val="none"/>
          <w:lang w:val="en-US" w:eastAsia="zh-CN"/>
        </w:rPr>
        <w:t>282373</w:t>
      </w:r>
    </w:p>
    <w:p>
      <w:pPr>
        <w:ind w:firstLine="632" w:firstLineChars="300"/>
        <w:jc w:val="left"/>
        <w:rPr>
          <w:rFonts w:hint="eastAsia" w:ascii="仿宋" w:hAnsi="仿宋" w:eastAsia="仿宋" w:cs="仿宋"/>
          <w:b/>
          <w:kern w:val="0"/>
          <w:sz w:val="21"/>
          <w:szCs w:val="21"/>
          <w:highlight w:val="none"/>
          <w:u w:val="single"/>
          <w:lang w:val="en-US" w:eastAsia="zh-CN"/>
        </w:rPr>
      </w:pPr>
      <w:r>
        <w:rPr>
          <w:rFonts w:hint="eastAsia" w:ascii="仿宋" w:hAnsi="仿宋" w:eastAsia="仿宋" w:cs="仿宋"/>
          <w:b/>
          <w:kern w:val="0"/>
          <w:sz w:val="21"/>
          <w:szCs w:val="21"/>
          <w:highlight w:val="none"/>
          <w:u w:val="single"/>
        </w:rPr>
        <w:t>附件一：</w:t>
      </w:r>
      <w:r>
        <w:rPr>
          <w:rFonts w:hint="eastAsia" w:ascii="仿宋" w:hAnsi="仿宋" w:eastAsia="仿宋" w:cs="仿宋"/>
          <w:b/>
          <w:kern w:val="0"/>
          <w:sz w:val="21"/>
          <w:szCs w:val="21"/>
          <w:highlight w:val="none"/>
          <w:u w:val="single"/>
          <w:lang w:val="en-US" w:eastAsia="zh-CN"/>
        </w:rPr>
        <w:t>采购清单</w:t>
      </w:r>
    </w:p>
    <w:p>
      <w:pPr>
        <w:ind w:firstLine="632" w:firstLineChars="300"/>
        <w:jc w:val="left"/>
        <w:rPr>
          <w:rFonts w:hint="eastAsia" w:ascii="仿宋" w:hAnsi="仿宋" w:eastAsia="仿宋" w:cs="仿宋"/>
          <w:b/>
          <w:kern w:val="0"/>
          <w:sz w:val="21"/>
          <w:szCs w:val="21"/>
          <w:highlight w:val="none"/>
          <w:u w:val="single"/>
          <w:lang w:val="en-US" w:eastAsia="zh-CN"/>
        </w:rPr>
      </w:pPr>
      <w:r>
        <w:rPr>
          <w:rFonts w:hint="eastAsia" w:ascii="仿宋" w:hAnsi="仿宋" w:eastAsia="仿宋" w:cs="仿宋"/>
          <w:b/>
          <w:kern w:val="0"/>
          <w:sz w:val="21"/>
          <w:szCs w:val="21"/>
          <w:highlight w:val="none"/>
          <w:u w:val="single"/>
          <w:lang w:val="en-US" w:eastAsia="zh-CN"/>
        </w:rPr>
        <w:t>附件二：商务要求</w:t>
      </w:r>
    </w:p>
    <w:p>
      <w:pPr>
        <w:ind w:firstLine="632" w:firstLineChars="300"/>
        <w:jc w:val="left"/>
        <w:rPr>
          <w:rFonts w:hint="eastAsia" w:ascii="仿宋" w:hAnsi="仿宋" w:eastAsia="仿宋" w:cs="仿宋"/>
          <w:b/>
          <w:sz w:val="21"/>
          <w:szCs w:val="21"/>
          <w:highlight w:val="none"/>
          <w:u w:val="single"/>
          <w:lang w:val="en-US" w:eastAsia="zh-CN"/>
        </w:rPr>
      </w:pPr>
      <w:r>
        <w:rPr>
          <w:rFonts w:hint="eastAsia" w:ascii="仿宋" w:hAnsi="仿宋" w:eastAsia="仿宋" w:cs="仿宋"/>
          <w:b/>
          <w:sz w:val="21"/>
          <w:szCs w:val="21"/>
          <w:highlight w:val="none"/>
          <w:u w:val="single"/>
        </w:rPr>
        <w:t>附件二：</w:t>
      </w:r>
      <w:r>
        <w:rPr>
          <w:rFonts w:hint="eastAsia" w:ascii="仿宋" w:hAnsi="仿宋" w:eastAsia="仿宋" w:cs="仿宋"/>
          <w:b/>
          <w:sz w:val="21"/>
          <w:szCs w:val="21"/>
          <w:highlight w:val="none"/>
          <w:u w:val="single"/>
          <w:lang w:val="en-US" w:eastAsia="zh-CN"/>
        </w:rPr>
        <w:t>技术要求</w:t>
      </w:r>
    </w:p>
    <w:p>
      <w:pPr>
        <w:snapToGrid w:val="0"/>
        <w:spacing w:line="360" w:lineRule="auto"/>
        <w:ind w:firstLine="472" w:firstLineChars="225"/>
        <w:jc w:val="right"/>
        <w:rPr>
          <w:rFonts w:hint="eastAsia" w:ascii="仿宋" w:hAnsi="仿宋" w:eastAsia="仿宋"/>
          <w:kern w:val="0"/>
          <w:highlight w:val="none"/>
          <w:lang w:eastAsia="zh-CN"/>
        </w:rPr>
      </w:pPr>
    </w:p>
    <w:p>
      <w:pPr>
        <w:snapToGrid w:val="0"/>
        <w:spacing w:line="360" w:lineRule="auto"/>
        <w:ind w:firstLine="472" w:firstLineChars="225"/>
        <w:jc w:val="center"/>
        <w:rPr>
          <w:rFonts w:hint="eastAsia" w:ascii="仿宋" w:hAnsi="仿宋" w:eastAsia="仿宋"/>
          <w:kern w:val="0"/>
          <w:highlight w:val="none"/>
          <w:lang w:eastAsia="zh-CN"/>
        </w:rPr>
      </w:pPr>
      <w:r>
        <w:rPr>
          <w:rFonts w:hint="eastAsia" w:ascii="仿宋" w:hAnsi="仿宋" w:eastAsia="仿宋"/>
          <w:kern w:val="0"/>
          <w:highlight w:val="none"/>
          <w:lang w:val="en-US" w:eastAsia="zh-CN"/>
        </w:rPr>
        <w:t xml:space="preserve">                                                         </w:t>
      </w:r>
      <w:r>
        <w:rPr>
          <w:rFonts w:hint="eastAsia" w:ascii="仿宋" w:hAnsi="仿宋" w:eastAsia="仿宋"/>
          <w:kern w:val="0"/>
          <w:highlight w:val="none"/>
          <w:lang w:eastAsia="zh-CN"/>
        </w:rPr>
        <w:t>温州城市大学</w:t>
      </w:r>
    </w:p>
    <w:p>
      <w:pPr>
        <w:wordWrap w:val="0"/>
        <w:snapToGrid w:val="0"/>
        <w:spacing w:line="360" w:lineRule="auto"/>
        <w:ind w:firstLine="472" w:firstLineChars="225"/>
        <w:jc w:val="center"/>
        <w:rPr>
          <w:rFonts w:ascii="仿宋" w:hAnsi="仿宋" w:eastAsia="仿宋"/>
          <w:kern w:val="0"/>
          <w:highlight w:val="none"/>
        </w:rPr>
      </w:pPr>
      <w:r>
        <w:rPr>
          <w:rFonts w:hint="eastAsia" w:ascii="仿宋" w:hAnsi="仿宋" w:eastAsia="仿宋"/>
          <w:kern w:val="0"/>
          <w:highlight w:val="none"/>
          <w:lang w:val="en-US" w:eastAsia="zh-CN"/>
        </w:rPr>
        <w:t xml:space="preserve">                                                          </w:t>
      </w:r>
      <w:r>
        <w:rPr>
          <w:rFonts w:ascii="仿宋" w:hAnsi="仿宋" w:eastAsia="仿宋"/>
          <w:kern w:val="0"/>
          <w:highlight w:val="none"/>
        </w:rPr>
        <w:t>202</w:t>
      </w:r>
      <w:r>
        <w:rPr>
          <w:rFonts w:hint="eastAsia" w:ascii="仿宋" w:hAnsi="仿宋" w:eastAsia="仿宋"/>
          <w:kern w:val="0"/>
          <w:highlight w:val="none"/>
          <w:lang w:val="en-US" w:eastAsia="zh-CN"/>
        </w:rPr>
        <w:t>4</w:t>
      </w:r>
      <w:r>
        <w:rPr>
          <w:rFonts w:hint="eastAsia" w:ascii="仿宋" w:hAnsi="仿宋" w:eastAsia="仿宋"/>
          <w:kern w:val="0"/>
          <w:highlight w:val="none"/>
        </w:rPr>
        <w:t>年</w:t>
      </w:r>
      <w:r>
        <w:rPr>
          <w:rFonts w:hint="eastAsia" w:ascii="仿宋" w:hAnsi="仿宋" w:eastAsia="仿宋"/>
          <w:kern w:val="0"/>
          <w:highlight w:val="none"/>
          <w:lang w:val="en-US" w:eastAsia="zh-CN"/>
        </w:rPr>
        <w:t>3</w:t>
      </w:r>
      <w:r>
        <w:rPr>
          <w:rFonts w:hint="eastAsia" w:ascii="仿宋" w:hAnsi="仿宋" w:eastAsia="仿宋"/>
          <w:kern w:val="0"/>
          <w:highlight w:val="none"/>
        </w:rPr>
        <w:t>月</w:t>
      </w:r>
      <w:r>
        <w:rPr>
          <w:rFonts w:hint="eastAsia" w:ascii="仿宋" w:hAnsi="仿宋" w:eastAsia="仿宋"/>
          <w:kern w:val="0"/>
          <w:highlight w:val="none"/>
          <w:lang w:val="en-US" w:eastAsia="zh-CN"/>
        </w:rPr>
        <w:t>28</w:t>
      </w:r>
      <w:r>
        <w:rPr>
          <w:rFonts w:hint="eastAsia" w:ascii="仿宋" w:hAnsi="仿宋" w:eastAsia="仿宋"/>
          <w:kern w:val="0"/>
          <w:highlight w:val="none"/>
        </w:rPr>
        <w:t>日</w:t>
      </w:r>
    </w:p>
    <w:p>
      <w:pPr>
        <w:pStyle w:val="6"/>
        <w:snapToGrid w:val="0"/>
        <w:spacing w:before="156" w:after="156" w:line="240" w:lineRule="auto"/>
        <w:jc w:val="left"/>
        <w:outlineLvl w:val="0"/>
        <w:rPr>
          <w:rFonts w:hint="eastAsia" w:ascii="仿宋" w:hAnsi="仿宋" w:eastAsia="仿宋" w:cs="仿宋"/>
          <w:b/>
          <w:sz w:val="28"/>
          <w:szCs w:val="28"/>
          <w:highlight w:val="none"/>
        </w:rPr>
      </w:pPr>
    </w:p>
    <w:p>
      <w:pPr>
        <w:pStyle w:val="6"/>
        <w:snapToGrid w:val="0"/>
        <w:spacing w:before="156" w:after="156" w:line="240" w:lineRule="auto"/>
        <w:jc w:val="left"/>
        <w:outlineLvl w:val="0"/>
        <w:rPr>
          <w:rFonts w:hint="eastAsia" w:ascii="仿宋" w:hAnsi="仿宋" w:eastAsia="仿宋" w:cs="仿宋"/>
          <w:b/>
          <w:sz w:val="28"/>
          <w:szCs w:val="28"/>
          <w:highlight w:val="none"/>
        </w:rPr>
      </w:pPr>
    </w:p>
    <w:p>
      <w:pPr>
        <w:pStyle w:val="6"/>
        <w:snapToGrid w:val="0"/>
        <w:spacing w:before="156" w:after="156" w:line="240" w:lineRule="auto"/>
        <w:jc w:val="left"/>
        <w:outlineLvl w:val="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附件一：采购</w:t>
      </w:r>
      <w:r>
        <w:rPr>
          <w:rFonts w:hint="eastAsia" w:ascii="仿宋" w:hAnsi="仿宋" w:eastAsia="仿宋" w:cs="仿宋"/>
          <w:b/>
          <w:sz w:val="28"/>
          <w:szCs w:val="28"/>
          <w:highlight w:val="none"/>
          <w:lang w:val="en-US" w:eastAsia="zh-CN"/>
        </w:rPr>
        <w:t>清单</w:t>
      </w:r>
    </w:p>
    <w:p>
      <w:pPr>
        <w:pStyle w:val="6"/>
        <w:snapToGrid w:val="0"/>
        <w:spacing w:beforeLines="0" w:afterLines="0" w:line="240" w:lineRule="auto"/>
        <w:outlineLvl w:val="0"/>
        <w:rPr>
          <w:rFonts w:hint="eastAsia" w:ascii="仿宋" w:hAnsi="仿宋" w:eastAsia="仿宋"/>
          <w:b/>
          <w:sz w:val="28"/>
          <w:szCs w:val="28"/>
          <w:highlight w:val="none"/>
        </w:rPr>
      </w:pPr>
    </w:p>
    <w:p>
      <w:pPr>
        <w:pStyle w:val="6"/>
        <w:snapToGrid w:val="0"/>
        <w:spacing w:beforeLines="0" w:afterLines="0" w:line="240" w:lineRule="auto"/>
        <w:outlineLvl w:val="0"/>
        <w:rPr>
          <w:rFonts w:hint="eastAsia" w:ascii="仿宋" w:hAnsi="仿宋" w:eastAsia="仿宋" w:cs="仿宋"/>
          <w:b/>
          <w:sz w:val="21"/>
          <w:szCs w:val="21"/>
          <w:highlight w:val="none"/>
        </w:rPr>
      </w:pPr>
      <w:r>
        <w:rPr>
          <w:rFonts w:hint="eastAsia" w:ascii="仿宋" w:hAnsi="仿宋" w:eastAsia="仿宋" w:cs="仿宋"/>
          <w:b/>
          <w:sz w:val="21"/>
          <w:szCs w:val="21"/>
          <w:highlight w:val="none"/>
        </w:rPr>
        <w:t>编号：</w:t>
      </w:r>
    </w:p>
    <w:p>
      <w:pPr>
        <w:pStyle w:val="6"/>
        <w:snapToGrid w:val="0"/>
        <w:spacing w:beforeLines="0" w:afterLines="0" w:line="240" w:lineRule="auto"/>
        <w:outlineLvl w:val="0"/>
        <w:rPr>
          <w:rFonts w:hint="eastAsia" w:ascii="仿宋" w:hAnsi="仿宋" w:eastAsia="仿宋" w:cs="仿宋"/>
          <w:b/>
          <w:bCs/>
          <w:sz w:val="21"/>
          <w:szCs w:val="21"/>
          <w:highlight w:val="none"/>
          <w:u w:val="single"/>
          <w:lang w:eastAsia="zh-CN"/>
        </w:rPr>
      </w:pPr>
      <w:r>
        <w:rPr>
          <w:rFonts w:hint="eastAsia" w:ascii="仿宋" w:hAnsi="仿宋" w:eastAsia="仿宋" w:cs="仿宋"/>
          <w:sz w:val="21"/>
          <w:szCs w:val="21"/>
          <w:highlight w:val="none"/>
        </w:rPr>
        <w:t>采购单位名称：</w:t>
      </w:r>
      <w:r>
        <w:rPr>
          <w:rFonts w:hint="eastAsia" w:ascii="仿宋" w:hAnsi="仿宋" w:eastAsia="仿宋" w:cs="仿宋"/>
          <w:b/>
          <w:bCs/>
          <w:sz w:val="21"/>
          <w:szCs w:val="21"/>
          <w:highlight w:val="none"/>
          <w:u w:val="single"/>
          <w:lang w:eastAsia="zh-CN"/>
        </w:rPr>
        <w:t>温州城市大学</w:t>
      </w:r>
    </w:p>
    <w:p>
      <w:pPr>
        <w:pStyle w:val="6"/>
        <w:snapToGrid w:val="0"/>
        <w:spacing w:beforeLines="0" w:afterLines="0" w:line="240" w:lineRule="auto"/>
        <w:outlineLvl w:val="0"/>
        <w:rPr>
          <w:rFonts w:hint="eastAsia" w:ascii="仿宋" w:hAnsi="仿宋" w:eastAsia="仿宋" w:cs="仿宋"/>
          <w:b/>
          <w:bCs/>
          <w:sz w:val="21"/>
          <w:szCs w:val="21"/>
          <w:highlight w:val="none"/>
          <w:u w:val="single"/>
          <w:lang w:eastAsia="zh-CN"/>
        </w:rPr>
      </w:pPr>
    </w:p>
    <w:p>
      <w:pPr>
        <w:numPr>
          <w:ilvl w:val="0"/>
          <w:numId w:val="3"/>
        </w:numPr>
        <w:spacing w:line="440" w:lineRule="exact"/>
        <w:rPr>
          <w:rFonts w:hint="eastAsia" w:ascii="仿宋" w:hAnsi="仿宋" w:eastAsia="仿宋" w:cs="仿宋"/>
          <w:i w:val="0"/>
          <w:iCs w:val="0"/>
          <w:caps w:val="0"/>
          <w:color w:val="auto"/>
          <w:spacing w:val="0"/>
          <w:kern w:val="0"/>
          <w:sz w:val="21"/>
          <w:szCs w:val="21"/>
          <w:highlight w:val="none"/>
          <w:shd w:val="clear" w:color="auto" w:fill="FFFFFF"/>
          <w:lang w:val="en-US" w:eastAsia="zh-CN" w:bidi="ar"/>
        </w:rPr>
      </w:pPr>
      <w:r>
        <w:rPr>
          <w:rFonts w:hint="eastAsia" w:ascii="仿宋" w:hAnsi="仿宋" w:eastAsia="仿宋" w:cs="仿宋"/>
          <w:i w:val="0"/>
          <w:iCs w:val="0"/>
          <w:caps w:val="0"/>
          <w:color w:val="auto"/>
          <w:spacing w:val="0"/>
          <w:kern w:val="0"/>
          <w:sz w:val="21"/>
          <w:szCs w:val="21"/>
          <w:highlight w:val="none"/>
          <w:shd w:val="clear" w:color="auto" w:fill="FFFFFF"/>
          <w:lang w:val="en-US" w:eastAsia="zh-CN" w:bidi="ar"/>
        </w:rPr>
        <w:t>项目清单</w:t>
      </w:r>
    </w:p>
    <w:tbl>
      <w:tblPr>
        <w:tblStyle w:val="11"/>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745"/>
        <w:gridCol w:w="1064"/>
        <w:gridCol w:w="1614"/>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pStyle w:val="2"/>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2745" w:type="dxa"/>
          </w:tcPr>
          <w:p>
            <w:pPr>
              <w:pStyle w:val="2"/>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名称</w:t>
            </w:r>
          </w:p>
        </w:tc>
        <w:tc>
          <w:tcPr>
            <w:tcW w:w="1064" w:type="dxa"/>
            <w:vAlign w:val="top"/>
          </w:tcPr>
          <w:p>
            <w:pPr>
              <w:pStyle w:val="2"/>
              <w:jc w:val="center"/>
              <w:outlineLvl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数量</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台</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c>
          <w:tcPr>
            <w:tcW w:w="1614" w:type="dxa"/>
          </w:tcPr>
          <w:p>
            <w:pPr>
              <w:pStyle w:val="2"/>
              <w:jc w:val="center"/>
              <w:outlineLvl w:val="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最高单价（元）</w:t>
            </w:r>
          </w:p>
        </w:tc>
        <w:tc>
          <w:tcPr>
            <w:tcW w:w="2297" w:type="dxa"/>
          </w:tcPr>
          <w:p>
            <w:pPr>
              <w:pStyle w:val="2"/>
              <w:jc w:val="center"/>
              <w:outlineLvl w:val="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最高总价（元）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pStyle w:val="2"/>
              <w:jc w:val="center"/>
              <w:outlineLvl w:val="0"/>
              <w:rPr>
                <w:rFonts w:hint="eastAsia" w:ascii="仿宋" w:hAnsi="仿宋" w:eastAsia="仿宋" w:cs="仿宋"/>
                <w:b w:val="0"/>
                <w:bCs w:val="0"/>
                <w:kern w:val="0"/>
                <w:sz w:val="21"/>
                <w:szCs w:val="21"/>
                <w:highlight w:val="none"/>
                <w:lang w:val="en-US" w:eastAsia="zh-CN" w:bidi="ar-SA"/>
              </w:rPr>
            </w:pPr>
            <w:r>
              <w:rPr>
                <w:rFonts w:hint="eastAsia" w:ascii="仿宋" w:hAnsi="仿宋" w:eastAsia="仿宋" w:cs="仿宋"/>
                <w:b w:val="0"/>
                <w:bCs w:val="0"/>
                <w:kern w:val="0"/>
                <w:sz w:val="21"/>
                <w:szCs w:val="21"/>
                <w:highlight w:val="none"/>
                <w:lang w:val="en-US" w:eastAsia="zh-CN" w:bidi="ar-SA"/>
              </w:rPr>
              <w:t>1</w:t>
            </w:r>
          </w:p>
        </w:tc>
        <w:tc>
          <w:tcPr>
            <w:tcW w:w="2745" w:type="dxa"/>
          </w:tcPr>
          <w:p>
            <w:pPr>
              <w:pStyle w:val="2"/>
              <w:jc w:val="center"/>
              <w:outlineLvl w:val="0"/>
              <w:rPr>
                <w:rFonts w:hint="default" w:ascii="仿宋" w:hAnsi="仿宋" w:eastAsia="仿宋" w:cs="仿宋"/>
                <w:b w:val="0"/>
                <w:bCs w:val="0"/>
                <w:kern w:val="0"/>
                <w:sz w:val="21"/>
                <w:szCs w:val="21"/>
                <w:highlight w:val="none"/>
                <w:lang w:val="en-US" w:eastAsia="zh-CN" w:bidi="ar-SA"/>
              </w:rPr>
            </w:pPr>
            <w:r>
              <w:rPr>
                <w:rFonts w:hint="default" w:ascii="仿宋" w:hAnsi="仿宋" w:eastAsia="仿宋" w:cs="仿宋"/>
                <w:b w:val="0"/>
                <w:bCs w:val="0"/>
                <w:kern w:val="0"/>
                <w:sz w:val="21"/>
                <w:szCs w:val="21"/>
                <w:highlight w:val="none"/>
                <w:lang w:val="en-US" w:eastAsia="zh-CN" w:bidi="ar-SA"/>
              </w:rPr>
              <w:t>数据中心防火墙设备</w:t>
            </w:r>
          </w:p>
        </w:tc>
        <w:tc>
          <w:tcPr>
            <w:tcW w:w="1064" w:type="dxa"/>
            <w:vAlign w:val="top"/>
          </w:tcPr>
          <w:p>
            <w:pPr>
              <w:pStyle w:val="2"/>
              <w:jc w:val="center"/>
              <w:outlineLvl w:val="0"/>
              <w:rPr>
                <w:rFonts w:hint="default" w:ascii="仿宋" w:hAnsi="仿宋" w:eastAsia="仿宋" w:cs="仿宋"/>
                <w:b w:val="0"/>
                <w:bCs w:val="0"/>
                <w:kern w:val="0"/>
                <w:sz w:val="21"/>
                <w:szCs w:val="21"/>
                <w:highlight w:val="none"/>
                <w:lang w:val="en-US" w:eastAsia="zh-CN" w:bidi="ar-SA"/>
              </w:rPr>
            </w:pPr>
            <w:r>
              <w:rPr>
                <w:rFonts w:hint="eastAsia" w:ascii="仿宋" w:hAnsi="仿宋" w:eastAsia="仿宋" w:cs="仿宋"/>
                <w:b w:val="0"/>
                <w:bCs w:val="0"/>
                <w:kern w:val="0"/>
                <w:sz w:val="21"/>
                <w:szCs w:val="21"/>
                <w:highlight w:val="none"/>
                <w:lang w:val="en-US" w:eastAsia="zh-CN" w:bidi="ar-SA"/>
              </w:rPr>
              <w:t>1</w:t>
            </w:r>
          </w:p>
        </w:tc>
        <w:tc>
          <w:tcPr>
            <w:tcW w:w="1614" w:type="dxa"/>
          </w:tcPr>
          <w:p>
            <w:pPr>
              <w:pStyle w:val="2"/>
              <w:jc w:val="center"/>
              <w:outlineLvl w:val="0"/>
              <w:rPr>
                <w:rFonts w:hint="default" w:ascii="仿宋" w:hAnsi="仿宋" w:eastAsia="仿宋" w:cs="仿宋"/>
                <w:b w:val="0"/>
                <w:bCs w:val="0"/>
                <w:kern w:val="0"/>
                <w:sz w:val="21"/>
                <w:szCs w:val="21"/>
                <w:highlight w:val="none"/>
                <w:lang w:val="en-US" w:eastAsia="zh-CN" w:bidi="ar-SA"/>
              </w:rPr>
            </w:pPr>
            <w:r>
              <w:rPr>
                <w:rFonts w:hint="eastAsia" w:ascii="仿宋" w:hAnsi="仿宋" w:eastAsia="仿宋" w:cs="仿宋"/>
                <w:b w:val="0"/>
                <w:bCs w:val="0"/>
                <w:kern w:val="0"/>
                <w:sz w:val="21"/>
                <w:szCs w:val="21"/>
                <w:highlight w:val="none"/>
                <w:lang w:val="en-US" w:eastAsia="zh-CN" w:bidi="ar-SA"/>
              </w:rPr>
              <w:t>110000</w:t>
            </w:r>
          </w:p>
        </w:tc>
        <w:tc>
          <w:tcPr>
            <w:tcW w:w="2297" w:type="dxa"/>
          </w:tcPr>
          <w:p>
            <w:pPr>
              <w:pStyle w:val="2"/>
              <w:jc w:val="center"/>
              <w:outlineLvl w:val="0"/>
              <w:rPr>
                <w:rFonts w:hint="default" w:ascii="仿宋" w:hAnsi="仿宋" w:eastAsia="仿宋" w:cs="仿宋"/>
                <w:b w:val="0"/>
                <w:bCs w:val="0"/>
                <w:kern w:val="0"/>
                <w:sz w:val="21"/>
                <w:szCs w:val="21"/>
                <w:highlight w:val="none"/>
                <w:lang w:val="en-US" w:eastAsia="zh-CN" w:bidi="ar-SA"/>
              </w:rPr>
            </w:pPr>
            <w:r>
              <w:rPr>
                <w:rFonts w:hint="eastAsia" w:ascii="仿宋" w:hAnsi="仿宋" w:eastAsia="仿宋" w:cs="仿宋"/>
                <w:b w:val="0"/>
                <w:bCs w:val="0"/>
                <w:kern w:val="0"/>
                <w:sz w:val="21"/>
                <w:szCs w:val="21"/>
                <w:highlight w:val="none"/>
                <w:lang w:val="en-US" w:eastAsia="zh-CN" w:bidi="ar-SA"/>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pStyle w:val="2"/>
              <w:jc w:val="center"/>
              <w:outlineLvl w:val="0"/>
              <w:rPr>
                <w:rFonts w:hint="eastAsia" w:ascii="仿宋" w:hAnsi="仿宋" w:eastAsia="仿宋" w:cs="仿宋"/>
                <w:b w:val="0"/>
                <w:bCs w:val="0"/>
                <w:kern w:val="0"/>
                <w:sz w:val="21"/>
                <w:szCs w:val="21"/>
                <w:highlight w:val="none"/>
                <w:lang w:val="en-US" w:eastAsia="zh-CN" w:bidi="ar-SA"/>
              </w:rPr>
            </w:pPr>
          </w:p>
        </w:tc>
        <w:tc>
          <w:tcPr>
            <w:tcW w:w="2745" w:type="dxa"/>
          </w:tcPr>
          <w:p>
            <w:pPr>
              <w:pStyle w:val="2"/>
              <w:jc w:val="center"/>
              <w:outlineLvl w:val="0"/>
              <w:rPr>
                <w:rFonts w:hint="default" w:ascii="仿宋" w:hAnsi="仿宋" w:eastAsia="仿宋" w:cs="仿宋"/>
                <w:b w:val="0"/>
                <w:bCs w:val="0"/>
                <w:kern w:val="0"/>
                <w:sz w:val="21"/>
                <w:szCs w:val="21"/>
                <w:highlight w:val="none"/>
                <w:lang w:val="en-US" w:eastAsia="zh-CN" w:bidi="ar-SA"/>
              </w:rPr>
            </w:pPr>
            <w:r>
              <w:rPr>
                <w:rFonts w:hint="eastAsia" w:ascii="仿宋" w:hAnsi="仿宋" w:eastAsia="仿宋" w:cs="仿宋"/>
                <w:b w:val="0"/>
                <w:bCs w:val="0"/>
                <w:kern w:val="0"/>
                <w:sz w:val="21"/>
                <w:szCs w:val="21"/>
                <w:highlight w:val="none"/>
                <w:lang w:val="en-US" w:eastAsia="zh-CN" w:bidi="ar-SA"/>
              </w:rPr>
              <w:t>合计</w:t>
            </w:r>
          </w:p>
        </w:tc>
        <w:tc>
          <w:tcPr>
            <w:tcW w:w="1064" w:type="dxa"/>
            <w:vAlign w:val="top"/>
          </w:tcPr>
          <w:p>
            <w:pPr>
              <w:pStyle w:val="2"/>
              <w:jc w:val="center"/>
              <w:outlineLvl w:val="0"/>
              <w:rPr>
                <w:rFonts w:hint="eastAsia" w:ascii="仿宋" w:hAnsi="仿宋" w:eastAsia="仿宋" w:cs="仿宋"/>
                <w:b w:val="0"/>
                <w:bCs w:val="0"/>
                <w:kern w:val="0"/>
                <w:sz w:val="21"/>
                <w:szCs w:val="21"/>
                <w:highlight w:val="none"/>
                <w:lang w:val="en-US" w:eastAsia="zh-CN" w:bidi="ar-SA"/>
              </w:rPr>
            </w:pPr>
          </w:p>
        </w:tc>
        <w:tc>
          <w:tcPr>
            <w:tcW w:w="1614" w:type="dxa"/>
          </w:tcPr>
          <w:p>
            <w:pPr>
              <w:pStyle w:val="2"/>
              <w:jc w:val="center"/>
              <w:outlineLvl w:val="0"/>
              <w:rPr>
                <w:rFonts w:hint="eastAsia" w:ascii="仿宋" w:hAnsi="仿宋" w:eastAsia="仿宋" w:cs="仿宋"/>
                <w:b w:val="0"/>
                <w:bCs w:val="0"/>
                <w:kern w:val="0"/>
                <w:sz w:val="21"/>
                <w:szCs w:val="21"/>
                <w:highlight w:val="none"/>
                <w:lang w:val="en-US" w:eastAsia="zh-CN" w:bidi="ar-SA"/>
              </w:rPr>
            </w:pPr>
          </w:p>
        </w:tc>
        <w:tc>
          <w:tcPr>
            <w:tcW w:w="2297" w:type="dxa"/>
          </w:tcPr>
          <w:p>
            <w:pPr>
              <w:pStyle w:val="2"/>
              <w:jc w:val="center"/>
              <w:outlineLvl w:val="0"/>
              <w:rPr>
                <w:rFonts w:hint="default" w:ascii="仿宋" w:hAnsi="仿宋" w:eastAsia="仿宋" w:cs="仿宋"/>
                <w:b w:val="0"/>
                <w:bCs w:val="0"/>
                <w:kern w:val="0"/>
                <w:sz w:val="21"/>
                <w:szCs w:val="21"/>
                <w:highlight w:val="none"/>
                <w:lang w:val="en-US" w:eastAsia="zh-CN" w:bidi="ar-SA"/>
              </w:rPr>
            </w:pPr>
            <w:r>
              <w:rPr>
                <w:rFonts w:hint="eastAsia" w:ascii="仿宋" w:hAnsi="仿宋" w:eastAsia="仿宋" w:cs="仿宋"/>
                <w:b w:val="0"/>
                <w:bCs w:val="0"/>
                <w:kern w:val="0"/>
                <w:sz w:val="21"/>
                <w:szCs w:val="21"/>
                <w:highlight w:val="none"/>
                <w:lang w:val="en-US" w:eastAsia="zh-CN" w:bidi="ar-SA"/>
              </w:rPr>
              <w:t>110000</w:t>
            </w:r>
          </w:p>
        </w:tc>
      </w:tr>
    </w:tbl>
    <w:p>
      <w:pPr>
        <w:spacing w:line="440" w:lineRule="exact"/>
        <w:rPr>
          <w:rFonts w:hint="eastAsia" w:ascii="仿宋" w:hAnsi="仿宋" w:eastAsia="仿宋" w:cs="仿宋"/>
          <w:b/>
          <w:sz w:val="21"/>
          <w:szCs w:val="21"/>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val="en-US" w:eastAsia="zh-CN"/>
        </w:rPr>
      </w:pPr>
    </w:p>
    <w:p>
      <w:pPr>
        <w:pStyle w:val="14"/>
        <w:rPr>
          <w:rFonts w:hint="eastAsia" w:ascii="仿宋_GB2312" w:hAnsi="仿宋_GB2312" w:eastAsia="仿宋_GB2312" w:cs="仿宋_GB2312"/>
          <w:color w:val="000000"/>
          <w:szCs w:val="21"/>
          <w:highlight w:val="none"/>
          <w:lang w:val="en-US" w:eastAsia="zh-CN"/>
        </w:rPr>
      </w:pPr>
    </w:p>
    <w:p>
      <w:pPr>
        <w:pStyle w:val="14"/>
        <w:rPr>
          <w:rFonts w:hint="eastAsia" w:ascii="仿宋_GB2312" w:hAnsi="仿宋_GB2312" w:eastAsia="仿宋_GB2312" w:cs="仿宋_GB2312"/>
          <w:color w:val="000000"/>
          <w:szCs w:val="21"/>
          <w:highlight w:val="none"/>
          <w:lang w:val="en-US" w:eastAsia="zh-CN"/>
        </w:rPr>
      </w:pPr>
    </w:p>
    <w:p>
      <w:pPr>
        <w:pStyle w:val="14"/>
        <w:rPr>
          <w:rFonts w:hint="eastAsia" w:ascii="仿宋_GB2312" w:hAnsi="仿宋_GB2312" w:eastAsia="仿宋_GB2312" w:cs="仿宋_GB2312"/>
          <w:color w:val="000000"/>
          <w:szCs w:val="21"/>
          <w:highlight w:val="none"/>
          <w:lang w:val="en-US" w:eastAsia="zh-CN"/>
        </w:rPr>
      </w:pPr>
    </w:p>
    <w:p>
      <w:pPr>
        <w:pStyle w:val="14"/>
        <w:rPr>
          <w:rFonts w:hint="eastAsia" w:ascii="仿宋_GB2312" w:hAnsi="仿宋_GB2312" w:eastAsia="仿宋_GB2312" w:cs="仿宋_GB2312"/>
          <w:color w:val="000000"/>
          <w:szCs w:val="21"/>
          <w:highlight w:val="none"/>
          <w:lang w:val="en-US" w:eastAsia="zh-CN"/>
        </w:rPr>
      </w:pPr>
    </w:p>
    <w:p>
      <w:pPr>
        <w:pStyle w:val="14"/>
        <w:rPr>
          <w:rFonts w:hint="eastAsia" w:ascii="仿宋_GB2312" w:hAnsi="仿宋_GB2312" w:eastAsia="仿宋_GB2312" w:cs="仿宋_GB2312"/>
          <w:color w:val="000000"/>
          <w:szCs w:val="21"/>
          <w:highlight w:val="none"/>
          <w:lang w:val="en-US" w:eastAsia="zh-CN"/>
        </w:rPr>
      </w:pPr>
    </w:p>
    <w:p>
      <w:pPr>
        <w:pStyle w:val="14"/>
        <w:rPr>
          <w:rFonts w:hint="eastAsia" w:ascii="仿宋_GB2312" w:hAnsi="仿宋_GB2312" w:eastAsia="仿宋_GB2312" w:cs="仿宋_GB2312"/>
          <w:color w:val="000000"/>
          <w:szCs w:val="21"/>
          <w:highlight w:val="none"/>
          <w:lang w:val="en-US" w:eastAsia="zh-CN"/>
        </w:rPr>
      </w:pPr>
    </w:p>
    <w:p>
      <w:pPr>
        <w:pStyle w:val="14"/>
        <w:rPr>
          <w:rFonts w:hint="eastAsia" w:ascii="仿宋_GB2312" w:hAnsi="仿宋_GB2312" w:eastAsia="仿宋_GB2312" w:cs="仿宋_GB2312"/>
          <w:color w:val="000000"/>
          <w:szCs w:val="21"/>
          <w:highlight w:val="none"/>
          <w:lang w:val="en-US" w:eastAsia="zh-CN"/>
        </w:rPr>
      </w:pPr>
    </w:p>
    <w:p>
      <w:pPr>
        <w:pStyle w:val="14"/>
        <w:rPr>
          <w:rFonts w:hint="eastAsia" w:ascii="仿宋_GB2312" w:hAnsi="仿宋_GB2312" w:eastAsia="仿宋_GB2312" w:cs="仿宋_GB2312"/>
          <w:color w:val="000000"/>
          <w:szCs w:val="21"/>
          <w:highlight w:val="none"/>
          <w:lang w:val="en-US" w:eastAsia="zh-CN"/>
        </w:rPr>
      </w:pPr>
    </w:p>
    <w:p>
      <w:pPr>
        <w:pStyle w:val="14"/>
        <w:rPr>
          <w:rFonts w:hint="eastAsia" w:ascii="仿宋_GB2312" w:hAnsi="仿宋_GB2312" w:eastAsia="仿宋_GB2312" w:cs="仿宋_GB2312"/>
          <w:color w:val="000000"/>
          <w:szCs w:val="21"/>
          <w:highlight w:val="none"/>
          <w:lang w:val="en-US" w:eastAsia="zh-CN"/>
        </w:rPr>
      </w:pPr>
    </w:p>
    <w:p>
      <w:pPr>
        <w:pStyle w:val="14"/>
        <w:rPr>
          <w:rFonts w:hint="eastAsia" w:ascii="仿宋_GB2312" w:hAnsi="仿宋_GB2312" w:eastAsia="仿宋_GB2312" w:cs="仿宋_GB2312"/>
          <w:color w:val="000000"/>
          <w:szCs w:val="21"/>
          <w:highlight w:val="none"/>
          <w:lang w:val="en-US" w:eastAsia="zh-CN"/>
        </w:rPr>
      </w:pPr>
    </w:p>
    <w:p>
      <w:pPr>
        <w:pStyle w:val="14"/>
        <w:rPr>
          <w:rFonts w:hint="eastAsia" w:ascii="仿宋_GB2312" w:hAnsi="仿宋_GB2312" w:eastAsia="仿宋_GB2312" w:cs="仿宋_GB2312"/>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highlight w:val="none"/>
          <w:lang w:val="en-US"/>
        </w:rPr>
      </w:pPr>
      <w:r>
        <w:rPr>
          <w:rFonts w:hint="eastAsia" w:ascii="仿宋" w:hAnsi="仿宋" w:eastAsia="仿宋" w:cs="仿宋"/>
          <w:b/>
          <w:sz w:val="28"/>
          <w:szCs w:val="28"/>
          <w:highlight w:val="none"/>
          <w:lang w:val="en-US" w:eastAsia="zh-CN"/>
        </w:rPr>
        <w:t>附件二：商务要求</w:t>
      </w:r>
    </w:p>
    <w:p>
      <w:pPr>
        <w:ind w:left="405" w:leftChars="193" w:firstLine="3066" w:firstLineChars="1460"/>
        <w:rPr>
          <w:rFonts w:hint="eastAsia" w:ascii="仿宋" w:hAnsi="仿宋" w:eastAsia="仿宋" w:cs="Times New Roman"/>
          <w:b w:val="0"/>
          <w:bCs w:val="0"/>
          <w:kern w:val="0"/>
          <w:sz w:val="21"/>
          <w:szCs w:val="22"/>
          <w:highlight w:val="none"/>
          <w:lang w:val="en-US" w:eastAsia="zh-CN" w:bidi="ar-SA"/>
        </w:rPr>
      </w:pPr>
    </w:p>
    <w:p>
      <w:pPr>
        <w:numPr>
          <w:ilvl w:val="0"/>
          <w:numId w:val="0"/>
        </w:numPr>
        <w:ind w:firstLine="420" w:firstLineChars="200"/>
        <w:rPr>
          <w:rFonts w:hint="eastAsia" w:ascii="仿宋" w:hAnsi="仿宋" w:eastAsia="仿宋"/>
          <w:color w:val="000000" w:themeColor="text1"/>
          <w:kern w:val="0"/>
          <w:highlight w:val="none"/>
          <w:lang w:val="en-US" w:eastAsia="zh-CN"/>
          <w14:textFill>
            <w14:solidFill>
              <w14:schemeClr w14:val="tx1"/>
            </w14:solidFill>
          </w14:textFill>
        </w:rPr>
      </w:pPr>
      <w:r>
        <w:rPr>
          <w:rFonts w:hint="eastAsia" w:ascii="仿宋" w:hAnsi="仿宋" w:eastAsia="仿宋"/>
          <w:color w:val="000000" w:themeColor="text1"/>
          <w:kern w:val="0"/>
          <w:highlight w:val="none"/>
          <w:lang w:eastAsia="zh-CN"/>
          <w14:textFill>
            <w14:solidFill>
              <w14:schemeClr w14:val="tx1"/>
            </w14:solidFill>
          </w14:textFill>
        </w:rPr>
        <w:t>一、</w:t>
      </w:r>
      <w:r>
        <w:rPr>
          <w:rFonts w:hint="eastAsia" w:ascii="仿宋" w:hAnsi="仿宋" w:eastAsia="仿宋"/>
          <w:color w:val="000000" w:themeColor="text1"/>
          <w:kern w:val="0"/>
          <w:highlight w:val="none"/>
          <w14:textFill>
            <w14:solidFill>
              <w14:schemeClr w14:val="tx1"/>
            </w14:solidFill>
          </w14:textFill>
        </w:rPr>
        <w:t>供货商</w:t>
      </w:r>
      <w:r>
        <w:rPr>
          <w:rFonts w:hint="eastAsia" w:ascii="仿宋" w:hAnsi="仿宋" w:eastAsia="仿宋"/>
          <w:color w:val="000000" w:themeColor="text1"/>
          <w:kern w:val="0"/>
          <w:highlight w:val="none"/>
          <w:lang w:eastAsia="zh-CN"/>
          <w14:textFill>
            <w14:solidFill>
              <w14:schemeClr w14:val="tx1"/>
            </w14:solidFill>
          </w14:textFill>
        </w:rPr>
        <w:t>必须</w:t>
      </w:r>
      <w:r>
        <w:rPr>
          <w:rFonts w:hint="eastAsia" w:ascii="仿宋" w:hAnsi="仿宋" w:eastAsia="仿宋"/>
          <w:color w:val="000000" w:themeColor="text1"/>
          <w:kern w:val="0"/>
          <w:highlight w:val="none"/>
          <w14:textFill>
            <w14:solidFill>
              <w14:schemeClr w14:val="tx1"/>
            </w14:solidFill>
          </w14:textFill>
        </w:rPr>
        <w:t>响应</w:t>
      </w:r>
      <w:r>
        <w:rPr>
          <w:rFonts w:hint="eastAsia" w:ascii="仿宋" w:hAnsi="仿宋" w:eastAsia="仿宋"/>
          <w:color w:val="000000" w:themeColor="text1"/>
          <w:kern w:val="0"/>
          <w:highlight w:val="none"/>
          <w:lang w:eastAsia="zh-CN"/>
          <w14:textFill>
            <w14:solidFill>
              <w14:schemeClr w14:val="tx1"/>
            </w14:solidFill>
          </w14:textFill>
        </w:rPr>
        <w:t>全部技术参数，如有漏项或者</w:t>
      </w:r>
      <w:r>
        <w:rPr>
          <w:rFonts w:hint="eastAsia" w:ascii="仿宋" w:hAnsi="仿宋" w:eastAsia="仿宋"/>
          <w:color w:val="000000" w:themeColor="text1"/>
          <w:kern w:val="0"/>
          <w:highlight w:val="none"/>
          <w14:textFill>
            <w14:solidFill>
              <w14:schemeClr w14:val="tx1"/>
            </w14:solidFill>
          </w14:textFill>
        </w:rPr>
        <w:t>技术参数负偏离，采购方有权取消供应商中标资格并重新组织</w:t>
      </w:r>
      <w:r>
        <w:rPr>
          <w:rFonts w:hint="eastAsia" w:ascii="仿宋" w:hAnsi="仿宋" w:eastAsia="仿宋"/>
          <w:color w:val="000000" w:themeColor="text1"/>
          <w:kern w:val="0"/>
          <w:highlight w:val="none"/>
          <w:lang w:val="en-US" w:eastAsia="zh-CN"/>
          <w14:textFill>
            <w14:solidFill>
              <w14:schemeClr w14:val="tx1"/>
            </w14:solidFill>
          </w14:textFill>
        </w:rPr>
        <w:t>竞价</w:t>
      </w:r>
      <w:r>
        <w:rPr>
          <w:rFonts w:hint="eastAsia" w:ascii="仿宋" w:hAnsi="仿宋" w:eastAsia="仿宋"/>
          <w:color w:val="000000" w:themeColor="text1"/>
          <w:kern w:val="0"/>
          <w:highlight w:val="none"/>
          <w14:textFill>
            <w14:solidFill>
              <w14:schemeClr w14:val="tx1"/>
            </w14:solidFill>
          </w14:textFill>
        </w:rPr>
        <w:t>。</w:t>
      </w:r>
      <w:r>
        <w:rPr>
          <w:rFonts w:hint="eastAsia" w:ascii="仿宋" w:hAnsi="仿宋" w:eastAsia="仿宋" w:cs="Times New Roman"/>
          <w:b w:val="0"/>
          <w:bCs w:val="0"/>
          <w:color w:val="000000" w:themeColor="text1"/>
          <w:kern w:val="0"/>
          <w:sz w:val="21"/>
          <w:szCs w:val="22"/>
          <w:highlight w:val="none"/>
          <w:lang w:val="en-US" w:eastAsia="zh-CN" w:bidi="ar-SA"/>
          <w14:textFill>
            <w14:solidFill>
              <w14:schemeClr w14:val="tx1"/>
            </w14:solidFill>
          </w14:textFill>
        </w:rPr>
        <w:t>供应商按照参</w:t>
      </w:r>
      <w:r>
        <w:rPr>
          <w:rFonts w:hint="eastAsia" w:ascii="仿宋" w:hAnsi="仿宋" w:eastAsia="仿宋"/>
          <w:color w:val="000000" w:themeColor="text1"/>
          <w:kern w:val="0"/>
          <w:highlight w:val="none"/>
          <w:lang w:val="en-US" w:eastAsia="zh-CN"/>
          <w14:textFill>
            <w14:solidFill>
              <w14:schemeClr w14:val="tx1"/>
            </w14:solidFill>
          </w14:textFill>
        </w:rPr>
        <w:t>考品牌进行响应，按照技术要求在预中标3日内提供相关功能证明材料以及向我校信息技术服务中心演示相关设备功能。</w:t>
      </w:r>
      <w:r>
        <w:rPr>
          <w:rFonts w:hint="eastAsia" w:ascii="仿宋" w:hAnsi="仿宋" w:eastAsia="仿宋"/>
          <w:color w:val="000000" w:themeColor="text1"/>
          <w:kern w:val="0"/>
          <w:highlight w:val="none"/>
          <w:lang w:val="en-US" w:eastAsia="zh-CN"/>
          <w14:textFill>
            <w14:solidFill>
              <w14:schemeClr w14:val="tx1"/>
            </w14:solidFill>
          </w14:textFill>
        </w:rPr>
        <w:t xml:space="preserve"> </w:t>
      </w:r>
    </w:p>
    <w:p>
      <w:pPr>
        <w:numPr>
          <w:ilvl w:val="0"/>
          <w:numId w:val="0"/>
        </w:numPr>
        <w:ind w:firstLine="420" w:firstLineChars="200"/>
        <w:rPr>
          <w:rFonts w:hint="eastAsia" w:ascii="仿宋" w:hAnsi="仿宋" w:eastAsia="仿宋" w:cs="Times New Roman"/>
          <w:b w:val="0"/>
          <w:bCs w:val="0"/>
          <w:kern w:val="0"/>
          <w:sz w:val="21"/>
          <w:szCs w:val="22"/>
          <w:highlight w:val="none"/>
          <w:lang w:val="en-US" w:eastAsia="zh-CN" w:bidi="ar-SA"/>
        </w:rPr>
      </w:pPr>
      <w:r>
        <w:rPr>
          <w:rFonts w:hint="eastAsia" w:ascii="仿宋" w:hAnsi="仿宋" w:eastAsia="仿宋"/>
          <w:color w:val="000000" w:themeColor="text1"/>
          <w:kern w:val="0"/>
          <w:highlight w:val="none"/>
          <w:lang w:val="en-US" w:eastAsia="zh-CN"/>
          <w14:textFill>
            <w14:solidFill>
              <w14:schemeClr w14:val="tx1"/>
            </w14:solidFill>
          </w14:textFill>
        </w:rPr>
        <w:t>二、售后服务及质保。</w:t>
      </w:r>
      <w:r>
        <w:rPr>
          <w:rFonts w:hint="eastAsia" w:ascii="仿宋" w:hAnsi="仿宋" w:eastAsia="仿宋"/>
          <w:color w:val="000000" w:themeColor="text1"/>
          <w:kern w:val="0"/>
          <w:highlight w:val="none"/>
          <w:lang w:val="en-US" w:eastAsia="zh-Hans"/>
          <w14:textFill>
            <w14:solidFill>
              <w14:schemeClr w14:val="tx1"/>
            </w14:solidFill>
          </w14:textFill>
        </w:rPr>
        <w:t>设备</w:t>
      </w:r>
      <w:r>
        <w:rPr>
          <w:rFonts w:hint="eastAsia" w:ascii="仿宋" w:hAnsi="仿宋" w:eastAsia="仿宋"/>
          <w:color w:val="000000" w:themeColor="text1"/>
          <w:kern w:val="0"/>
          <w:highlight w:val="none"/>
          <w:lang w:val="en-US" w:eastAsia="zh-CN"/>
          <w14:textFill>
            <w14:solidFill>
              <w14:schemeClr w14:val="tx1"/>
            </w14:solidFill>
          </w14:textFill>
        </w:rPr>
        <w:t>验收合格后免费提供3年质保，</w:t>
      </w:r>
      <w:r>
        <w:rPr>
          <w:rFonts w:hint="eastAsia" w:ascii="仿宋" w:hAnsi="仿宋" w:eastAsia="仿宋"/>
          <w:b/>
          <w:bCs/>
          <w:color w:val="000000" w:themeColor="text1"/>
          <w:kern w:val="0"/>
          <w:highlight w:val="none"/>
          <w:lang w:val="en-US" w:eastAsia="zh-CN"/>
          <w14:textFill>
            <w14:solidFill>
              <w14:schemeClr w14:val="tx1"/>
            </w14:solidFill>
          </w14:textFill>
        </w:rPr>
        <w:t>中标后3日内提供原厂商保修服务函</w:t>
      </w:r>
      <w:r>
        <w:rPr>
          <w:rFonts w:hint="eastAsia" w:ascii="仿宋" w:hAnsi="仿宋" w:eastAsia="仿宋"/>
          <w:color w:val="000000" w:themeColor="text1"/>
          <w:kern w:val="0"/>
          <w:highlight w:val="none"/>
          <w:lang w:val="en-US" w:eastAsia="zh-Hans"/>
          <w14:textFill>
            <w14:solidFill>
              <w14:schemeClr w14:val="tx1"/>
            </w14:solidFill>
          </w14:textFill>
        </w:rPr>
        <w:t>。</w:t>
      </w:r>
      <w:r>
        <w:rPr>
          <w:rFonts w:hint="eastAsia" w:ascii="仿宋" w:hAnsi="仿宋" w:eastAsia="仿宋" w:cs="Times New Roman"/>
          <w:b w:val="0"/>
          <w:bCs w:val="0"/>
          <w:kern w:val="0"/>
          <w:sz w:val="21"/>
          <w:szCs w:val="22"/>
          <w:highlight w:val="none"/>
          <w:lang w:val="en-US" w:eastAsia="zh-CN" w:bidi="ar-SA"/>
        </w:rPr>
        <w:t>质保期内，供应商应当提供 7×24 小时电话支持服务。供应商接到采购单位保修通知后2个小时内响应，4个小时内需上门服务并排除故障。对于质保期内不能修复的产品/部件，供应商应在24 个小时内免费更换备品备件。</w:t>
      </w:r>
    </w:p>
    <w:p>
      <w:pPr>
        <w:numPr>
          <w:ilvl w:val="0"/>
          <w:numId w:val="0"/>
        </w:numPr>
        <w:ind w:firstLine="420" w:firstLineChars="20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 w:hAnsi="仿宋" w:eastAsia="仿宋"/>
          <w:color w:val="000000" w:themeColor="text1"/>
          <w:kern w:val="0"/>
          <w:highlight w:val="none"/>
          <w:lang w:val="en-US" w:eastAsia="zh-CN"/>
          <w14:textFill>
            <w14:solidFill>
              <w14:schemeClr w14:val="tx1"/>
            </w14:solidFill>
          </w14:textFill>
        </w:rPr>
        <w:t>三、供货验收。</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中标单位应提供运输服务并承担运费，在采购合同签订后10个</w:t>
      </w:r>
      <w:r>
        <w:rPr>
          <w:rFonts w:hint="eastAsia" w:ascii="仿宋_GB2312" w:hAnsi="仿宋_GB2312" w:eastAsia="仿宋_GB2312" w:cs="仿宋_GB2312"/>
          <w:color w:val="000000" w:themeColor="text1"/>
          <w:szCs w:val="21"/>
          <w:highlight w:val="none"/>
          <w14:textFill>
            <w14:solidFill>
              <w14:schemeClr w14:val="tx1"/>
            </w14:solidFill>
          </w14:textFill>
        </w:rPr>
        <w:t>工作日内</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派人到采购方指定地点现场</w:t>
      </w:r>
      <w:r>
        <w:rPr>
          <w:rFonts w:hint="eastAsia" w:ascii="仿宋_GB2312" w:hAnsi="仿宋_GB2312" w:eastAsia="仿宋_GB2312" w:cs="仿宋_GB2312"/>
          <w:color w:val="000000" w:themeColor="text1"/>
          <w:szCs w:val="21"/>
          <w:highlight w:val="none"/>
          <w14:textFill>
            <w14:solidFill>
              <w14:schemeClr w14:val="tx1"/>
            </w14:solidFill>
          </w14:textFill>
        </w:rPr>
        <w:t>交货</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安装、调试</w:t>
      </w:r>
      <w:r>
        <w:rPr>
          <w:rFonts w:hint="eastAsia" w:ascii="仿宋_GB2312" w:hAnsi="仿宋_GB2312" w:eastAsia="仿宋_GB2312" w:cs="仿宋_GB2312"/>
          <w:color w:val="000000" w:themeColor="text1"/>
          <w:szCs w:val="21"/>
          <w:highlight w:val="none"/>
          <w14:textFill>
            <w14:solidFill>
              <w14:schemeClr w14:val="tx1"/>
            </w14:solidFill>
          </w14:textFill>
        </w:rPr>
        <w:t>并完成验收</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p>
    <w:p>
      <w:pPr>
        <w:numPr>
          <w:ilvl w:val="0"/>
          <w:numId w:val="0"/>
        </w:numPr>
        <w:ind w:firstLine="420" w:firstLineChars="200"/>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报价是指供应商在正确地完全履行合同义务后采购方应支付给供应商所有的货物价款，即货物的供货、包装、运输、装卸、安装调试、验收（含第三方验收）、质保期内软件升级、售后服务、材料税费、辅材费、搬运费、税费（含税货物）以及完成合同所需的一切本身和不可或缺的所有工作开支、政策性文件规定，合同包含的所有风险、责任等相关各项其他可能产生的全部费用。实行固定费用总包干，供应商应根据上述因素自行考虑含入总报价。</w:t>
      </w:r>
    </w:p>
    <w:p>
      <w:pPr>
        <w:numPr>
          <w:ilvl w:val="0"/>
          <w:numId w:val="0"/>
        </w:numPr>
        <w:ind w:firstLine="420" w:firstLineChars="200"/>
        <w:rPr>
          <w:rFonts w:hint="eastAsia" w:ascii="仿宋" w:hAnsi="仿宋" w:eastAsia="仿宋"/>
          <w:color w:val="000000" w:themeColor="text1"/>
          <w:kern w:val="0"/>
          <w:highlight w:val="none"/>
          <w:lang w:val="en-US" w:eastAsia="zh-CN"/>
          <w14:textFill>
            <w14:solidFill>
              <w14:schemeClr w14:val="tx1"/>
            </w14:solidFill>
          </w14:textFill>
        </w:rPr>
      </w:pPr>
      <w:r>
        <w:rPr>
          <w:rFonts w:hint="eastAsia" w:ascii="仿宋" w:hAnsi="仿宋" w:eastAsia="仿宋"/>
          <w:color w:val="000000" w:themeColor="text1"/>
          <w:kern w:val="0"/>
          <w:highlight w:val="none"/>
          <w:lang w:val="en-US" w:eastAsia="zh-CN"/>
          <w14:textFill>
            <w14:solidFill>
              <w14:schemeClr w14:val="tx1"/>
            </w14:solidFill>
          </w14:textFill>
        </w:rPr>
        <w:t>四、付款方式。完成验收后，由供货商提供合同金额100%发票，采购方进行一次性付款。</w:t>
      </w:r>
    </w:p>
    <w:p>
      <w:pPr>
        <w:numPr>
          <w:ilvl w:val="0"/>
          <w:numId w:val="0"/>
        </w:numPr>
        <w:ind w:firstLine="420" w:firstLineChars="200"/>
        <w:rPr>
          <w:rFonts w:hint="eastAsia" w:ascii="仿宋" w:hAnsi="仿宋" w:eastAsia="仿宋"/>
          <w:color w:val="000000" w:themeColor="text1"/>
          <w:kern w:val="0"/>
          <w:highlight w:val="none"/>
          <w:lang w:val="en-US" w:eastAsia="zh-CN"/>
          <w14:textFill>
            <w14:solidFill>
              <w14:schemeClr w14:val="tx1"/>
            </w14:solidFill>
          </w14:textFill>
        </w:rPr>
      </w:pPr>
      <w:r>
        <w:rPr>
          <w:rFonts w:hint="eastAsia" w:ascii="仿宋" w:hAnsi="仿宋" w:eastAsia="仿宋"/>
          <w:color w:val="000000" w:themeColor="text1"/>
          <w:kern w:val="0"/>
          <w:highlight w:val="none"/>
          <w:lang w:val="en-US" w:eastAsia="zh-CN"/>
          <w14:textFill>
            <w14:solidFill>
              <w14:schemeClr w14:val="tx1"/>
            </w14:solidFill>
          </w14:textFill>
        </w:rPr>
        <w:t>五、其他要求。供应商在响应报价前需仔细评估自身履约能力，谢绝恶意低价、不按要求报价、中标后无故放弃、不按合同履行等违约行为。对出现此类行为的预成交供应商，将依法依规提请政采云平台进行处罚，处罚内容包括停止推送报价信息、禁止报价、协议暂停、罚款、诚信体系中记录不良行为或黑名单等，记入政府采购诚信档案。</w:t>
      </w:r>
    </w:p>
    <w:p>
      <w:pPr>
        <w:numPr>
          <w:ilvl w:val="0"/>
          <w:numId w:val="0"/>
        </w:numPr>
        <w:rPr>
          <w:rFonts w:hint="eastAsia" w:ascii="仿宋" w:hAnsi="仿宋" w:eastAsia="仿宋" w:cs="Times New Roman"/>
          <w:b w:val="0"/>
          <w:bCs w:val="0"/>
          <w:kern w:val="0"/>
          <w:sz w:val="21"/>
          <w:szCs w:val="22"/>
          <w:highlight w:val="none"/>
          <w:lang w:val="en-US" w:eastAsia="zh-CN" w:bidi="ar-SA"/>
        </w:rPr>
      </w:pPr>
    </w:p>
    <w:p>
      <w:pPr>
        <w:numPr>
          <w:ilvl w:val="0"/>
          <w:numId w:val="0"/>
        </w:numPr>
        <w:rPr>
          <w:rFonts w:hint="eastAsia" w:ascii="仿宋" w:hAnsi="仿宋" w:eastAsia="仿宋" w:cs="Times New Roman"/>
          <w:b w:val="0"/>
          <w:bCs w:val="0"/>
          <w:kern w:val="0"/>
          <w:sz w:val="21"/>
          <w:szCs w:val="22"/>
          <w:highlight w:val="none"/>
          <w:lang w:val="en-US" w:eastAsia="zh-CN" w:bidi="ar-SA"/>
        </w:rPr>
      </w:pPr>
    </w:p>
    <w:p>
      <w:pPr>
        <w:numPr>
          <w:ilvl w:val="0"/>
          <w:numId w:val="0"/>
        </w:numPr>
        <w:rPr>
          <w:rFonts w:hint="eastAsia" w:ascii="仿宋" w:hAnsi="仿宋" w:eastAsia="仿宋" w:cs="Times New Roman"/>
          <w:b w:val="0"/>
          <w:bCs w:val="0"/>
          <w:kern w:val="0"/>
          <w:sz w:val="21"/>
          <w:szCs w:val="22"/>
          <w:highlight w:val="none"/>
          <w:lang w:val="en-US" w:eastAsia="zh-CN" w:bidi="ar-SA"/>
        </w:rPr>
      </w:pPr>
    </w:p>
    <w:p>
      <w:pPr>
        <w:numPr>
          <w:ilvl w:val="0"/>
          <w:numId w:val="0"/>
        </w:numPr>
        <w:rPr>
          <w:rFonts w:hint="eastAsia" w:ascii="仿宋" w:hAnsi="仿宋" w:eastAsia="仿宋" w:cs="Times New Roman"/>
          <w:b w:val="0"/>
          <w:bCs w:val="0"/>
          <w:kern w:val="0"/>
          <w:sz w:val="21"/>
          <w:szCs w:val="22"/>
          <w:highlight w:val="none"/>
          <w:lang w:val="en-US" w:eastAsia="zh-CN" w:bidi="ar-SA"/>
        </w:rPr>
      </w:pPr>
      <w:bookmarkStart w:id="2" w:name="_GoBack"/>
      <w:bookmarkEnd w:id="2"/>
    </w:p>
    <w:p>
      <w:pPr>
        <w:numPr>
          <w:ilvl w:val="0"/>
          <w:numId w:val="0"/>
        </w:numPr>
        <w:rPr>
          <w:rFonts w:hint="eastAsia" w:ascii="仿宋" w:hAnsi="仿宋" w:eastAsia="仿宋" w:cs="Times New Roman"/>
          <w:b w:val="0"/>
          <w:bCs w:val="0"/>
          <w:kern w:val="0"/>
          <w:sz w:val="21"/>
          <w:szCs w:val="22"/>
          <w:highlight w:val="none"/>
          <w:lang w:val="en-US" w:eastAsia="zh-CN" w:bidi="ar-SA"/>
        </w:rPr>
      </w:pPr>
    </w:p>
    <w:p>
      <w:pPr>
        <w:numPr>
          <w:ilvl w:val="0"/>
          <w:numId w:val="0"/>
        </w:numPr>
        <w:rPr>
          <w:rFonts w:hint="eastAsia" w:ascii="仿宋" w:hAnsi="仿宋" w:eastAsia="仿宋" w:cs="Times New Roman"/>
          <w:b w:val="0"/>
          <w:bCs w:val="0"/>
          <w:kern w:val="0"/>
          <w:sz w:val="21"/>
          <w:szCs w:val="22"/>
          <w:highlight w:val="none"/>
          <w:lang w:val="en-US" w:eastAsia="zh-CN" w:bidi="ar-SA"/>
        </w:rPr>
      </w:pPr>
    </w:p>
    <w:p>
      <w:pPr>
        <w:numPr>
          <w:ilvl w:val="0"/>
          <w:numId w:val="0"/>
        </w:numPr>
        <w:rPr>
          <w:rFonts w:hint="eastAsia" w:ascii="仿宋" w:hAnsi="仿宋" w:eastAsia="仿宋" w:cs="Times New Roman"/>
          <w:b w:val="0"/>
          <w:bCs w:val="0"/>
          <w:kern w:val="0"/>
          <w:sz w:val="21"/>
          <w:szCs w:val="22"/>
          <w:highlight w:val="none"/>
          <w:lang w:val="en-US" w:eastAsia="zh-CN" w:bidi="ar-SA"/>
        </w:rPr>
      </w:pPr>
    </w:p>
    <w:p>
      <w:pPr>
        <w:numPr>
          <w:ilvl w:val="0"/>
          <w:numId w:val="0"/>
        </w:numPr>
        <w:rPr>
          <w:rFonts w:hint="eastAsia" w:ascii="仿宋" w:hAnsi="仿宋" w:eastAsia="仿宋" w:cs="Times New Roman"/>
          <w:b w:val="0"/>
          <w:bCs w:val="0"/>
          <w:kern w:val="0"/>
          <w:sz w:val="21"/>
          <w:szCs w:val="22"/>
          <w:highlight w:val="none"/>
          <w:lang w:val="en-US" w:eastAsia="zh-CN" w:bidi="ar-SA"/>
        </w:rPr>
      </w:pPr>
    </w:p>
    <w:p>
      <w:pPr>
        <w:rPr>
          <w:rFonts w:hint="eastAsia" w:ascii="仿宋" w:hAnsi="仿宋" w:eastAsia="仿宋" w:cs="Times New Roman"/>
          <w:b w:val="0"/>
          <w:bCs w:val="0"/>
          <w:kern w:val="0"/>
          <w:sz w:val="21"/>
          <w:szCs w:val="22"/>
          <w:highlight w:val="none"/>
          <w:lang w:val="en-US" w:eastAsia="zh-CN" w:bidi="ar-SA"/>
        </w:rPr>
      </w:pPr>
    </w:p>
    <w:p>
      <w:pPr>
        <w:pStyle w:val="2"/>
        <w:rPr>
          <w:rFonts w:hint="eastAsia" w:ascii="仿宋" w:hAnsi="仿宋" w:eastAsia="仿宋" w:cs="Times New Roman"/>
          <w:b w:val="0"/>
          <w:bCs w:val="0"/>
          <w:kern w:val="0"/>
          <w:sz w:val="21"/>
          <w:szCs w:val="22"/>
          <w:highlight w:val="none"/>
          <w:lang w:val="en-US" w:eastAsia="zh-CN" w:bidi="ar-SA"/>
        </w:rPr>
      </w:pPr>
    </w:p>
    <w:p>
      <w:pPr>
        <w:rPr>
          <w:rFonts w:hint="eastAsia" w:ascii="仿宋" w:hAnsi="仿宋" w:eastAsia="仿宋" w:cs="Times New Roman"/>
          <w:b w:val="0"/>
          <w:bCs w:val="0"/>
          <w:kern w:val="0"/>
          <w:sz w:val="21"/>
          <w:szCs w:val="22"/>
          <w:highlight w:val="none"/>
          <w:lang w:val="en-US" w:eastAsia="zh-CN" w:bidi="ar-SA"/>
        </w:rPr>
      </w:pPr>
    </w:p>
    <w:p>
      <w:pPr>
        <w:pStyle w:val="9"/>
        <w:rPr>
          <w:rFonts w:hint="eastAsia" w:ascii="仿宋" w:hAnsi="仿宋" w:eastAsia="仿宋" w:cs="Times New Roman"/>
          <w:b w:val="0"/>
          <w:bCs w:val="0"/>
          <w:kern w:val="0"/>
          <w:sz w:val="21"/>
          <w:szCs w:val="22"/>
          <w:highlight w:val="none"/>
          <w:lang w:val="en-US" w:eastAsia="zh-CN" w:bidi="ar-SA"/>
        </w:rPr>
      </w:pPr>
    </w:p>
    <w:p>
      <w:pPr>
        <w:pStyle w:val="9"/>
        <w:rPr>
          <w:rFonts w:hint="eastAsia" w:ascii="仿宋" w:hAnsi="仿宋" w:eastAsia="仿宋" w:cs="Times New Roman"/>
          <w:b w:val="0"/>
          <w:bCs w:val="0"/>
          <w:kern w:val="0"/>
          <w:sz w:val="21"/>
          <w:szCs w:val="22"/>
          <w:highlight w:val="none"/>
          <w:lang w:val="en-US" w:eastAsia="zh-CN" w:bidi="ar-SA"/>
        </w:rPr>
      </w:pPr>
    </w:p>
    <w:p>
      <w:pPr>
        <w:pStyle w:val="9"/>
        <w:rPr>
          <w:rFonts w:hint="eastAsia" w:ascii="仿宋" w:hAnsi="仿宋" w:eastAsia="仿宋" w:cs="Times New Roman"/>
          <w:b w:val="0"/>
          <w:bCs w:val="0"/>
          <w:kern w:val="0"/>
          <w:sz w:val="21"/>
          <w:szCs w:val="22"/>
          <w:highlight w:val="none"/>
          <w:lang w:val="en-US" w:eastAsia="zh-CN" w:bidi="ar-SA"/>
        </w:rPr>
      </w:pPr>
    </w:p>
    <w:p>
      <w:pPr>
        <w:rPr>
          <w:rFonts w:hint="eastAsia"/>
          <w:highlight w:val="none"/>
          <w:lang w:val="en-US" w:eastAsia="zh-CN"/>
        </w:rPr>
      </w:pPr>
    </w:p>
    <w:p>
      <w:pPr>
        <w:rPr>
          <w:rFonts w:hint="eastAsia" w:ascii="仿宋" w:hAnsi="仿宋" w:eastAsia="仿宋" w:cs="Times New Roman"/>
          <w:b w:val="0"/>
          <w:bCs w:val="0"/>
          <w:kern w:val="0"/>
          <w:sz w:val="21"/>
          <w:szCs w:val="22"/>
          <w:highlight w:val="none"/>
          <w:lang w:val="en-US" w:eastAsia="zh-CN" w:bidi="ar-SA"/>
        </w:rPr>
      </w:pPr>
    </w:p>
    <w:p>
      <w:pPr>
        <w:spacing w:line="360" w:lineRule="auto"/>
        <w:rPr>
          <w:rFonts w:hint="eastAsia" w:ascii="仿宋" w:hAnsi="仿宋" w:eastAsia="仿宋" w:cs="仿宋"/>
          <w:b/>
          <w:sz w:val="28"/>
          <w:szCs w:val="28"/>
          <w:highlight w:val="none"/>
          <w:lang w:val="en-US" w:eastAsia="zh-CN"/>
        </w:rPr>
      </w:pPr>
    </w:p>
    <w:p>
      <w:pPr>
        <w:spacing w:line="360" w:lineRule="auto"/>
        <w:rPr>
          <w:rFonts w:hint="eastAsia" w:ascii="仿宋" w:hAnsi="仿宋" w:eastAsia="仿宋" w:cs="仿宋"/>
          <w:b/>
          <w:sz w:val="28"/>
          <w:szCs w:val="28"/>
          <w:highlight w:val="none"/>
          <w:lang w:val="en-US"/>
        </w:rPr>
      </w:pPr>
      <w:r>
        <w:rPr>
          <w:rFonts w:hint="eastAsia" w:ascii="仿宋" w:hAnsi="仿宋" w:eastAsia="仿宋" w:cs="仿宋"/>
          <w:b/>
          <w:sz w:val="28"/>
          <w:szCs w:val="28"/>
          <w:highlight w:val="none"/>
          <w:lang w:val="en-US" w:eastAsia="zh-CN"/>
        </w:rPr>
        <w:t>附件三：技术要求</w:t>
      </w:r>
    </w:p>
    <w:p>
      <w:pPr>
        <w:ind w:left="405" w:leftChars="193" w:firstLine="3066" w:firstLineChars="1460"/>
        <w:rPr>
          <w:rFonts w:hint="eastAsia" w:ascii="仿宋" w:hAnsi="仿宋" w:eastAsia="仿宋" w:cs="Times New Roman"/>
          <w:b w:val="0"/>
          <w:bCs w:val="0"/>
          <w:kern w:val="0"/>
          <w:sz w:val="21"/>
          <w:szCs w:val="22"/>
          <w:highlight w:val="none"/>
          <w:lang w:val="en-US" w:eastAsia="zh-CN" w:bidi="ar-SA"/>
        </w:rPr>
      </w:pPr>
    </w:p>
    <w:tbl>
      <w:tblPr>
        <w:tblStyle w:val="10"/>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451"/>
        <w:gridCol w:w="4033"/>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3" w:type="dxa"/>
            <w:shd w:val="pct10" w:color="auto" w:fill="auto"/>
            <w:vAlign w:val="center"/>
          </w:tcPr>
          <w:p>
            <w:pPr>
              <w:spacing w:line="300" w:lineRule="exact"/>
              <w:jc w:val="center"/>
              <w:rPr>
                <w:rFonts w:ascii="仿宋_GB2312" w:hAnsi="Calibri" w:eastAsia="仿宋_GB2312"/>
                <w:b/>
                <w:color w:val="auto"/>
                <w:sz w:val="28"/>
                <w:szCs w:val="28"/>
              </w:rPr>
            </w:pPr>
            <w:r>
              <w:rPr>
                <w:rFonts w:hint="eastAsia" w:ascii="仿宋_GB2312" w:hAnsi="Calibri" w:eastAsia="仿宋_GB2312"/>
                <w:b/>
                <w:color w:val="auto"/>
                <w:sz w:val="28"/>
                <w:szCs w:val="28"/>
              </w:rPr>
              <w:t>序号</w:t>
            </w:r>
          </w:p>
        </w:tc>
        <w:tc>
          <w:tcPr>
            <w:tcW w:w="1451" w:type="dxa"/>
            <w:shd w:val="pct10" w:color="auto" w:fill="auto"/>
            <w:vAlign w:val="center"/>
          </w:tcPr>
          <w:p>
            <w:pPr>
              <w:spacing w:line="300" w:lineRule="exact"/>
              <w:jc w:val="center"/>
              <w:rPr>
                <w:rFonts w:ascii="仿宋_GB2312" w:hAnsi="Calibri" w:eastAsia="仿宋_GB2312"/>
                <w:b/>
                <w:color w:val="auto"/>
                <w:sz w:val="28"/>
                <w:szCs w:val="28"/>
              </w:rPr>
            </w:pPr>
            <w:r>
              <w:rPr>
                <w:rFonts w:hint="eastAsia" w:ascii="仿宋_GB2312" w:hAnsi="Calibri" w:eastAsia="仿宋_GB2312"/>
                <w:b/>
                <w:color w:val="auto"/>
                <w:sz w:val="28"/>
                <w:szCs w:val="28"/>
              </w:rPr>
              <w:t>标的名称</w:t>
            </w:r>
          </w:p>
        </w:tc>
        <w:tc>
          <w:tcPr>
            <w:tcW w:w="4033" w:type="dxa"/>
            <w:shd w:val="pct10" w:color="auto" w:fill="auto"/>
            <w:vAlign w:val="center"/>
          </w:tcPr>
          <w:p>
            <w:pPr>
              <w:spacing w:line="300" w:lineRule="exact"/>
              <w:ind w:left="27"/>
              <w:jc w:val="center"/>
              <w:rPr>
                <w:rFonts w:ascii="仿宋_GB2312" w:hAnsi="Calibri" w:eastAsia="仿宋_GB2312"/>
                <w:b/>
                <w:color w:val="auto"/>
                <w:sz w:val="28"/>
                <w:szCs w:val="28"/>
              </w:rPr>
            </w:pPr>
            <w:r>
              <w:rPr>
                <w:rFonts w:hint="eastAsia" w:ascii="仿宋_GB2312" w:hAnsi="Calibri" w:eastAsia="仿宋_GB2312"/>
                <w:b/>
                <w:color w:val="auto"/>
                <w:sz w:val="28"/>
                <w:szCs w:val="28"/>
              </w:rPr>
              <w:t>技术指标</w:t>
            </w:r>
          </w:p>
        </w:tc>
        <w:tc>
          <w:tcPr>
            <w:tcW w:w="2658" w:type="dxa"/>
            <w:shd w:val="pct10" w:color="auto" w:fill="auto"/>
            <w:vAlign w:val="center"/>
          </w:tcPr>
          <w:p>
            <w:pPr>
              <w:spacing w:line="300" w:lineRule="exact"/>
              <w:jc w:val="center"/>
              <w:rPr>
                <w:rFonts w:hint="eastAsia" w:ascii="仿宋_GB2312" w:hAnsi="Calibri" w:eastAsia="仿宋_GB2312"/>
                <w:b/>
                <w:color w:val="auto"/>
                <w:sz w:val="28"/>
                <w:szCs w:val="28"/>
                <w:lang w:val="en-US" w:eastAsia="zh-CN"/>
              </w:rPr>
            </w:pPr>
            <w:r>
              <w:rPr>
                <w:rFonts w:hint="eastAsia" w:ascii="仿宋_GB2312" w:eastAsia="仿宋_GB2312"/>
                <w:b/>
                <w:color w:val="auto"/>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853" w:type="dxa"/>
            <w:vAlign w:val="center"/>
          </w:tcPr>
          <w:p>
            <w:pPr>
              <w:spacing w:line="300" w:lineRule="exact"/>
              <w:jc w:val="center"/>
              <w:rPr>
                <w:rFonts w:ascii="仿宋_GB2312" w:hAnsi="Calibri" w:eastAsia="仿宋_GB2312"/>
                <w:color w:val="auto"/>
                <w:sz w:val="28"/>
                <w:szCs w:val="28"/>
              </w:rPr>
            </w:pPr>
            <w:r>
              <w:rPr>
                <w:rFonts w:hint="eastAsia" w:ascii="仿宋_GB2312" w:hAnsi="Calibri" w:eastAsia="仿宋_GB2312"/>
                <w:color w:val="auto"/>
                <w:sz w:val="28"/>
                <w:szCs w:val="28"/>
              </w:rPr>
              <w:t>1</w:t>
            </w:r>
          </w:p>
        </w:tc>
        <w:tc>
          <w:tcPr>
            <w:tcW w:w="1451" w:type="dxa"/>
            <w:vAlign w:val="center"/>
          </w:tcPr>
          <w:p>
            <w:pPr>
              <w:spacing w:line="300" w:lineRule="exact"/>
              <w:jc w:val="center"/>
              <w:rPr>
                <w:rFonts w:hint="default" w:ascii="仿宋_GB2312" w:hAnsi="Calibri" w:eastAsia="仿宋_GB2312"/>
                <w:color w:val="auto"/>
                <w:sz w:val="28"/>
                <w:szCs w:val="28"/>
                <w:lang w:val="en-US" w:eastAsia="zh-CN"/>
              </w:rPr>
            </w:pPr>
            <w:r>
              <w:rPr>
                <w:rFonts w:hint="eastAsia" w:ascii="仿宋_GB2312" w:hAnsi="Calibri" w:eastAsia="仿宋_GB2312"/>
                <w:color w:val="auto"/>
                <w:sz w:val="28"/>
                <w:szCs w:val="28"/>
                <w:lang w:val="en-US" w:eastAsia="zh-CN"/>
              </w:rPr>
              <w:t>下一代防火墙(AF-FH全行业型号（新）)</w:t>
            </w:r>
          </w:p>
        </w:tc>
        <w:tc>
          <w:tcPr>
            <w:tcW w:w="4033" w:type="dxa"/>
            <w:vAlign w:val="center"/>
          </w:tcPr>
          <w:p>
            <w:pPr>
              <w:rPr>
                <w:rFonts w:hint="eastAsia"/>
                <w:highlight w:val="none"/>
              </w:rPr>
            </w:pPr>
            <w:r>
              <w:rPr>
                <w:rFonts w:hint="eastAsia"/>
                <w:b/>
                <w:bCs/>
                <w:highlight w:val="none"/>
              </w:rPr>
              <w:t>性能要求</w:t>
            </w:r>
            <w:r>
              <w:rPr>
                <w:rFonts w:hint="eastAsia"/>
                <w:b/>
                <w:bCs/>
                <w:highlight w:val="none"/>
                <w:lang w:eastAsia="zh-CN"/>
              </w:rPr>
              <w:t>：</w:t>
            </w:r>
            <w:r>
              <w:rPr>
                <w:rFonts w:hint="eastAsia"/>
                <w:highlight w:val="none"/>
              </w:rPr>
              <w:t>★性能参数：网络层吞吐量≥35G，应用层吞吐量≥20G，并发连接数≥410万，HTTP新建连接数≥18万。</w:t>
            </w:r>
          </w:p>
          <w:p>
            <w:pPr>
              <w:rPr>
                <w:rFonts w:hint="eastAsia"/>
                <w:highlight w:val="none"/>
              </w:rPr>
            </w:pPr>
            <w:r>
              <w:rPr>
                <w:rFonts w:hint="eastAsia"/>
                <w:highlight w:val="none"/>
              </w:rPr>
              <w:t>硬件参数：规格≥1U，内存大小≥16G，硬盘容量≥256G SSD，电源：冗余电源，接口：支持不低于16千兆电口+6万兆光口SFP+。</w:t>
            </w:r>
          </w:p>
          <w:p>
            <w:pPr>
              <w:spacing w:line="300" w:lineRule="exact"/>
              <w:jc w:val="left"/>
              <w:rPr>
                <w:rFonts w:hint="eastAsia"/>
                <w:highlight w:val="none"/>
              </w:rPr>
            </w:pPr>
            <w:r>
              <w:rPr>
                <w:rFonts w:hint="eastAsia"/>
                <w:b/>
                <w:bCs/>
                <w:highlight w:val="none"/>
              </w:rPr>
              <w:t>产品架构要求</w:t>
            </w:r>
            <w:r>
              <w:rPr>
                <w:rFonts w:hint="eastAsia"/>
                <w:highlight w:val="none"/>
                <w:lang w:eastAsia="zh-CN"/>
              </w:rPr>
              <w:t>：</w:t>
            </w:r>
            <w:r>
              <w:rPr>
                <w:rFonts w:hint="eastAsia"/>
                <w:highlight w:val="none"/>
              </w:rPr>
              <w:t>★产品采用自主知识产权的专用操作系统，应用多核并行处理技术保障产品处理性能，需提供公安部计算机信息系统安全产品质量监督检验中心、中国信息安全测评中心、中华人民共和国国家版权局、公安部信息安全产品检测中心之中任意一家检测机构出具关于“多核并行安全操作系统”的证书或检测报告。</w:t>
            </w:r>
          </w:p>
          <w:p>
            <w:pPr>
              <w:rPr>
                <w:rFonts w:hint="eastAsia"/>
                <w:highlight w:val="none"/>
              </w:rPr>
            </w:pPr>
            <w:r>
              <w:rPr>
                <w:rFonts w:hint="eastAsia"/>
                <w:b/>
                <w:bCs/>
                <w:highlight w:val="none"/>
              </w:rPr>
              <w:t>部署方式</w:t>
            </w:r>
            <w:r>
              <w:rPr>
                <w:rFonts w:hint="eastAsia"/>
                <w:highlight w:val="none"/>
                <w:lang w:eastAsia="zh-CN"/>
              </w:rPr>
              <w:t>：</w:t>
            </w:r>
            <w:r>
              <w:rPr>
                <w:rFonts w:hint="eastAsia"/>
                <w:highlight w:val="none"/>
              </w:rPr>
              <w:t>支持路由、透明、虚拟网线、旁路镜像、混合等多种部署方式，适应复杂使用环境的接入要求。</w:t>
            </w:r>
          </w:p>
          <w:p>
            <w:pPr>
              <w:rPr>
                <w:rFonts w:hint="eastAsia"/>
                <w:highlight w:val="none"/>
              </w:rPr>
            </w:pPr>
            <w:r>
              <w:rPr>
                <w:rFonts w:hint="eastAsia"/>
                <w:b/>
                <w:bCs/>
                <w:highlight w:val="none"/>
              </w:rPr>
              <w:t>链路聚合</w:t>
            </w:r>
            <w:r>
              <w:rPr>
                <w:rFonts w:hint="eastAsia"/>
                <w:highlight w:val="none"/>
                <w:lang w:eastAsia="zh-CN"/>
              </w:rPr>
              <w:t>：</w:t>
            </w:r>
            <w:r>
              <w:rPr>
                <w:rFonts w:hint="eastAsia"/>
                <w:highlight w:val="none"/>
              </w:rPr>
              <w:t>具备链路聚合功能，将2个或者更多物理链路组合成一个更高带宽的逻辑链路接口，提高链路带宽和链路可靠性。</w:t>
            </w:r>
          </w:p>
          <w:p>
            <w:pPr>
              <w:rPr>
                <w:rFonts w:hint="eastAsia"/>
                <w:highlight w:val="none"/>
              </w:rPr>
            </w:pPr>
            <w:r>
              <w:rPr>
                <w:rFonts w:hint="eastAsia"/>
                <w:b/>
                <w:bCs/>
                <w:highlight w:val="none"/>
              </w:rPr>
              <w:t>网络服务</w:t>
            </w:r>
            <w:r>
              <w:rPr>
                <w:rFonts w:hint="eastAsia"/>
                <w:highlight w:val="none"/>
                <w:lang w:eastAsia="zh-CN"/>
              </w:rPr>
              <w:t>：</w:t>
            </w:r>
            <w:r>
              <w:rPr>
                <w:rFonts w:hint="eastAsia"/>
                <w:highlight w:val="none"/>
              </w:rPr>
              <w:t>具备ARP代理功能，对指定地址的ARP请求使用指定接口的MAC地址应答，实现保护内网主机。</w:t>
            </w:r>
          </w:p>
          <w:p>
            <w:pPr>
              <w:rPr>
                <w:rFonts w:hint="eastAsia"/>
                <w:highlight w:val="none"/>
              </w:rPr>
            </w:pPr>
            <w:r>
              <w:rPr>
                <w:rFonts w:hint="eastAsia"/>
                <w:b/>
                <w:bCs/>
                <w:highlight w:val="none"/>
              </w:rPr>
              <w:t>地址转换</w:t>
            </w:r>
            <w:r>
              <w:rPr>
                <w:rFonts w:hint="eastAsia"/>
                <w:highlight w:val="none"/>
                <w:lang w:eastAsia="zh-CN"/>
              </w:rPr>
              <w:t>：</w:t>
            </w:r>
            <w:r>
              <w:rPr>
                <w:rFonts w:hint="eastAsia"/>
                <w:highlight w:val="none"/>
              </w:rPr>
              <w:t>支持IPv4／IPv6下NAT地址转换，包括支持源地址转换SNAT，目的地址转换DNAT和双向地址转换双向NAT， 支持一对一、一对多、多对一等多种转换方式。</w:t>
            </w:r>
          </w:p>
          <w:p>
            <w:pPr>
              <w:rPr>
                <w:rFonts w:hint="eastAsia"/>
                <w:highlight w:val="none"/>
              </w:rPr>
            </w:pPr>
            <w:r>
              <w:rPr>
                <w:rFonts w:hint="eastAsia"/>
                <w:b/>
                <w:bCs/>
                <w:highlight w:val="none"/>
              </w:rPr>
              <w:t>地域访问控制</w:t>
            </w:r>
            <w:r>
              <w:rPr>
                <w:rFonts w:hint="eastAsia"/>
                <w:highlight w:val="none"/>
                <w:lang w:eastAsia="zh-CN"/>
              </w:rPr>
              <w:t>：</w:t>
            </w:r>
            <w:r>
              <w:rPr>
                <w:rFonts w:hint="eastAsia"/>
                <w:highlight w:val="none"/>
              </w:rPr>
              <w:t>支持基于对象、区域和地域维度设置安全访问控制策略，允许或拒绝特定国家或者地区的对象访问内部网络，保障业务重大时期安全可靠性。</w:t>
            </w:r>
          </w:p>
          <w:p>
            <w:pPr>
              <w:spacing w:line="300" w:lineRule="exact"/>
              <w:jc w:val="left"/>
              <w:rPr>
                <w:rFonts w:hint="default"/>
                <w:highlight w:val="none"/>
                <w:lang w:val="en-US" w:eastAsia="zh-CN"/>
              </w:rPr>
            </w:pPr>
          </w:p>
        </w:tc>
        <w:tc>
          <w:tcPr>
            <w:tcW w:w="2658" w:type="dxa"/>
            <w:vAlign w:val="center"/>
          </w:tcPr>
          <w:p>
            <w:pPr>
              <w:spacing w:line="300" w:lineRule="exact"/>
              <w:jc w:val="center"/>
              <w:rPr>
                <w:rFonts w:hint="default" w:ascii="仿宋_GB2312" w:hAnsi="Calibri" w:eastAsia="仿宋_GB2312"/>
                <w:color w:val="auto"/>
                <w:sz w:val="28"/>
                <w:szCs w:val="28"/>
                <w:lang w:val="en-US" w:eastAsia="zh-CN"/>
              </w:rPr>
            </w:pPr>
            <w:r>
              <w:rPr>
                <w:rFonts w:hint="eastAsia" w:ascii="仿宋_GB2312" w:hAnsi="Calibri" w:eastAsia="仿宋_GB2312"/>
                <w:color w:val="auto"/>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853" w:type="dxa"/>
            <w:vAlign w:val="center"/>
          </w:tcPr>
          <w:p>
            <w:pPr>
              <w:spacing w:line="300" w:lineRule="exact"/>
              <w:jc w:val="center"/>
              <w:rPr>
                <w:rFonts w:hint="eastAsia" w:ascii="仿宋_GB2312" w:hAnsi="Calibri" w:eastAsia="仿宋_GB2312"/>
                <w:color w:val="auto"/>
                <w:sz w:val="28"/>
                <w:szCs w:val="28"/>
                <w:lang w:val="en-US" w:eastAsia="zh-CN"/>
              </w:rPr>
            </w:pPr>
          </w:p>
        </w:tc>
        <w:tc>
          <w:tcPr>
            <w:tcW w:w="1451" w:type="dxa"/>
            <w:vAlign w:val="center"/>
          </w:tcPr>
          <w:p>
            <w:pPr>
              <w:spacing w:line="300" w:lineRule="exact"/>
              <w:jc w:val="center"/>
              <w:rPr>
                <w:rFonts w:ascii="仿宋_GB2312" w:hAnsi="Calibri" w:eastAsia="仿宋_GB2312"/>
                <w:color w:val="auto"/>
                <w:sz w:val="28"/>
                <w:szCs w:val="28"/>
              </w:rPr>
            </w:pPr>
          </w:p>
        </w:tc>
        <w:tc>
          <w:tcPr>
            <w:tcW w:w="4033" w:type="dxa"/>
            <w:vAlign w:val="center"/>
          </w:tcPr>
          <w:p>
            <w:pPr>
              <w:rPr>
                <w:rFonts w:hint="eastAsia"/>
                <w:b/>
                <w:bCs/>
                <w:highlight w:val="none"/>
              </w:rPr>
            </w:pPr>
            <w:r>
              <w:rPr>
                <w:rFonts w:hint="eastAsia"/>
                <w:b/>
                <w:bCs/>
                <w:highlight w:val="none"/>
              </w:rPr>
              <w:t>应用识别</w:t>
            </w:r>
            <w:r>
              <w:rPr>
                <w:rFonts w:hint="eastAsia"/>
                <w:highlight w:val="none"/>
                <w:lang w:eastAsia="zh-CN"/>
              </w:rPr>
              <w:t>：</w:t>
            </w:r>
            <w:r>
              <w:rPr>
                <w:rFonts w:hint="eastAsia"/>
                <w:highlight w:val="none"/>
              </w:rPr>
              <w:t>★产品内置应用特征识别库，支持不少于9000种应用规则，支持对游戏、P2P下载工具、聊天工具、网上银行、视频软件、股票软件、木马控制软件等类型应用进行检测与控制。（需提供产品功能截图证明）</w:t>
            </w:r>
          </w:p>
          <w:p>
            <w:pPr>
              <w:rPr>
                <w:rFonts w:hint="eastAsia"/>
                <w:highlight w:val="none"/>
              </w:rPr>
            </w:pPr>
            <w:r>
              <w:rPr>
                <w:rFonts w:hint="eastAsia"/>
                <w:b/>
                <w:bCs/>
                <w:highlight w:val="none"/>
              </w:rPr>
              <w:t>流量控制</w:t>
            </w:r>
            <w:r>
              <w:rPr>
                <w:rFonts w:hint="eastAsia"/>
                <w:highlight w:val="none"/>
                <w:lang w:val="en-US" w:eastAsia="zh-CN"/>
              </w:rPr>
              <w:t>:</w:t>
            </w:r>
            <w:r>
              <w:rPr>
                <w:rFonts w:hint="eastAsia"/>
                <w:highlight w:val="none"/>
              </w:rPr>
              <w:t>★具备基于国家/地区的流量管理功能，提供具有CNAS、CMA等同级别任一官方认证的第三方测试机构关于“国家/地区的流量管理”产品功能检测报告，或提供现场演示环境以证明此项功能满足业务需求。</w:t>
            </w:r>
          </w:p>
          <w:p>
            <w:pPr>
              <w:rPr>
                <w:rFonts w:hint="eastAsia"/>
                <w:highlight w:val="none"/>
              </w:rPr>
            </w:pPr>
            <w:r>
              <w:rPr>
                <w:rFonts w:hint="eastAsia"/>
                <w:b/>
                <w:bCs/>
                <w:highlight w:val="none"/>
              </w:rPr>
              <w:t>安全策略管理</w:t>
            </w:r>
            <w:r>
              <w:rPr>
                <w:rFonts w:hint="eastAsia"/>
                <w:b/>
                <w:bCs/>
                <w:highlight w:val="none"/>
                <w:lang w:eastAsia="zh-CN"/>
              </w:rPr>
              <w:t>：</w:t>
            </w:r>
            <w:r>
              <w:rPr>
                <w:rFonts w:hint="eastAsia"/>
                <w:highlight w:val="none"/>
              </w:rPr>
              <w:t>产品支持策略生命周期管理功能，支持对安全策略修改的时间、原因、变更类型进行统一管理，便于策略的运维与管理。（需提供产品功能截图证明）</w:t>
            </w:r>
          </w:p>
          <w:p>
            <w:pPr>
              <w:rPr>
                <w:rFonts w:hint="eastAsia"/>
                <w:highlight w:val="none"/>
              </w:rPr>
            </w:pPr>
            <w:r>
              <w:rPr>
                <w:rFonts w:hint="eastAsia"/>
                <w:b/>
                <w:bCs/>
                <w:highlight w:val="none"/>
              </w:rPr>
              <w:t>DDoS防御</w:t>
            </w:r>
            <w:r>
              <w:rPr>
                <w:rFonts w:hint="eastAsia"/>
                <w:highlight w:val="none"/>
                <w:lang w:eastAsia="zh-CN"/>
              </w:rPr>
              <w:t>：</w:t>
            </w:r>
            <w:r>
              <w:rPr>
                <w:rFonts w:hint="eastAsia"/>
                <w:highlight w:val="none"/>
              </w:rPr>
              <w:t>支持产品支持对ICMP、UDP、DNS、SYN等协议进行DDOS防护，支持IP地址扫描和端口扫描攻击防护。</w:t>
            </w:r>
          </w:p>
          <w:p>
            <w:pPr>
              <w:rPr>
                <w:rFonts w:hint="eastAsia"/>
                <w:highlight w:val="none"/>
              </w:rPr>
            </w:pPr>
            <w:r>
              <w:rPr>
                <w:rFonts w:hint="eastAsia"/>
                <w:highlight w:val="none"/>
              </w:rPr>
              <w:tab/>
            </w:r>
            <w:r>
              <w:rPr>
                <w:rFonts w:hint="eastAsia"/>
                <w:highlight w:val="none"/>
              </w:rPr>
              <w:t>支持异常包攻击防御，异常包攻击类型至少包括Ping of Death、Teardrop、Smurf、Land、WinNuke等攻击类型。</w:t>
            </w:r>
          </w:p>
          <w:p>
            <w:pPr>
              <w:rPr>
                <w:rFonts w:hint="eastAsia"/>
                <w:highlight w:val="none"/>
              </w:rPr>
            </w:pPr>
            <w:r>
              <w:rPr>
                <w:rFonts w:hint="eastAsia"/>
                <w:b/>
                <w:bCs/>
                <w:highlight w:val="none"/>
              </w:rPr>
              <w:t>勒索病毒防御</w:t>
            </w:r>
            <w:r>
              <w:rPr>
                <w:rFonts w:hint="eastAsia"/>
                <w:highlight w:val="none"/>
                <w:lang w:eastAsia="zh-CN"/>
              </w:rPr>
              <w:t>：</w:t>
            </w:r>
            <w:r>
              <w:rPr>
                <w:rFonts w:hint="eastAsia"/>
                <w:highlight w:val="none"/>
              </w:rPr>
              <w:t>★支持勒索病毒检测与防御功能，为保障勒索病毒的防御效果，所投产品需提供具备CMA（中国国家认证认可监督管理委员会）、CNAS（中国合格评定国家认可委员会）认证的第三方权威机构关于“勒索软件通信防护”功能项的产品检测报告；或提供</w:t>
            </w:r>
            <w:r>
              <w:rPr>
                <w:rFonts w:hint="eastAsia"/>
                <w:strike w:val="0"/>
                <w:dstrike w:val="0"/>
                <w:color w:val="auto"/>
                <w:highlight w:val="none"/>
              </w:rPr>
              <w:t>现场演示环境</w:t>
            </w:r>
            <w:r>
              <w:rPr>
                <w:rFonts w:hint="eastAsia"/>
                <w:highlight w:val="none"/>
              </w:rPr>
              <w:t>以证明此项功能满足业务需求。</w:t>
            </w:r>
          </w:p>
          <w:p>
            <w:pPr>
              <w:rPr>
                <w:rFonts w:hint="eastAsia"/>
                <w:highlight w:val="none"/>
              </w:rPr>
            </w:pPr>
            <w:r>
              <w:rPr>
                <w:rFonts w:hint="eastAsia"/>
                <w:b/>
                <w:bCs/>
                <w:highlight w:val="none"/>
              </w:rPr>
              <w:t>入侵防御</w:t>
            </w:r>
            <w:r>
              <w:rPr>
                <w:rFonts w:hint="eastAsia"/>
                <w:highlight w:val="none"/>
                <w:lang w:eastAsia="zh-CN"/>
              </w:rPr>
              <w:t>：</w:t>
            </w:r>
            <w:r>
              <w:rPr>
                <w:rFonts w:hint="eastAsia"/>
                <w:highlight w:val="none"/>
              </w:rPr>
              <w:t>★产品内置IPS检测引擎，支持口令暴力破解、僵尸网络、恶意软件、服务器与终端漏洞攻击等检测和防护，支持超过10000种特征规则。（需提供产品功能截图证明）</w:t>
            </w:r>
          </w:p>
          <w:p>
            <w:pPr>
              <w:rPr>
                <w:rFonts w:hint="eastAsia"/>
                <w:highlight w:val="none"/>
              </w:rPr>
            </w:pPr>
            <w:r>
              <w:rPr>
                <w:rFonts w:hint="eastAsia"/>
                <w:highlight w:val="none"/>
              </w:rPr>
              <w:tab/>
            </w:r>
            <w:r>
              <w:rPr>
                <w:rFonts w:hint="eastAsia"/>
                <w:highlight w:val="none"/>
              </w:rPr>
              <w:t>具备僵尸网络检测功能，可基于僵尸网络检测引擎发现主机的异常外联行为，并提供威胁等级和非法外联次数作为举证。</w:t>
            </w:r>
          </w:p>
          <w:p>
            <w:pPr>
              <w:rPr>
                <w:rFonts w:hint="eastAsia"/>
                <w:highlight w:val="none"/>
              </w:rPr>
            </w:pPr>
            <w:r>
              <w:rPr>
                <w:rFonts w:hint="eastAsia"/>
                <w:b/>
                <w:bCs/>
                <w:highlight w:val="none"/>
              </w:rPr>
              <w:t>网端云联动</w:t>
            </w:r>
            <w:r>
              <w:rPr>
                <w:rFonts w:hint="eastAsia"/>
                <w:highlight w:val="none"/>
                <w:lang w:eastAsia="zh-CN"/>
              </w:rPr>
              <w:t>：</w:t>
            </w:r>
            <w:r>
              <w:rPr>
                <w:rFonts w:hint="eastAsia"/>
                <w:highlight w:val="none"/>
              </w:rPr>
              <w:t>★具备网端云协同联动功能，提供具有CNAS、CMA等同级别任一官方认证的第三方测试机构关于“网端云协同联动”产品功能检测报告，或提供现场演示环境以证明此项功能满足业务需求。</w:t>
            </w:r>
          </w:p>
        </w:tc>
        <w:tc>
          <w:tcPr>
            <w:tcW w:w="2658" w:type="dxa"/>
            <w:vAlign w:val="center"/>
          </w:tcPr>
          <w:p>
            <w:pPr>
              <w:spacing w:line="300" w:lineRule="exact"/>
              <w:jc w:val="center"/>
              <w:rPr>
                <w:rFonts w:ascii="仿宋_GB2312" w:hAnsi="Calibri"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853" w:type="dxa"/>
            <w:vAlign w:val="center"/>
          </w:tcPr>
          <w:p>
            <w:pPr>
              <w:spacing w:line="300" w:lineRule="exact"/>
              <w:jc w:val="center"/>
              <w:rPr>
                <w:rFonts w:hint="eastAsia" w:ascii="仿宋_GB2312" w:hAnsi="Calibri" w:eastAsia="仿宋_GB2312"/>
                <w:color w:val="auto"/>
                <w:sz w:val="28"/>
                <w:szCs w:val="28"/>
                <w:lang w:val="en-US" w:eastAsia="zh-CN"/>
              </w:rPr>
            </w:pPr>
          </w:p>
        </w:tc>
        <w:tc>
          <w:tcPr>
            <w:tcW w:w="1451" w:type="dxa"/>
            <w:vAlign w:val="center"/>
          </w:tcPr>
          <w:p>
            <w:pPr>
              <w:spacing w:line="300" w:lineRule="exact"/>
              <w:jc w:val="center"/>
              <w:rPr>
                <w:rFonts w:ascii="仿宋_GB2312" w:hAnsi="Calibri" w:eastAsia="仿宋_GB2312"/>
                <w:color w:val="auto"/>
                <w:sz w:val="28"/>
                <w:szCs w:val="28"/>
              </w:rPr>
            </w:pPr>
          </w:p>
        </w:tc>
        <w:tc>
          <w:tcPr>
            <w:tcW w:w="4033" w:type="dxa"/>
            <w:vAlign w:val="center"/>
          </w:tcPr>
          <w:p>
            <w:pPr>
              <w:rPr>
                <w:rFonts w:hint="eastAsia"/>
                <w:highlight w:val="none"/>
              </w:rPr>
            </w:pPr>
            <w:r>
              <w:rPr>
                <w:rFonts w:hint="eastAsia"/>
                <w:b/>
                <w:bCs/>
                <w:highlight w:val="none"/>
              </w:rPr>
              <w:t>策略生命周期管理</w:t>
            </w:r>
            <w:r>
              <w:rPr>
                <w:rFonts w:hint="eastAsia"/>
                <w:highlight w:val="none"/>
                <w:lang w:eastAsia="zh-CN"/>
              </w:rPr>
              <w:t>：</w:t>
            </w:r>
            <w:r>
              <w:rPr>
                <w:rFonts w:hint="eastAsia"/>
                <w:highlight w:val="none"/>
              </w:rPr>
              <w:t>支持应用控制策略生命周期管理，包含安全策略的变更时间、变更类型和策略变更用户，并对变更内容记录日志，方便策略的管理和运维。</w:t>
            </w:r>
          </w:p>
          <w:p>
            <w:pPr>
              <w:rPr>
                <w:rFonts w:hint="eastAsia"/>
                <w:highlight w:val="none"/>
              </w:rPr>
            </w:pPr>
            <w:r>
              <w:rPr>
                <w:rFonts w:hint="eastAsia"/>
                <w:b/>
                <w:bCs/>
                <w:highlight w:val="none"/>
              </w:rPr>
              <w:t>资产识别</w:t>
            </w:r>
            <w:r>
              <w:rPr>
                <w:rFonts w:hint="eastAsia"/>
                <w:highlight w:val="none"/>
                <w:lang w:eastAsia="zh-CN"/>
              </w:rPr>
              <w:t>：</w:t>
            </w:r>
            <w:r>
              <w:rPr>
                <w:rFonts w:hint="eastAsia"/>
                <w:highlight w:val="none"/>
              </w:rPr>
              <w:t>支持Web服务器自动侦测功能，根据Web服务器在线状态、端口使用状态、Web服务器之间的互访关系生成业务资产列表，同时展示内网资产访问的风险等级。（需提供产品功能截图证明）</w:t>
            </w:r>
          </w:p>
          <w:p>
            <w:pPr>
              <w:rPr>
                <w:rFonts w:hint="eastAsia"/>
                <w:highlight w:val="none"/>
              </w:rPr>
            </w:pPr>
            <w:r>
              <w:rPr>
                <w:rFonts w:hint="eastAsia"/>
                <w:b/>
                <w:bCs/>
                <w:highlight w:val="none"/>
              </w:rPr>
              <w:t>用户管理权限</w:t>
            </w:r>
            <w:r>
              <w:rPr>
                <w:rFonts w:hint="eastAsia"/>
                <w:highlight w:val="none"/>
                <w:lang w:eastAsia="zh-CN"/>
              </w:rPr>
              <w:t>：</w:t>
            </w:r>
            <w:r>
              <w:rPr>
                <w:rFonts w:hint="eastAsia"/>
                <w:highlight w:val="none"/>
              </w:rPr>
              <w:t>支持三权分立功能，根据用户权限分为安全管理员、审计员、系统管理员三种角色；</w:t>
            </w:r>
          </w:p>
          <w:p>
            <w:pPr>
              <w:rPr>
                <w:rFonts w:hint="eastAsia"/>
                <w:highlight w:val="none"/>
              </w:rPr>
            </w:pPr>
            <w:r>
              <w:rPr>
                <w:rFonts w:hint="eastAsia"/>
                <w:b/>
                <w:bCs/>
                <w:highlight w:val="none"/>
              </w:rPr>
              <w:t>双因素认证</w:t>
            </w:r>
            <w:r>
              <w:rPr>
                <w:rFonts w:hint="eastAsia"/>
                <w:highlight w:val="none"/>
                <w:lang w:eastAsia="zh-CN"/>
              </w:rPr>
              <w:t>：</w:t>
            </w:r>
            <w:r>
              <w:rPr>
                <w:rFonts w:hint="eastAsia"/>
                <w:highlight w:val="none"/>
              </w:rPr>
              <w:t>支持管理员双因素认证，包含用户名/密码和Key等不同方式。</w:t>
            </w:r>
          </w:p>
          <w:p>
            <w:pPr>
              <w:rPr>
                <w:rFonts w:ascii="仿宋_GB2312" w:hAnsi="Calibri" w:eastAsia="仿宋_GB2312"/>
                <w:color w:val="auto"/>
                <w:sz w:val="28"/>
                <w:szCs w:val="28"/>
              </w:rPr>
            </w:pPr>
            <w:r>
              <w:rPr>
                <w:rFonts w:hint="eastAsia"/>
                <w:b/>
                <w:bCs/>
                <w:highlight w:val="none"/>
              </w:rPr>
              <w:t>设备联动</w:t>
            </w:r>
            <w:r>
              <w:rPr>
                <w:rFonts w:hint="eastAsia"/>
                <w:highlight w:val="none"/>
                <w:lang w:eastAsia="zh-CN"/>
              </w:rPr>
              <w:t>：</w:t>
            </w:r>
            <w:r>
              <w:rPr>
                <w:rFonts w:hint="eastAsia"/>
                <w:highlight w:val="none"/>
              </w:rPr>
              <w:t>★要求支持学校的安全态势感知平台和终端检测响应平台(EDR)联动处置网络安全事件。</w:t>
            </w:r>
          </w:p>
        </w:tc>
        <w:tc>
          <w:tcPr>
            <w:tcW w:w="2658" w:type="dxa"/>
            <w:vAlign w:val="center"/>
          </w:tcPr>
          <w:p>
            <w:pPr>
              <w:spacing w:line="300" w:lineRule="exact"/>
              <w:jc w:val="center"/>
              <w:rPr>
                <w:rFonts w:ascii="仿宋_GB2312" w:hAnsi="Calibri" w:eastAsia="仿宋_GB2312"/>
                <w:color w:val="auto"/>
                <w:sz w:val="28"/>
                <w:szCs w:val="28"/>
              </w:rPr>
            </w:pPr>
          </w:p>
        </w:tc>
      </w:tr>
    </w:tbl>
    <w:p>
      <w:pPr>
        <w:rPr>
          <w:rFonts w:hint="eastAsia" w:ascii="仿宋" w:hAnsi="仿宋" w:eastAsia="仿宋" w:cs="仿宋"/>
          <w:sz w:val="21"/>
          <w:szCs w:val="21"/>
          <w:highlight w:val="none"/>
        </w:rPr>
      </w:pPr>
    </w:p>
    <w:p>
      <w:pPr>
        <w:pStyle w:val="9"/>
        <w:rPr>
          <w:rFonts w:hint="eastAsia" w:ascii="仿宋" w:hAnsi="仿宋" w:eastAsia="仿宋" w:cs="仿宋"/>
          <w:sz w:val="21"/>
          <w:szCs w:val="21"/>
          <w:highlight w:val="none"/>
        </w:rPr>
      </w:pPr>
    </w:p>
    <w:p>
      <w:pPr>
        <w:pStyle w:val="9"/>
        <w:rPr>
          <w:rFonts w:hint="eastAsia" w:ascii="仿宋" w:hAnsi="仿宋" w:eastAsia="仿宋" w:cs="仿宋"/>
          <w:sz w:val="21"/>
          <w:szCs w:val="21"/>
          <w:highlight w:val="none"/>
        </w:rPr>
      </w:pPr>
    </w:p>
    <w:p>
      <w:pPr>
        <w:pStyle w:val="9"/>
        <w:rPr>
          <w:rFonts w:hint="eastAsia" w:ascii="仿宋" w:hAnsi="仿宋" w:eastAsia="仿宋" w:cs="仿宋"/>
          <w:sz w:val="21"/>
          <w:szCs w:val="21"/>
          <w:highlight w:val="none"/>
        </w:rPr>
      </w:pPr>
    </w:p>
    <w:p>
      <w:pPr>
        <w:pStyle w:val="9"/>
        <w:rPr>
          <w:rFonts w:hint="eastAsia" w:ascii="仿宋" w:hAnsi="仿宋" w:eastAsia="仿宋" w:cs="仿宋"/>
          <w:sz w:val="21"/>
          <w:szCs w:val="21"/>
          <w:highlight w:val="none"/>
        </w:rPr>
      </w:pPr>
    </w:p>
    <w:p>
      <w:pPr>
        <w:pStyle w:val="9"/>
        <w:rPr>
          <w:rFonts w:hint="eastAsia" w:ascii="仿宋" w:hAnsi="仿宋" w:eastAsia="仿宋" w:cs="仿宋"/>
          <w:sz w:val="21"/>
          <w:szCs w:val="21"/>
          <w:highlight w:val="none"/>
        </w:rPr>
      </w:pPr>
    </w:p>
    <w:p>
      <w:pPr>
        <w:pStyle w:val="9"/>
        <w:rPr>
          <w:rFonts w:hint="eastAsia" w:ascii="仿宋" w:hAnsi="仿宋" w:eastAsia="仿宋" w:cs="仿宋"/>
          <w:sz w:val="21"/>
          <w:szCs w:val="21"/>
          <w:highlight w:val="none"/>
        </w:rPr>
      </w:pPr>
    </w:p>
    <w:p>
      <w:pPr>
        <w:pStyle w:val="9"/>
        <w:rPr>
          <w:rFonts w:hint="eastAsia" w:ascii="仿宋" w:hAnsi="仿宋" w:eastAsia="仿宋" w:cs="仿宋"/>
          <w:sz w:val="21"/>
          <w:szCs w:val="21"/>
          <w:highlight w:val="none"/>
        </w:rPr>
      </w:pPr>
    </w:p>
    <w:p>
      <w:pPr>
        <w:pStyle w:val="9"/>
        <w:rPr>
          <w:rFonts w:hint="eastAsia" w:ascii="仿宋" w:hAnsi="仿宋" w:eastAsia="仿宋" w:cs="仿宋"/>
          <w:sz w:val="21"/>
          <w:szCs w:val="21"/>
          <w:highlight w:val="none"/>
        </w:rPr>
      </w:pPr>
    </w:p>
    <w:p>
      <w:pPr>
        <w:pStyle w:val="9"/>
        <w:rPr>
          <w:rFonts w:hint="eastAsia" w:ascii="仿宋" w:hAnsi="仿宋" w:eastAsia="仿宋" w:cs="仿宋"/>
          <w:sz w:val="21"/>
          <w:szCs w:val="21"/>
          <w:highlight w:val="none"/>
        </w:rPr>
      </w:pPr>
    </w:p>
    <w:p>
      <w:pPr>
        <w:pStyle w:val="9"/>
        <w:rPr>
          <w:rFonts w:hint="eastAsia" w:ascii="仿宋" w:hAnsi="仿宋" w:eastAsia="仿宋" w:cs="仿宋"/>
          <w:sz w:val="21"/>
          <w:szCs w:val="21"/>
          <w:highlight w:val="none"/>
        </w:rPr>
      </w:pPr>
    </w:p>
    <w:sectPr>
      <w:pgSz w:w="11906" w:h="16838"/>
      <w:pgMar w:top="1134"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3BD72716"/>
    <w:multiLevelType w:val="singleLevel"/>
    <w:tmpl w:val="3BD72716"/>
    <w:lvl w:ilvl="0" w:tentative="0">
      <w:start w:val="1"/>
      <w:numFmt w:val="chineseCounting"/>
      <w:suff w:val="nothing"/>
      <w:lvlText w:val="%1、"/>
      <w:lvlJc w:val="left"/>
      <w:rPr>
        <w:rFonts w:hint="eastAsia"/>
      </w:rPr>
    </w:lvl>
  </w:abstractNum>
  <w:abstractNum w:abstractNumId="2">
    <w:nsid w:val="7000D3A1"/>
    <w:multiLevelType w:val="singleLevel"/>
    <w:tmpl w:val="7000D3A1"/>
    <w:lvl w:ilvl="0" w:tentative="0">
      <w:start w:val="1"/>
      <w:numFmt w:val="chineseCounting"/>
      <w:suff w:val="nothing"/>
      <w:lvlText w:val="%1、"/>
      <w:lvlJc w:val="left"/>
      <w:rPr>
        <w:rFonts w:hint="eastAsia"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zMyYTA1MzJiMzg2NzI1ZTU3MDM4MDAzOTg1YmUifQ=="/>
  </w:docVars>
  <w:rsids>
    <w:rsidRoot w:val="749935D7"/>
    <w:rsid w:val="00577718"/>
    <w:rsid w:val="006B6D1F"/>
    <w:rsid w:val="006E5FD5"/>
    <w:rsid w:val="008D138C"/>
    <w:rsid w:val="01F86CD9"/>
    <w:rsid w:val="02CD3CC1"/>
    <w:rsid w:val="02FC0103"/>
    <w:rsid w:val="03560202"/>
    <w:rsid w:val="03563CB7"/>
    <w:rsid w:val="041476CE"/>
    <w:rsid w:val="042B64D1"/>
    <w:rsid w:val="042E253E"/>
    <w:rsid w:val="04820E82"/>
    <w:rsid w:val="04B213C1"/>
    <w:rsid w:val="05595CE0"/>
    <w:rsid w:val="0579092F"/>
    <w:rsid w:val="05A36F5B"/>
    <w:rsid w:val="05F467EB"/>
    <w:rsid w:val="065B0771"/>
    <w:rsid w:val="06695AAF"/>
    <w:rsid w:val="067B57E2"/>
    <w:rsid w:val="07A07BF6"/>
    <w:rsid w:val="088F37C7"/>
    <w:rsid w:val="089B6610"/>
    <w:rsid w:val="09267C87"/>
    <w:rsid w:val="095073FA"/>
    <w:rsid w:val="098E3A7F"/>
    <w:rsid w:val="09B76155"/>
    <w:rsid w:val="09BA7138"/>
    <w:rsid w:val="09D92D83"/>
    <w:rsid w:val="09F064E7"/>
    <w:rsid w:val="09F9205B"/>
    <w:rsid w:val="0A1102E2"/>
    <w:rsid w:val="0AAF1EFF"/>
    <w:rsid w:val="0B0C7351"/>
    <w:rsid w:val="0B5E771F"/>
    <w:rsid w:val="0C9B098C"/>
    <w:rsid w:val="0CC021A1"/>
    <w:rsid w:val="0D4B4161"/>
    <w:rsid w:val="0D51729D"/>
    <w:rsid w:val="0DEE2D3E"/>
    <w:rsid w:val="0E5B6E42"/>
    <w:rsid w:val="0EB2020F"/>
    <w:rsid w:val="0EE3661B"/>
    <w:rsid w:val="0EEF6D6E"/>
    <w:rsid w:val="0F3F1AA3"/>
    <w:rsid w:val="0F871DD2"/>
    <w:rsid w:val="0FCD5301"/>
    <w:rsid w:val="103069CC"/>
    <w:rsid w:val="10771710"/>
    <w:rsid w:val="10F845FF"/>
    <w:rsid w:val="11160F29"/>
    <w:rsid w:val="12850115"/>
    <w:rsid w:val="12881298"/>
    <w:rsid w:val="12B5207C"/>
    <w:rsid w:val="12C5481A"/>
    <w:rsid w:val="139D4FEA"/>
    <w:rsid w:val="13BA5B9C"/>
    <w:rsid w:val="147815B3"/>
    <w:rsid w:val="14853EE4"/>
    <w:rsid w:val="14A405FA"/>
    <w:rsid w:val="14B1017B"/>
    <w:rsid w:val="14B22D17"/>
    <w:rsid w:val="14FC21E4"/>
    <w:rsid w:val="15155054"/>
    <w:rsid w:val="15D626EC"/>
    <w:rsid w:val="15D66ED9"/>
    <w:rsid w:val="15E67AF9"/>
    <w:rsid w:val="160A1FD1"/>
    <w:rsid w:val="16174B6C"/>
    <w:rsid w:val="16C136E5"/>
    <w:rsid w:val="16DC051F"/>
    <w:rsid w:val="16F81001"/>
    <w:rsid w:val="17004A3B"/>
    <w:rsid w:val="17173305"/>
    <w:rsid w:val="171C4DC0"/>
    <w:rsid w:val="18572F0B"/>
    <w:rsid w:val="189F35B2"/>
    <w:rsid w:val="18A92148"/>
    <w:rsid w:val="18C354F3"/>
    <w:rsid w:val="19630A84"/>
    <w:rsid w:val="1A5D1977"/>
    <w:rsid w:val="1B083691"/>
    <w:rsid w:val="1B662AAD"/>
    <w:rsid w:val="1B762CF0"/>
    <w:rsid w:val="1B963D2F"/>
    <w:rsid w:val="1BE51C24"/>
    <w:rsid w:val="1C2C1601"/>
    <w:rsid w:val="1C4F60A6"/>
    <w:rsid w:val="1DA67191"/>
    <w:rsid w:val="1DFC5003"/>
    <w:rsid w:val="1E171E3D"/>
    <w:rsid w:val="1E1E766F"/>
    <w:rsid w:val="1E234C86"/>
    <w:rsid w:val="1EBD0C36"/>
    <w:rsid w:val="1F0E3240"/>
    <w:rsid w:val="1F996368"/>
    <w:rsid w:val="1FA80990"/>
    <w:rsid w:val="20140D2A"/>
    <w:rsid w:val="202B1BD0"/>
    <w:rsid w:val="20E95D13"/>
    <w:rsid w:val="21115269"/>
    <w:rsid w:val="21154D5A"/>
    <w:rsid w:val="216D6944"/>
    <w:rsid w:val="21BB15CD"/>
    <w:rsid w:val="21CD1190"/>
    <w:rsid w:val="21EE1107"/>
    <w:rsid w:val="22031056"/>
    <w:rsid w:val="22056B7C"/>
    <w:rsid w:val="2245341D"/>
    <w:rsid w:val="224A458F"/>
    <w:rsid w:val="226650A3"/>
    <w:rsid w:val="228D7161"/>
    <w:rsid w:val="22F37B3A"/>
    <w:rsid w:val="2302130E"/>
    <w:rsid w:val="24A3442A"/>
    <w:rsid w:val="24B14D99"/>
    <w:rsid w:val="24BB2C07"/>
    <w:rsid w:val="24E8008F"/>
    <w:rsid w:val="24F2482F"/>
    <w:rsid w:val="24FB4266"/>
    <w:rsid w:val="251F61A7"/>
    <w:rsid w:val="2685203A"/>
    <w:rsid w:val="26CA3EF0"/>
    <w:rsid w:val="26D47640"/>
    <w:rsid w:val="275C429A"/>
    <w:rsid w:val="27E92A9C"/>
    <w:rsid w:val="28355CE1"/>
    <w:rsid w:val="28753904"/>
    <w:rsid w:val="287D4BB8"/>
    <w:rsid w:val="2A41271B"/>
    <w:rsid w:val="2A7F1496"/>
    <w:rsid w:val="2A946CEF"/>
    <w:rsid w:val="2AA8152A"/>
    <w:rsid w:val="2B2D4A4E"/>
    <w:rsid w:val="2B335D46"/>
    <w:rsid w:val="2B34402E"/>
    <w:rsid w:val="2BA03472"/>
    <w:rsid w:val="2BA2368E"/>
    <w:rsid w:val="2C0E2373"/>
    <w:rsid w:val="2C1D0F66"/>
    <w:rsid w:val="2C1F6A8C"/>
    <w:rsid w:val="2C5524AE"/>
    <w:rsid w:val="2C70553A"/>
    <w:rsid w:val="2CAB47C4"/>
    <w:rsid w:val="2CAF3402"/>
    <w:rsid w:val="2CB63A29"/>
    <w:rsid w:val="2CE90E48"/>
    <w:rsid w:val="2D6B3595"/>
    <w:rsid w:val="2D7F58FA"/>
    <w:rsid w:val="2DA336ED"/>
    <w:rsid w:val="2E0C4DEE"/>
    <w:rsid w:val="2E3A7BAD"/>
    <w:rsid w:val="2E514EF7"/>
    <w:rsid w:val="2F5C3B54"/>
    <w:rsid w:val="2FA5374C"/>
    <w:rsid w:val="30167854"/>
    <w:rsid w:val="306233EC"/>
    <w:rsid w:val="30731155"/>
    <w:rsid w:val="307373A7"/>
    <w:rsid w:val="307D6477"/>
    <w:rsid w:val="30954BCD"/>
    <w:rsid w:val="3115045E"/>
    <w:rsid w:val="318B24CE"/>
    <w:rsid w:val="32210EA9"/>
    <w:rsid w:val="324C7EAF"/>
    <w:rsid w:val="32630FC4"/>
    <w:rsid w:val="32CB171C"/>
    <w:rsid w:val="32DA72D9"/>
    <w:rsid w:val="33136C1F"/>
    <w:rsid w:val="333568C0"/>
    <w:rsid w:val="33614230"/>
    <w:rsid w:val="346F257B"/>
    <w:rsid w:val="34871673"/>
    <w:rsid w:val="34963664"/>
    <w:rsid w:val="34B54432"/>
    <w:rsid w:val="34B65AB4"/>
    <w:rsid w:val="353B5BAE"/>
    <w:rsid w:val="35447564"/>
    <w:rsid w:val="358D0F0B"/>
    <w:rsid w:val="36082CD4"/>
    <w:rsid w:val="36390C67"/>
    <w:rsid w:val="367D1D4C"/>
    <w:rsid w:val="372C7136"/>
    <w:rsid w:val="37465815"/>
    <w:rsid w:val="37621F23"/>
    <w:rsid w:val="37B704C1"/>
    <w:rsid w:val="37D03331"/>
    <w:rsid w:val="3818755D"/>
    <w:rsid w:val="388760E5"/>
    <w:rsid w:val="38BB18EB"/>
    <w:rsid w:val="38F417C2"/>
    <w:rsid w:val="39050DB8"/>
    <w:rsid w:val="3930052B"/>
    <w:rsid w:val="39834042"/>
    <w:rsid w:val="3A044DC2"/>
    <w:rsid w:val="3A0B68A2"/>
    <w:rsid w:val="3A166A5F"/>
    <w:rsid w:val="3AA94FFD"/>
    <w:rsid w:val="3AAC3BE1"/>
    <w:rsid w:val="3AF91BA6"/>
    <w:rsid w:val="3B6E37A1"/>
    <w:rsid w:val="3BB17143"/>
    <w:rsid w:val="3C4A72B0"/>
    <w:rsid w:val="3C850B8E"/>
    <w:rsid w:val="3CBB3294"/>
    <w:rsid w:val="3CE138EA"/>
    <w:rsid w:val="3CFC3141"/>
    <w:rsid w:val="3D5567B2"/>
    <w:rsid w:val="3DB72FC9"/>
    <w:rsid w:val="3DF37D79"/>
    <w:rsid w:val="3E171CB9"/>
    <w:rsid w:val="3EB06988"/>
    <w:rsid w:val="3EB968CD"/>
    <w:rsid w:val="3EBE3EE3"/>
    <w:rsid w:val="3F055FB6"/>
    <w:rsid w:val="3F081252"/>
    <w:rsid w:val="3F0F0BE2"/>
    <w:rsid w:val="3F6E3B5B"/>
    <w:rsid w:val="3F9B4224"/>
    <w:rsid w:val="3FA7373C"/>
    <w:rsid w:val="3FAF1A7E"/>
    <w:rsid w:val="40C94DC1"/>
    <w:rsid w:val="41055DF9"/>
    <w:rsid w:val="415353B0"/>
    <w:rsid w:val="41782A6F"/>
    <w:rsid w:val="417968E8"/>
    <w:rsid w:val="41FF4F3E"/>
    <w:rsid w:val="42662B54"/>
    <w:rsid w:val="42695449"/>
    <w:rsid w:val="42ED123B"/>
    <w:rsid w:val="42F223AD"/>
    <w:rsid w:val="4304332A"/>
    <w:rsid w:val="434E0C41"/>
    <w:rsid w:val="43614A2D"/>
    <w:rsid w:val="438576C5"/>
    <w:rsid w:val="43A044FF"/>
    <w:rsid w:val="43EE6B9D"/>
    <w:rsid w:val="449B7970"/>
    <w:rsid w:val="44CD4E80"/>
    <w:rsid w:val="44D02BC2"/>
    <w:rsid w:val="44E421C9"/>
    <w:rsid w:val="44F85C75"/>
    <w:rsid w:val="45943BEF"/>
    <w:rsid w:val="45A73923"/>
    <w:rsid w:val="45E140C1"/>
    <w:rsid w:val="46366A55"/>
    <w:rsid w:val="46511717"/>
    <w:rsid w:val="466B7564"/>
    <w:rsid w:val="471C5C4A"/>
    <w:rsid w:val="473339DE"/>
    <w:rsid w:val="478B4B7E"/>
    <w:rsid w:val="47CA56A6"/>
    <w:rsid w:val="47D005D9"/>
    <w:rsid w:val="47D93B3C"/>
    <w:rsid w:val="487C3180"/>
    <w:rsid w:val="48D37C96"/>
    <w:rsid w:val="48E21116"/>
    <w:rsid w:val="4924528A"/>
    <w:rsid w:val="493354CD"/>
    <w:rsid w:val="497A75A0"/>
    <w:rsid w:val="49952BCA"/>
    <w:rsid w:val="49A81A17"/>
    <w:rsid w:val="49B00845"/>
    <w:rsid w:val="49DC3DB7"/>
    <w:rsid w:val="49F96717"/>
    <w:rsid w:val="49FD0C23"/>
    <w:rsid w:val="4A0F5F3A"/>
    <w:rsid w:val="4A1946C3"/>
    <w:rsid w:val="4A44648C"/>
    <w:rsid w:val="4B48763B"/>
    <w:rsid w:val="4B985ABC"/>
    <w:rsid w:val="4BB02E05"/>
    <w:rsid w:val="4BB548C0"/>
    <w:rsid w:val="4C0575F5"/>
    <w:rsid w:val="4CE0596C"/>
    <w:rsid w:val="4E3B5550"/>
    <w:rsid w:val="4E5E11C6"/>
    <w:rsid w:val="4E807407"/>
    <w:rsid w:val="4E830CA5"/>
    <w:rsid w:val="4F231B40"/>
    <w:rsid w:val="4FCC3F86"/>
    <w:rsid w:val="50047BC4"/>
    <w:rsid w:val="50210776"/>
    <w:rsid w:val="50370D6B"/>
    <w:rsid w:val="506B422D"/>
    <w:rsid w:val="507E34D2"/>
    <w:rsid w:val="50C01D3C"/>
    <w:rsid w:val="512247A5"/>
    <w:rsid w:val="518C6010"/>
    <w:rsid w:val="51DA0BDC"/>
    <w:rsid w:val="5272350A"/>
    <w:rsid w:val="52BD533F"/>
    <w:rsid w:val="52CC2C1B"/>
    <w:rsid w:val="52E87329"/>
    <w:rsid w:val="5334256E"/>
    <w:rsid w:val="534D3EF6"/>
    <w:rsid w:val="54617393"/>
    <w:rsid w:val="54FC355F"/>
    <w:rsid w:val="5512068D"/>
    <w:rsid w:val="552471A3"/>
    <w:rsid w:val="55990DAE"/>
    <w:rsid w:val="55BA1450"/>
    <w:rsid w:val="55CC1183"/>
    <w:rsid w:val="56242D6E"/>
    <w:rsid w:val="56257226"/>
    <w:rsid w:val="56356D29"/>
    <w:rsid w:val="56D952C7"/>
    <w:rsid w:val="56DE0B56"/>
    <w:rsid w:val="57034731"/>
    <w:rsid w:val="576D4F87"/>
    <w:rsid w:val="57877110"/>
    <w:rsid w:val="57DE6F4C"/>
    <w:rsid w:val="57F30C49"/>
    <w:rsid w:val="580C1D0B"/>
    <w:rsid w:val="580C5FE9"/>
    <w:rsid w:val="588879ED"/>
    <w:rsid w:val="595E0345"/>
    <w:rsid w:val="5A47527D"/>
    <w:rsid w:val="5A81253D"/>
    <w:rsid w:val="5AFA5E4B"/>
    <w:rsid w:val="5B1433B1"/>
    <w:rsid w:val="5BDC19F5"/>
    <w:rsid w:val="5C0F2C68"/>
    <w:rsid w:val="5C1E3DBB"/>
    <w:rsid w:val="5C5679F9"/>
    <w:rsid w:val="5CE84AF5"/>
    <w:rsid w:val="5D1458EA"/>
    <w:rsid w:val="5D9E6F62"/>
    <w:rsid w:val="5DF87773"/>
    <w:rsid w:val="5E086AD1"/>
    <w:rsid w:val="5E6103EB"/>
    <w:rsid w:val="5EDD61AF"/>
    <w:rsid w:val="5EEB4428"/>
    <w:rsid w:val="5FFC2306"/>
    <w:rsid w:val="60566219"/>
    <w:rsid w:val="6057789C"/>
    <w:rsid w:val="606F1089"/>
    <w:rsid w:val="60DB04CD"/>
    <w:rsid w:val="60DB227B"/>
    <w:rsid w:val="60EE2F64"/>
    <w:rsid w:val="60FD1D77"/>
    <w:rsid w:val="61045C75"/>
    <w:rsid w:val="61AD1E69"/>
    <w:rsid w:val="61B9080E"/>
    <w:rsid w:val="61EB26C7"/>
    <w:rsid w:val="61F45CEA"/>
    <w:rsid w:val="62265778"/>
    <w:rsid w:val="625C73EB"/>
    <w:rsid w:val="627110E9"/>
    <w:rsid w:val="62A508E7"/>
    <w:rsid w:val="62A74555"/>
    <w:rsid w:val="62AE40EB"/>
    <w:rsid w:val="630A1AD1"/>
    <w:rsid w:val="638B442C"/>
    <w:rsid w:val="63B23767"/>
    <w:rsid w:val="63BE035D"/>
    <w:rsid w:val="63D86F45"/>
    <w:rsid w:val="645667E8"/>
    <w:rsid w:val="64896EBA"/>
    <w:rsid w:val="649317EA"/>
    <w:rsid w:val="64B82FFF"/>
    <w:rsid w:val="65264206"/>
    <w:rsid w:val="65362175"/>
    <w:rsid w:val="65766A16"/>
    <w:rsid w:val="6582360D"/>
    <w:rsid w:val="65A6554D"/>
    <w:rsid w:val="662A7F2C"/>
    <w:rsid w:val="667747F4"/>
    <w:rsid w:val="668C4743"/>
    <w:rsid w:val="66A001EE"/>
    <w:rsid w:val="66AA6977"/>
    <w:rsid w:val="66BB5028"/>
    <w:rsid w:val="66E16111"/>
    <w:rsid w:val="673D77EB"/>
    <w:rsid w:val="677D471F"/>
    <w:rsid w:val="67AA29A7"/>
    <w:rsid w:val="67F16F85"/>
    <w:rsid w:val="685748DD"/>
    <w:rsid w:val="68792AA5"/>
    <w:rsid w:val="689B6EBF"/>
    <w:rsid w:val="6910375D"/>
    <w:rsid w:val="692D1AE1"/>
    <w:rsid w:val="693B5FAC"/>
    <w:rsid w:val="693D2B61"/>
    <w:rsid w:val="697F54EA"/>
    <w:rsid w:val="6985564D"/>
    <w:rsid w:val="698E432E"/>
    <w:rsid w:val="699A2F45"/>
    <w:rsid w:val="69A73642"/>
    <w:rsid w:val="69CE5072"/>
    <w:rsid w:val="6A3273AF"/>
    <w:rsid w:val="6A653528"/>
    <w:rsid w:val="6AC00E5F"/>
    <w:rsid w:val="6AE83F12"/>
    <w:rsid w:val="6AFA59F3"/>
    <w:rsid w:val="6B3B2294"/>
    <w:rsid w:val="6B867A4C"/>
    <w:rsid w:val="6BAC2203"/>
    <w:rsid w:val="6C663340"/>
    <w:rsid w:val="6C891725"/>
    <w:rsid w:val="6CAC766A"/>
    <w:rsid w:val="6DC510A3"/>
    <w:rsid w:val="6DE22867"/>
    <w:rsid w:val="6DF350A8"/>
    <w:rsid w:val="6E645FA5"/>
    <w:rsid w:val="6E820B4A"/>
    <w:rsid w:val="6EB56801"/>
    <w:rsid w:val="6EC151A6"/>
    <w:rsid w:val="6EE80984"/>
    <w:rsid w:val="6F2F65B3"/>
    <w:rsid w:val="6F4F630E"/>
    <w:rsid w:val="6F58461A"/>
    <w:rsid w:val="6FB37179"/>
    <w:rsid w:val="705C4CCE"/>
    <w:rsid w:val="712D08D1"/>
    <w:rsid w:val="713A123F"/>
    <w:rsid w:val="717749B1"/>
    <w:rsid w:val="71BE59CD"/>
    <w:rsid w:val="72A5093A"/>
    <w:rsid w:val="73AD3F4B"/>
    <w:rsid w:val="74046549"/>
    <w:rsid w:val="741B6FF3"/>
    <w:rsid w:val="74364DB1"/>
    <w:rsid w:val="746565D3"/>
    <w:rsid w:val="749935D7"/>
    <w:rsid w:val="74BA3E96"/>
    <w:rsid w:val="74FE759E"/>
    <w:rsid w:val="754D3D81"/>
    <w:rsid w:val="759A405B"/>
    <w:rsid w:val="760616F0"/>
    <w:rsid w:val="76A74C81"/>
    <w:rsid w:val="76EC4D8A"/>
    <w:rsid w:val="77C27899"/>
    <w:rsid w:val="7808174F"/>
    <w:rsid w:val="78192E32"/>
    <w:rsid w:val="788E3BD5"/>
    <w:rsid w:val="78A91184"/>
    <w:rsid w:val="78AD0549"/>
    <w:rsid w:val="78C22246"/>
    <w:rsid w:val="78DB325B"/>
    <w:rsid w:val="79382508"/>
    <w:rsid w:val="799D236B"/>
    <w:rsid w:val="79CE4C1B"/>
    <w:rsid w:val="79E61F64"/>
    <w:rsid w:val="79E81839"/>
    <w:rsid w:val="7A456C8B"/>
    <w:rsid w:val="7AF6230A"/>
    <w:rsid w:val="7B690757"/>
    <w:rsid w:val="7B8E4662"/>
    <w:rsid w:val="7BC57958"/>
    <w:rsid w:val="7C647170"/>
    <w:rsid w:val="7C7750F6"/>
    <w:rsid w:val="7CBC6FAC"/>
    <w:rsid w:val="7D1D0129"/>
    <w:rsid w:val="7D2A660C"/>
    <w:rsid w:val="7DDC7906"/>
    <w:rsid w:val="7E2D63B4"/>
    <w:rsid w:val="7E611BB9"/>
    <w:rsid w:val="7E6E2528"/>
    <w:rsid w:val="7E8458A8"/>
    <w:rsid w:val="7EB97C47"/>
    <w:rsid w:val="7F1B7FBA"/>
    <w:rsid w:val="7F7F0638"/>
    <w:rsid w:val="7F814010"/>
    <w:rsid w:val="7FAA57E2"/>
    <w:rsid w:val="7FE231CE"/>
    <w:rsid w:val="7FF76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等线" w:hAnsi="@等线" w:cs="@等线"/>
      <w:b/>
      <w:bCs/>
      <w:kern w:val="36"/>
      <w:sz w:val="48"/>
      <w:szCs w:val="48"/>
    </w:rPr>
  </w:style>
  <w:style w:type="paragraph" w:styleId="3">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Body Text Indent"/>
    <w:basedOn w:val="1"/>
    <w:next w:val="1"/>
    <w:qFormat/>
    <w:uiPriority w:val="0"/>
    <w:pPr>
      <w:adjustRightInd w:val="0"/>
      <w:spacing w:line="360" w:lineRule="auto"/>
      <w:ind w:firstLine="490"/>
      <w:jc w:val="left"/>
    </w:pPr>
    <w:rPr>
      <w:rFonts w:ascii="宋体" w:hAnsi="宋体"/>
      <w:sz w:val="24"/>
    </w:rPr>
  </w:style>
  <w:style w:type="paragraph" w:styleId="6">
    <w:name w:val="Plain Text"/>
    <w:basedOn w:val="1"/>
    <w:qFormat/>
    <w:uiPriority w:val="99"/>
    <w:pPr>
      <w:spacing w:beforeLines="50" w:afterLines="50" w:line="400" w:lineRule="atLeast"/>
    </w:pPr>
    <w:rPr>
      <w:rFonts w:ascii="宋体" w:hAnsi="Courier New"/>
      <w:kern w:val="0"/>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qFormat/>
    <w:uiPriority w:val="0"/>
    <w:pPr>
      <w:ind w:firstLine="420" w:firstLineChars="100"/>
    </w:p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paragraph" w:customStyle="1" w:styleId="14">
    <w:name w:val="无间隔1"/>
    <w:qFormat/>
    <w:uiPriority w:val="99"/>
    <w:pPr>
      <w:adjustRightInd w:val="0"/>
      <w:snapToGrid w:val="0"/>
    </w:pPr>
    <w:rPr>
      <w:rFonts w:ascii="Tahoma" w:hAnsi="Tahoma" w:eastAsia="宋体" w:cs="Times New Roman"/>
      <w:sz w:val="22"/>
      <w:szCs w:val="22"/>
      <w:lang w:val="en-US" w:eastAsia="zh-CN" w:bidi="ar-SA"/>
    </w:rPr>
  </w:style>
  <w:style w:type="paragraph" w:styleId="15">
    <w:name w:val="List Paragraph"/>
    <w:basedOn w:val="1"/>
    <w:unhideWhenUsed/>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1290</Words>
  <Characters>1460</Characters>
  <Lines>0</Lines>
  <Paragraphs>0</Paragraphs>
  <TotalTime>268</TotalTime>
  <ScaleCrop>false</ScaleCrop>
  <LinksUpToDate>false</LinksUpToDate>
  <CharactersWithSpaces>1551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2022-10-20T05:50:00Z</dcterms:created>
  <dc:creator>Edwin</dc:creator>
  <cp:lastModifiedBy>胡展硕</cp:lastModifiedBy>
  <dcterms:modified xsi:type="dcterms:W3CDTF">2024-04-01T02:53:21Z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B89DFC4EB9EF44C3BE8F1901D229822A_13</vt:lpwstr>
  </property>
</Properties>
</file>