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0"/>
          <w:szCs w:val="30"/>
        </w:rPr>
      </w:pPr>
      <w:r>
        <w:rPr>
          <w:rFonts w:hint="eastAsia"/>
          <w:b/>
          <w:sz w:val="30"/>
          <w:szCs w:val="30"/>
        </w:rPr>
        <w:t>温州职业技术学院瑞安校区图书馆书架采购项目采购需求参数</w:t>
      </w:r>
    </w:p>
    <w:p>
      <w:pPr>
        <w:rPr>
          <w:rFonts w:hint="eastAsia"/>
        </w:rPr>
      </w:pPr>
    </w:p>
    <w:p>
      <w:pPr>
        <w:rPr>
          <w:b/>
          <w:bCs/>
        </w:rPr>
      </w:pPr>
      <w:bookmarkStart w:id="0" w:name="_Toc27403"/>
      <w:bookmarkStart w:id="1" w:name="_Toc20060"/>
      <w:bookmarkStart w:id="2" w:name="_Toc19917"/>
      <w:bookmarkStart w:id="3" w:name="_Toc347"/>
      <w:r>
        <w:rPr>
          <w:rFonts w:hint="eastAsia"/>
          <w:b/>
          <w:bCs/>
        </w:rPr>
        <w:t>一、三楼全钢书架采购清单</w:t>
      </w:r>
      <w:bookmarkEnd w:id="0"/>
      <w:bookmarkEnd w:id="1"/>
      <w:bookmarkEnd w:id="2"/>
    </w:p>
    <w:tbl>
      <w:tblPr>
        <w:tblStyle w:val="4"/>
        <w:tblW w:w="5087" w:type="pct"/>
        <w:jc w:val="center"/>
        <w:tblLayout w:type="fixed"/>
        <w:tblCellMar>
          <w:top w:w="0" w:type="dxa"/>
          <w:left w:w="108" w:type="dxa"/>
          <w:bottom w:w="0" w:type="dxa"/>
          <w:right w:w="108" w:type="dxa"/>
        </w:tblCellMar>
      </w:tblPr>
      <w:tblGrid>
        <w:gridCol w:w="422"/>
        <w:gridCol w:w="1138"/>
        <w:gridCol w:w="2128"/>
        <w:gridCol w:w="565"/>
        <w:gridCol w:w="709"/>
        <w:gridCol w:w="1136"/>
        <w:gridCol w:w="1176"/>
        <w:gridCol w:w="1396"/>
      </w:tblGrid>
      <w:tr>
        <w:tblPrEx>
          <w:tblCellMar>
            <w:top w:w="0" w:type="dxa"/>
            <w:left w:w="108" w:type="dxa"/>
            <w:bottom w:w="0" w:type="dxa"/>
            <w:right w:w="108" w:type="dxa"/>
          </w:tblCellMar>
        </w:tblPrEx>
        <w:trPr>
          <w:trHeight w:val="90" w:hRule="atLeast"/>
          <w:jc w:val="center"/>
        </w:trPr>
        <w:tc>
          <w:tcPr>
            <w:tcW w:w="244" w:type="pct"/>
            <w:tcBorders>
              <w:top w:val="single" w:color="auto" w:sz="4" w:space="0"/>
              <w:left w:val="single" w:color="auto" w:sz="4" w:space="0"/>
              <w:bottom w:val="single" w:color="000000" w:sz="4" w:space="0"/>
              <w:right w:val="single" w:color="000000" w:sz="4" w:space="0"/>
            </w:tcBorders>
            <w:shd w:val="clear" w:color="auto" w:fill="auto"/>
            <w:noWrap/>
            <w:vAlign w:val="center"/>
          </w:tcPr>
          <w:p>
            <w:pPr>
              <w:rPr>
                <w:b/>
                <w:bCs/>
              </w:rPr>
            </w:pPr>
            <w:r>
              <w:rPr>
                <w:rFonts w:hint="eastAsia"/>
                <w:b/>
                <w:bCs/>
              </w:rPr>
              <w:t>序号</w:t>
            </w:r>
          </w:p>
        </w:tc>
        <w:tc>
          <w:tcPr>
            <w:tcW w:w="65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rPr>
                <w:b/>
                <w:bCs/>
              </w:rPr>
            </w:pPr>
            <w:r>
              <w:rPr>
                <w:rFonts w:hint="eastAsia"/>
                <w:b/>
                <w:bCs/>
              </w:rPr>
              <w:t>设备名称</w:t>
            </w:r>
          </w:p>
        </w:tc>
        <w:tc>
          <w:tcPr>
            <w:tcW w:w="122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rPr>
                <w:b/>
                <w:bCs/>
              </w:rPr>
            </w:pPr>
            <w:r>
              <w:rPr>
                <w:rFonts w:hint="eastAsia"/>
                <w:b/>
                <w:bCs/>
              </w:rPr>
              <w:t>规格（mm）</w:t>
            </w:r>
          </w:p>
          <w:p>
            <w:pPr>
              <w:rPr>
                <w:b/>
                <w:bCs/>
              </w:rPr>
            </w:pPr>
            <w:r>
              <w:rPr>
                <w:rFonts w:hint="eastAsia"/>
                <w:b/>
                <w:bCs/>
              </w:rPr>
              <w:t>宽（W）*深（D）*高（H）</w:t>
            </w:r>
          </w:p>
        </w:tc>
        <w:tc>
          <w:tcPr>
            <w:tcW w:w="32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rPr>
                <w:b/>
                <w:bCs/>
              </w:rPr>
            </w:pPr>
            <w:r>
              <w:rPr>
                <w:rFonts w:hint="eastAsia"/>
                <w:b/>
                <w:bCs/>
              </w:rPr>
              <w:t>单位</w:t>
            </w:r>
          </w:p>
        </w:tc>
        <w:tc>
          <w:tcPr>
            <w:tcW w:w="40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rPr>
                <w:b/>
                <w:bCs/>
              </w:rPr>
            </w:pPr>
            <w:r>
              <w:rPr>
                <w:rFonts w:hint="eastAsia"/>
                <w:b/>
                <w:bCs/>
              </w:rPr>
              <w:t>数量</w:t>
            </w:r>
          </w:p>
        </w:tc>
        <w:tc>
          <w:tcPr>
            <w:tcW w:w="655"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b/>
                <w:bCs/>
              </w:rPr>
            </w:pPr>
            <w:r>
              <w:rPr>
                <w:rFonts w:hint="eastAsia"/>
                <w:b/>
                <w:bCs/>
              </w:rPr>
              <w:t>数量合计</w:t>
            </w:r>
          </w:p>
          <w:p>
            <w:pPr>
              <w:jc w:val="center"/>
              <w:rPr>
                <w:b/>
                <w:bCs/>
              </w:rPr>
            </w:pPr>
            <w:r>
              <w:rPr>
                <w:rFonts w:hint="eastAsia"/>
                <w:b/>
                <w:bCs/>
              </w:rPr>
              <w:t>（组）</w:t>
            </w:r>
          </w:p>
        </w:tc>
        <w:tc>
          <w:tcPr>
            <w:tcW w:w="67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b/>
                <w:bCs/>
              </w:rPr>
            </w:pPr>
            <w:r>
              <w:rPr>
                <w:rFonts w:hint="eastAsia"/>
                <w:b/>
                <w:bCs/>
              </w:rPr>
              <w:t>采购金额</w:t>
            </w:r>
          </w:p>
          <w:p>
            <w:pPr>
              <w:jc w:val="center"/>
              <w:rPr>
                <w:b/>
                <w:bCs/>
              </w:rPr>
            </w:pPr>
            <w:r>
              <w:rPr>
                <w:rFonts w:hint="eastAsia"/>
                <w:b/>
                <w:bCs/>
              </w:rPr>
              <w:t>（元）</w:t>
            </w:r>
          </w:p>
        </w:tc>
        <w:tc>
          <w:tcPr>
            <w:tcW w:w="802" w:type="pct"/>
            <w:tcBorders>
              <w:top w:val="single" w:color="auto" w:sz="4" w:space="0"/>
              <w:left w:val="single" w:color="000000" w:sz="4" w:space="0"/>
              <w:bottom w:val="single" w:color="000000" w:sz="4" w:space="0"/>
              <w:right w:val="single" w:color="auto" w:sz="4" w:space="0"/>
            </w:tcBorders>
            <w:shd w:val="clear" w:color="auto" w:fill="auto"/>
            <w:vAlign w:val="center"/>
          </w:tcPr>
          <w:p>
            <w:pPr>
              <w:rPr>
                <w:b/>
                <w:bCs/>
              </w:rPr>
            </w:pPr>
            <w:r>
              <w:rPr>
                <w:rFonts w:hint="eastAsia"/>
                <w:b/>
                <w:bCs/>
              </w:rPr>
              <w:t>备注</w:t>
            </w:r>
          </w:p>
        </w:tc>
      </w:tr>
      <w:tr>
        <w:tblPrEx>
          <w:tblCellMar>
            <w:top w:w="0" w:type="dxa"/>
            <w:left w:w="108" w:type="dxa"/>
            <w:bottom w:w="0" w:type="dxa"/>
            <w:right w:w="108" w:type="dxa"/>
          </w:tblCellMar>
        </w:tblPrEx>
        <w:trPr>
          <w:trHeight w:val="90" w:hRule="atLeast"/>
          <w:jc w:val="center"/>
        </w:trPr>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1</w:t>
            </w:r>
          </w:p>
        </w:tc>
        <w:tc>
          <w:tcPr>
            <w:tcW w:w="656" w:type="pct"/>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全钢书架</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W4500*D450*H2000</w:t>
            </w:r>
          </w:p>
          <w:p>
            <w:r>
              <w:rPr>
                <w:rFonts w:hint="eastAsia"/>
              </w:rPr>
              <w:t>5组1列 共4列</w:t>
            </w:r>
          </w:p>
        </w:tc>
        <w:tc>
          <w:tcPr>
            <w:tcW w:w="326" w:type="pct"/>
            <w:tcBorders>
              <w:top w:val="single" w:color="000000"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组</w:t>
            </w:r>
          </w:p>
        </w:tc>
        <w:tc>
          <w:tcPr>
            <w:tcW w:w="409" w:type="pct"/>
            <w:tcBorders>
              <w:top w:val="single" w:color="000000"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20</w:t>
            </w:r>
          </w:p>
        </w:tc>
        <w:tc>
          <w:tcPr>
            <w:tcW w:w="655" w:type="pct"/>
            <w:vMerge w:val="restart"/>
            <w:tcBorders>
              <w:top w:val="single" w:color="000000"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128</w:t>
            </w:r>
          </w:p>
        </w:tc>
        <w:tc>
          <w:tcPr>
            <w:tcW w:w="678" w:type="pct"/>
            <w:vMerge w:val="restart"/>
            <w:tcBorders>
              <w:top w:val="single" w:color="000000" w:sz="4" w:space="0"/>
              <w:left w:val="single" w:color="auto" w:sz="4" w:space="0"/>
              <w:bottom w:val="single" w:color="auto" w:sz="4" w:space="0"/>
              <w:right w:val="single" w:color="auto" w:sz="4" w:space="0"/>
            </w:tcBorders>
            <w:shd w:val="clear" w:color="auto" w:fill="auto"/>
            <w:noWrap/>
            <w:vAlign w:val="center"/>
          </w:tcPr>
          <w:p>
            <w:r>
              <w:rPr>
                <w:rFonts w:hint="eastAsia"/>
              </w:rPr>
              <w:t>69760.00</w:t>
            </w:r>
          </w:p>
        </w:tc>
        <w:tc>
          <w:tcPr>
            <w:tcW w:w="802" w:type="pct"/>
            <w:vMerge w:val="restart"/>
            <w:tcBorders>
              <w:top w:val="single" w:color="000000" w:sz="4" w:space="0"/>
              <w:left w:val="single" w:color="auto" w:sz="4" w:space="0"/>
              <w:bottom w:val="single" w:color="auto" w:sz="4" w:space="0"/>
              <w:right w:val="single" w:color="auto" w:sz="4" w:space="0"/>
            </w:tcBorders>
            <w:shd w:val="clear" w:color="auto" w:fill="auto"/>
            <w:vAlign w:val="center"/>
          </w:tcPr>
          <w:p>
            <w:r>
              <w:rPr>
                <w:rFonts w:hint="eastAsia"/>
              </w:rPr>
              <w:t>每组书架规格为： W900*D450*H2000（mm)， 双面6层 ，每组书架须配备12个钢制书立。</w:t>
            </w:r>
          </w:p>
        </w:tc>
      </w:tr>
      <w:tr>
        <w:tblPrEx>
          <w:tblCellMar>
            <w:top w:w="0" w:type="dxa"/>
            <w:left w:w="108" w:type="dxa"/>
            <w:bottom w:w="0" w:type="dxa"/>
            <w:right w:w="108" w:type="dxa"/>
          </w:tblCellMar>
        </w:tblPrEx>
        <w:trPr>
          <w:trHeight w:val="90" w:hRule="atLeast"/>
          <w:jc w:val="center"/>
        </w:trPr>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2</w:t>
            </w:r>
          </w:p>
        </w:tc>
        <w:tc>
          <w:tcPr>
            <w:tcW w:w="656" w:type="pct"/>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全钢书架</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W6300*D450*H2000</w:t>
            </w:r>
          </w:p>
          <w:p>
            <w:r>
              <w:rPr>
                <w:rFonts w:hint="eastAsia"/>
              </w:rPr>
              <w:t>7组1列 共4列</w:t>
            </w:r>
          </w:p>
        </w:tc>
        <w:tc>
          <w:tcPr>
            <w:tcW w:w="326" w:type="pct"/>
            <w:tcBorders>
              <w:top w:val="single" w:color="auto" w:sz="4" w:space="0"/>
              <w:left w:val="single" w:color="auto" w:sz="4" w:space="0"/>
              <w:right w:val="single" w:color="auto" w:sz="4" w:space="0"/>
            </w:tcBorders>
            <w:shd w:val="clear" w:color="auto" w:fill="auto"/>
            <w:noWrap/>
            <w:vAlign w:val="center"/>
          </w:tcPr>
          <w:p>
            <w:pPr>
              <w:jc w:val="center"/>
            </w:pPr>
            <w:r>
              <w:rPr>
                <w:rFonts w:hint="eastAsia"/>
              </w:rPr>
              <w:t>组</w:t>
            </w:r>
          </w:p>
        </w:tc>
        <w:tc>
          <w:tcPr>
            <w:tcW w:w="409" w:type="pct"/>
            <w:tcBorders>
              <w:top w:val="single" w:color="auto" w:sz="4" w:space="0"/>
              <w:left w:val="single" w:color="auto" w:sz="4" w:space="0"/>
              <w:right w:val="single" w:color="auto" w:sz="4" w:space="0"/>
            </w:tcBorders>
            <w:shd w:val="clear" w:color="auto" w:fill="auto"/>
            <w:noWrap/>
            <w:vAlign w:val="center"/>
          </w:tcPr>
          <w:p>
            <w:pPr>
              <w:jc w:val="center"/>
            </w:pPr>
            <w:r>
              <w:rPr>
                <w:rFonts w:hint="eastAsia"/>
              </w:rPr>
              <w:t>28</w:t>
            </w:r>
          </w:p>
        </w:tc>
        <w:tc>
          <w:tcPr>
            <w:tcW w:w="655" w:type="pct"/>
            <w:vMerge w:val="continue"/>
            <w:tcBorders>
              <w:top w:val="single" w:color="auto" w:sz="4" w:space="0"/>
              <w:left w:val="single" w:color="auto" w:sz="4" w:space="0"/>
              <w:right w:val="single" w:color="auto" w:sz="4" w:space="0"/>
            </w:tcBorders>
            <w:shd w:val="clear" w:color="auto" w:fill="auto"/>
            <w:noWrap/>
            <w:vAlign w:val="center"/>
          </w:tcPr>
          <w:p/>
        </w:tc>
        <w:tc>
          <w:tcPr>
            <w:tcW w:w="678" w:type="pct"/>
            <w:vMerge w:val="continue"/>
            <w:tcBorders>
              <w:top w:val="single" w:color="auto" w:sz="4" w:space="0"/>
              <w:left w:val="single" w:color="auto" w:sz="4" w:space="0"/>
              <w:right w:val="single" w:color="auto" w:sz="4" w:space="0"/>
            </w:tcBorders>
            <w:shd w:val="clear" w:color="auto" w:fill="auto"/>
            <w:noWrap/>
            <w:vAlign w:val="center"/>
          </w:tcPr>
          <w:p/>
        </w:tc>
        <w:tc>
          <w:tcPr>
            <w:tcW w:w="802" w:type="pct"/>
            <w:vMerge w:val="continue"/>
            <w:tcBorders>
              <w:top w:val="single" w:color="auto" w:sz="4" w:space="0"/>
              <w:left w:val="single" w:color="auto" w:sz="4" w:space="0"/>
              <w:right w:val="single" w:color="auto" w:sz="4" w:space="0"/>
            </w:tcBorders>
            <w:shd w:val="clear" w:color="auto" w:fill="auto"/>
            <w:vAlign w:val="center"/>
          </w:tcPr>
          <w:p/>
        </w:tc>
      </w:tr>
      <w:tr>
        <w:tblPrEx>
          <w:tblCellMar>
            <w:top w:w="0" w:type="dxa"/>
            <w:left w:w="108" w:type="dxa"/>
            <w:bottom w:w="0" w:type="dxa"/>
            <w:right w:w="108" w:type="dxa"/>
          </w:tblCellMar>
        </w:tblPrEx>
        <w:trPr>
          <w:trHeight w:val="90" w:hRule="atLeast"/>
          <w:jc w:val="center"/>
        </w:trPr>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3</w:t>
            </w:r>
          </w:p>
        </w:tc>
        <w:tc>
          <w:tcPr>
            <w:tcW w:w="656" w:type="pct"/>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全钢书架</w:t>
            </w:r>
          </w:p>
        </w:tc>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W7200*D450*H2000</w:t>
            </w:r>
          </w:p>
          <w:p>
            <w:r>
              <w:rPr>
                <w:rFonts w:hint="eastAsia"/>
              </w:rPr>
              <w:t>8组1列 共10列</w:t>
            </w:r>
          </w:p>
        </w:tc>
        <w:tc>
          <w:tcPr>
            <w:tcW w:w="326" w:type="pct"/>
            <w:tcBorders>
              <w:top w:val="single" w:color="auto" w:sz="4" w:space="0"/>
              <w:left w:val="single" w:color="auto" w:sz="4" w:space="0"/>
              <w:right w:val="single" w:color="auto" w:sz="4" w:space="0"/>
            </w:tcBorders>
            <w:shd w:val="clear" w:color="auto" w:fill="auto"/>
            <w:noWrap/>
            <w:vAlign w:val="center"/>
          </w:tcPr>
          <w:p>
            <w:pPr>
              <w:jc w:val="center"/>
            </w:pPr>
            <w:r>
              <w:rPr>
                <w:rFonts w:hint="eastAsia"/>
              </w:rPr>
              <w:t>组</w:t>
            </w:r>
          </w:p>
        </w:tc>
        <w:tc>
          <w:tcPr>
            <w:tcW w:w="409" w:type="pct"/>
            <w:tcBorders>
              <w:top w:val="single" w:color="auto" w:sz="4" w:space="0"/>
              <w:left w:val="single" w:color="auto" w:sz="4" w:space="0"/>
              <w:right w:val="single" w:color="auto" w:sz="4" w:space="0"/>
            </w:tcBorders>
            <w:shd w:val="clear" w:color="auto" w:fill="auto"/>
            <w:noWrap/>
            <w:vAlign w:val="center"/>
          </w:tcPr>
          <w:p>
            <w:pPr>
              <w:jc w:val="center"/>
            </w:pPr>
            <w:r>
              <w:rPr>
                <w:rFonts w:hint="eastAsia"/>
              </w:rPr>
              <w:t>80</w:t>
            </w:r>
          </w:p>
        </w:tc>
        <w:tc>
          <w:tcPr>
            <w:tcW w:w="655" w:type="pct"/>
            <w:vMerge w:val="continue"/>
            <w:tcBorders>
              <w:left w:val="single" w:color="auto" w:sz="4" w:space="0"/>
              <w:right w:val="single" w:color="auto" w:sz="4" w:space="0"/>
            </w:tcBorders>
            <w:shd w:val="clear" w:color="auto" w:fill="auto"/>
            <w:noWrap/>
            <w:vAlign w:val="center"/>
          </w:tcPr>
          <w:p/>
        </w:tc>
        <w:tc>
          <w:tcPr>
            <w:tcW w:w="678" w:type="pct"/>
            <w:vMerge w:val="continue"/>
            <w:tcBorders>
              <w:left w:val="single" w:color="auto" w:sz="4" w:space="0"/>
              <w:right w:val="single" w:color="auto" w:sz="4" w:space="0"/>
            </w:tcBorders>
            <w:shd w:val="clear" w:color="auto" w:fill="auto"/>
            <w:noWrap/>
            <w:vAlign w:val="center"/>
          </w:tcPr>
          <w:p/>
        </w:tc>
        <w:tc>
          <w:tcPr>
            <w:tcW w:w="802" w:type="pct"/>
            <w:vMerge w:val="continue"/>
            <w:tcBorders>
              <w:left w:val="single" w:color="auto" w:sz="4" w:space="0"/>
              <w:right w:val="single" w:color="auto" w:sz="4" w:space="0"/>
            </w:tcBorders>
            <w:shd w:val="clear" w:color="auto" w:fill="auto"/>
            <w:vAlign w:val="center"/>
          </w:tcPr>
          <w:p/>
        </w:tc>
      </w:tr>
      <w:tr>
        <w:tblPrEx>
          <w:tblCellMar>
            <w:top w:w="0" w:type="dxa"/>
            <w:left w:w="108" w:type="dxa"/>
            <w:bottom w:w="0" w:type="dxa"/>
            <w:right w:w="108" w:type="dxa"/>
          </w:tblCellMar>
        </w:tblPrEx>
        <w:trPr>
          <w:trHeight w:val="808" w:hRule="atLeast"/>
          <w:jc w:val="center"/>
        </w:trPr>
        <w:tc>
          <w:tcPr>
            <w:tcW w:w="90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b/>
                <w:bCs/>
              </w:rPr>
            </w:pPr>
            <w:r>
              <w:rPr>
                <w:rFonts w:hint="eastAsia"/>
                <w:b/>
                <w:bCs/>
              </w:rPr>
              <w:t>总计：</w:t>
            </w:r>
          </w:p>
        </w:tc>
        <w:tc>
          <w:tcPr>
            <w:tcW w:w="4100" w:type="pct"/>
            <w:gridSpan w:val="6"/>
            <w:tcBorders>
              <w:top w:val="single" w:color="auto" w:sz="4" w:space="0"/>
              <w:bottom w:val="single" w:color="auto" w:sz="4" w:space="0"/>
              <w:right w:val="single" w:color="auto" w:sz="4" w:space="0"/>
            </w:tcBorders>
            <w:shd w:val="clear" w:color="auto" w:fill="auto"/>
            <w:vAlign w:val="center"/>
          </w:tcPr>
          <w:p>
            <w:pPr>
              <w:widowControl/>
              <w:rPr>
                <w:b/>
              </w:rPr>
            </w:pPr>
            <w:r>
              <w:rPr>
                <w:b/>
              </w:rPr>
              <w:t>人民币</w:t>
            </w:r>
            <w:r>
              <w:rPr>
                <w:rFonts w:hint="eastAsia"/>
                <w:b/>
              </w:rPr>
              <w:t>（大写）：</w:t>
            </w:r>
            <w:r>
              <w:rPr>
                <w:b/>
              </w:rPr>
              <w:t>陆万玖仟柒佰陆拾元整</w:t>
            </w:r>
            <w:r>
              <w:rPr>
                <w:rFonts w:hint="eastAsia"/>
                <w:b/>
              </w:rPr>
              <w:t xml:space="preserve">    小写金额：69760.00元</w:t>
            </w:r>
          </w:p>
        </w:tc>
      </w:tr>
    </w:tbl>
    <w:p>
      <w:r>
        <w:rPr>
          <w:rFonts w:hint="eastAsia"/>
        </w:rPr>
        <w:br w:type="page"/>
      </w:r>
    </w:p>
    <w:p>
      <w:pPr>
        <w:numPr>
          <w:ilvl w:val="0"/>
          <w:numId w:val="1"/>
        </w:numPr>
        <w:rPr>
          <w:b/>
          <w:bCs/>
        </w:rPr>
      </w:pPr>
      <w:bookmarkStart w:id="4" w:name="_Toc29910"/>
      <w:r>
        <w:rPr>
          <w:rFonts w:hint="eastAsia"/>
          <w:b/>
          <w:bCs/>
        </w:rPr>
        <w:t>三楼全钢书架平面布置图</w:t>
      </w:r>
      <w:bookmarkEnd w:id="4"/>
    </w:p>
    <w:p>
      <w:pPr>
        <w:numPr>
          <w:ilvl w:val="0"/>
          <w:numId w:val="2"/>
        </w:numPr>
        <w:rPr>
          <w:b/>
          <w:bCs/>
        </w:rPr>
      </w:pPr>
      <w:bookmarkStart w:id="5" w:name="_Toc28554"/>
      <w:r>
        <w:rPr>
          <w:rFonts w:hint="eastAsia"/>
          <w:b/>
          <w:bCs/>
        </w:rPr>
        <w:t>三楼全钢书架平面布置图</w:t>
      </w:r>
      <w:bookmarkEnd w:id="5"/>
    </w:p>
    <w:p>
      <w:r>
        <w:rPr>
          <w:rFonts w:hint="eastAsia"/>
        </w:rPr>
        <w:drawing>
          <wp:inline distT="0" distB="0" distL="114300" distR="114300">
            <wp:extent cx="8304530" cy="5871210"/>
            <wp:effectExtent l="0" t="0" r="15240" b="1270"/>
            <wp:docPr id="7" name="图片 7" descr="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三"/>
                    <pic:cNvPicPr>
                      <a:picLocks noChangeAspect="1"/>
                    </pic:cNvPicPr>
                  </pic:nvPicPr>
                  <pic:blipFill>
                    <a:blip r:embed="rId4"/>
                    <a:stretch>
                      <a:fillRect/>
                    </a:stretch>
                  </pic:blipFill>
                  <pic:spPr>
                    <a:xfrm rot="16200000">
                      <a:off x="0" y="0"/>
                      <a:ext cx="8304530" cy="5871210"/>
                    </a:xfrm>
                    <a:prstGeom prst="rect">
                      <a:avLst/>
                    </a:prstGeom>
                  </pic:spPr>
                </pic:pic>
              </a:graphicData>
            </a:graphic>
          </wp:inline>
        </w:drawing>
      </w:r>
    </w:p>
    <w:p>
      <w:pPr>
        <w:numPr>
          <w:ilvl w:val="0"/>
          <w:numId w:val="3"/>
        </w:numPr>
        <w:rPr>
          <w:b/>
          <w:bCs/>
        </w:rPr>
      </w:pPr>
      <w:bookmarkStart w:id="6" w:name="_Toc25657"/>
      <w:r>
        <w:rPr>
          <w:rFonts w:hint="eastAsia"/>
          <w:b/>
          <w:bCs/>
        </w:rPr>
        <w:t>三楼全钢书架技术参数要求</w:t>
      </w:r>
      <w:bookmarkEnd w:id="3"/>
      <w:r>
        <w:rPr>
          <w:rFonts w:hint="eastAsia"/>
          <w:b/>
          <w:bCs/>
        </w:rPr>
        <w:t>及性能要求</w:t>
      </w:r>
      <w:bookmarkEnd w:id="6"/>
    </w:p>
    <w:p>
      <w:pPr>
        <w:rPr>
          <w:b/>
          <w:bCs/>
        </w:rPr>
      </w:pPr>
      <w:bookmarkStart w:id="7" w:name="_Toc12800"/>
      <w:bookmarkStart w:id="8" w:name="_Toc2622"/>
      <w:r>
        <w:rPr>
          <w:rFonts w:hint="eastAsia"/>
          <w:b/>
          <w:bCs/>
        </w:rPr>
        <w:t>（二）全钢书架技术参数及性能要求</w:t>
      </w:r>
      <w:bookmarkEnd w:id="7"/>
      <w:bookmarkEnd w:id="8"/>
    </w:p>
    <w:p>
      <w:pPr>
        <w:rPr>
          <w:b/>
          <w:bCs/>
        </w:rPr>
      </w:pPr>
      <w:bookmarkStart w:id="9" w:name="_Toc31690"/>
      <w:bookmarkStart w:id="10" w:name="_Toc3960"/>
      <w:bookmarkStart w:id="11" w:name="_Toc30764"/>
      <w:bookmarkStart w:id="12" w:name="_Toc3656"/>
      <w:bookmarkStart w:id="13" w:name="_Toc13480"/>
      <w:bookmarkStart w:id="14" w:name="_Toc24356"/>
      <w:bookmarkStart w:id="15" w:name="_Toc23781"/>
      <w:r>
        <w:rPr>
          <w:rFonts w:hint="eastAsia"/>
          <w:b/>
          <w:bCs/>
        </w:rPr>
        <w:t>1、全钢书架结构要求</w:t>
      </w:r>
      <w:bookmarkEnd w:id="9"/>
      <w:bookmarkEnd w:id="10"/>
      <w:bookmarkEnd w:id="11"/>
      <w:bookmarkEnd w:id="12"/>
      <w:bookmarkEnd w:id="13"/>
    </w:p>
    <w:p>
      <w:r>
        <w:rPr>
          <w:rFonts w:hint="eastAsia"/>
        </w:rPr>
        <w:t>（1）架体为双柱式双面结构，稳定性能强。</w:t>
      </w:r>
    </w:p>
    <w:p>
      <w:r>
        <w:rPr>
          <w:rFonts w:hint="eastAsia"/>
        </w:rPr>
        <w:t>（2）书架架体主要由（包括立柱、挂板、挡棒、层板、顶板、底脚）等零部件组成。</w:t>
      </w:r>
    </w:p>
    <w:p>
      <w:pPr>
        <w:rPr>
          <w:b/>
          <w:bCs/>
        </w:rPr>
      </w:pPr>
      <w:bookmarkStart w:id="16" w:name="_Toc6683"/>
      <w:bookmarkStart w:id="17" w:name="_Toc9712"/>
      <w:bookmarkStart w:id="18" w:name="_Toc7135"/>
      <w:bookmarkStart w:id="19" w:name="_Toc21035"/>
      <w:r>
        <w:rPr>
          <w:rFonts w:hint="eastAsia"/>
          <w:b/>
          <w:bCs/>
        </w:rPr>
        <w:t>2、项目执行标准</w:t>
      </w:r>
      <w:bookmarkEnd w:id="14"/>
      <w:bookmarkEnd w:id="15"/>
      <w:bookmarkEnd w:id="16"/>
      <w:bookmarkEnd w:id="17"/>
      <w:bookmarkEnd w:id="18"/>
      <w:bookmarkEnd w:id="19"/>
    </w:p>
    <w:p>
      <w:r>
        <w:rPr>
          <w:rFonts w:hint="eastAsia"/>
        </w:rPr>
        <w:t>本项目执行但不限于如下国家标准及相关行业技术规范(若有最新的国家标准或行业规范出台，以最新的为准)：</w:t>
      </w:r>
    </w:p>
    <w:p>
      <w:bookmarkStart w:id="20" w:name="_Toc21640"/>
      <w:r>
        <w:rPr>
          <w:rFonts w:hint="eastAsia"/>
        </w:rPr>
        <w:t>（1）GB/T3325-2024《金属家具通用技术条件》</w:t>
      </w:r>
    </w:p>
    <w:p>
      <w:r>
        <w:rPr>
          <w:rFonts w:hint="eastAsia"/>
        </w:rPr>
        <w:t>（2）GB/T</w:t>
      </w:r>
      <w:r>
        <w:rPr>
          <w:rFonts w:hint="eastAsia"/>
          <w:bCs/>
        </w:rPr>
        <w:t>GB/T13667.1-2015</w:t>
      </w:r>
      <w:r>
        <w:rPr>
          <w:rFonts w:hint="eastAsia"/>
        </w:rPr>
        <w:t>《钢制书架 第1部分：单、复柱书架》</w:t>
      </w:r>
    </w:p>
    <w:p>
      <w:r>
        <w:rPr>
          <w:rFonts w:hint="eastAsia"/>
        </w:rPr>
        <w:t>（3）GB8624-2012《建筑材料及制品燃烧性能分级》</w:t>
      </w:r>
    </w:p>
    <w:p>
      <w:r>
        <w:rPr>
          <w:rFonts w:hint="eastAsia"/>
        </w:rPr>
        <w:t>（4）GB/T35607-2024《绿色产品评价 家具》</w:t>
      </w:r>
    </w:p>
    <w:p>
      <w:r>
        <w:rPr>
          <w:rFonts w:hint="eastAsia"/>
        </w:rPr>
        <w:t>（5）GB/T5213-2019《冷扎低碳钢板及钢带》</w:t>
      </w:r>
    </w:p>
    <w:p>
      <w:r>
        <w:rPr>
          <w:rFonts w:hint="eastAsia"/>
        </w:rPr>
        <w:t>（6）GB/T21866-2008《抗菌涂料（漆膜）抗菌性测定法和抗菌效果》</w:t>
      </w:r>
    </w:p>
    <w:p>
      <w:r>
        <w:rPr>
          <w:rFonts w:hint="eastAsia"/>
        </w:rPr>
        <w:t>（7）QB/T4371-2012《家具抗菌性能的评价》</w:t>
      </w:r>
    </w:p>
    <w:p>
      <w:bookmarkStart w:id="21" w:name="_Toc27415"/>
      <w:r>
        <w:rPr>
          <w:rFonts w:hint="eastAsia"/>
        </w:rPr>
        <w:t>（8）GB18584-2001《室内装饰装修材料 木家具中有害物质限量》</w:t>
      </w:r>
      <w:bookmarkEnd w:id="21"/>
    </w:p>
    <w:p>
      <w:pPr>
        <w:rPr>
          <w:b/>
          <w:bCs/>
        </w:rPr>
      </w:pPr>
      <w:bookmarkStart w:id="22" w:name="_Toc28809"/>
      <w:bookmarkStart w:id="23" w:name="_Toc2095"/>
      <w:bookmarkStart w:id="24" w:name="_Toc7098"/>
      <w:bookmarkStart w:id="25" w:name="_Toc28342"/>
      <w:bookmarkStart w:id="26" w:name="_Toc11901"/>
      <w:r>
        <w:rPr>
          <w:rFonts w:hint="eastAsia"/>
          <w:b/>
          <w:bCs/>
        </w:rPr>
        <w:t>3、全钢书架架体技术参数</w:t>
      </w:r>
      <w:bookmarkEnd w:id="20"/>
      <w:bookmarkEnd w:id="22"/>
      <w:bookmarkEnd w:id="23"/>
      <w:bookmarkEnd w:id="24"/>
      <w:bookmarkEnd w:id="25"/>
      <w:bookmarkEnd w:id="26"/>
    </w:p>
    <w:p>
      <w:r>
        <w:rPr>
          <w:rFonts w:hint="eastAsia"/>
          <w:b/>
          <w:bCs/>
        </w:rPr>
        <w:t>（1） 底脚:</w:t>
      </w:r>
      <w:r>
        <w:rPr>
          <w:rFonts w:hint="eastAsia"/>
        </w:rPr>
        <w:t>采用≥1.5mm优质热轧钢板，</w:t>
      </w:r>
      <w:r>
        <w:rPr>
          <w:rFonts w:hint="eastAsia"/>
          <w:bCs/>
        </w:rPr>
        <w:t>U型槽结构一次成型，高度≥100mm，上下双翻边加强</w:t>
      </w:r>
      <w:r>
        <w:rPr>
          <w:rFonts w:hint="eastAsia"/>
        </w:rPr>
        <w:t>。</w:t>
      </w:r>
    </w:p>
    <w:p>
      <w:r>
        <w:rPr>
          <w:rFonts w:hint="eastAsia"/>
          <w:b/>
          <w:bCs/>
        </w:rPr>
        <w:t>（2）压筋立柱：</w:t>
      </w:r>
      <w:r>
        <w:rPr>
          <w:rFonts w:hint="eastAsia"/>
        </w:rPr>
        <w:t>采用≥1.5mm优质冷轧钢板一次滚压成型，立柱截面尺寸50*39mm，允许尺寸公差±0.5mm。立柱正面压双圆筋，圆筋尺寸为R1.5mm，允许尺寸公差±1mm，筋到筋尺寸为21mm，允许尺寸公差±1mm。两侧面均匀冲有一排挂钩孔，孔尺4*30mm，孔中心距50mm，允许尺寸公差±0.5mm，层数和间距可按需要调整。压筋立柱外形美观，结构新颖，承重能力强，钢性足。★立柱：产品符合GB/T226-2015、GB/T228.2、GB/T 6742、IEC 62631-3-2、GB/T6739、GB/T9286标准要求。宏观金相符合要求，无可见的疏松、气泡折夹杂、叠、裂纹等缺陷；弯曲试验2mm、粗糙度≤0.307μm、表面电阻率≥2.3*10</w:t>
      </w:r>
      <w:r>
        <w:rPr>
          <w:rFonts w:hint="eastAsia"/>
          <w:vertAlign w:val="superscript"/>
        </w:rPr>
        <w:t>17</w:t>
      </w:r>
      <w:r>
        <w:rPr>
          <w:rFonts w:hint="eastAsia"/>
        </w:rPr>
        <w:t>Ω均符合要求；高温拉伸900℃，抗拉强度Rm≥32MPa、规定塑性延伸强度RP0.2≥16MPa均符合要求；硬度≥6H、附着力达0级。（需提供一份完整带CMA和CNAS标志的第三方检测（验）机构出具的压筋立柱检测报告复印件和全国认证认可信息服务平台网站的查询截图页以辩真伪。未提供或提供内容不符，则按无效标处理。）</w:t>
      </w:r>
    </w:p>
    <w:p>
      <w:r>
        <w:rPr>
          <w:rFonts w:hint="eastAsia"/>
          <w:b/>
          <w:bCs/>
        </w:rPr>
        <w:t>（3）压筋搁（层）板：</w:t>
      </w:r>
      <w:r>
        <w:rPr>
          <w:rFonts w:hint="eastAsia"/>
        </w:rPr>
        <w:t>采用≥1.0mm优质冷轧钢板一次滚压成型，搁板成型厚≥23mm，允许尺寸公差±0.5mm。搁板正面压二根圆弧筋，圆弧筋尺寸为R5.5mm，允许尺寸公差±0.5mm，压筋深度2mm，允许尺寸公差±0.5mm，正面压筋中心到边尺寸为68mm，允许尺寸公差±1mm，压双筋搁板外形美观，结构新颖，承重能力强，钢性足。★层板：产品符合GB/T226、GB/T 228.2、GB/T 6742、IEC 62631-3-2、GB/T6739、GB/T9286标准要求。宏观金相符合要求，无可见的疏松、气泡折夹杂、叠、裂纹等缺陷；弯曲试验2mm、粗糙度≤0.313μm、表面电阻率≥3.3*10</w:t>
      </w:r>
      <w:r>
        <w:rPr>
          <w:rFonts w:hint="eastAsia"/>
          <w:vertAlign w:val="superscript"/>
        </w:rPr>
        <w:t>17</w:t>
      </w:r>
      <w:r>
        <w:rPr>
          <w:rFonts w:hint="eastAsia"/>
        </w:rPr>
        <w:t>Ω均符合要求；高温拉伸900℃，抗拉强度Rm≥46MPa、规定塑性延伸强度RP0.2≥26MPa均符合要求；硬度≥5H、附着力达0级。（需提供一份完整带CMA和CNAS标志的第三方检测（验）机构出具的层板检测报告复印件和全国认证认可信息服务平台网站的查询截图页以辩真伪。未提供或提供内容不符，则按无效标处理。）</w:t>
      </w:r>
    </w:p>
    <w:p>
      <w:pPr>
        <w:rPr>
          <w:b/>
        </w:rPr>
      </w:pPr>
      <w:r>
        <w:rPr>
          <w:rFonts w:hint="eastAsia"/>
          <w:b/>
          <w:bCs/>
        </w:rPr>
        <w:t>（4）压筋挂板：</w:t>
      </w:r>
      <w:r>
        <w:rPr>
          <w:rFonts w:hint="eastAsia"/>
        </w:rPr>
        <w:t>采用≥1.0mm优质冷轧钢板一次滚压成型，两端单排双挂钩结构设计，挂板中间档棒孔为方孔内梯形结构，档棒插入方孔后可挂扣在梯形上，可防止档棒两端滑落；中间腰形拉伸翻边模成形两个台阶加强孔，孔上下位置设有二根圆筋，挂板上下端直角折弯，并冲有四个凸槽，使搁板嵌置于弯边凸肩上，防止搁板前后窜动。挂板外观新颖，组装后平整、牢固，承重性好，通用性互换性好。</w:t>
      </w:r>
    </w:p>
    <w:p>
      <w:r>
        <w:rPr>
          <w:rFonts w:hint="eastAsia"/>
          <w:b/>
          <w:bCs/>
        </w:rPr>
        <w:t>（5）顶板：</w:t>
      </w:r>
      <w:r>
        <w:rPr>
          <w:rFonts w:hint="eastAsia"/>
        </w:rPr>
        <w:t>采用≥1.0mm优质冷轧钢板一次成型，顶板正面通过 M6 螺栓紧固于立柱上端既能加强存储设备的整体刚性又能起到防尘的作用。</w:t>
      </w:r>
    </w:p>
    <w:p>
      <w:r>
        <w:rPr>
          <w:rFonts w:hint="eastAsia"/>
          <w:b/>
          <w:bCs/>
        </w:rPr>
        <w:t>（6）压筋挡棒：</w:t>
      </w:r>
      <w:r>
        <w:rPr>
          <w:rFonts w:hint="eastAsia"/>
        </w:rPr>
        <w:t>采用≥0.8mm优质冷轧钢板下冲折一体成型，挡棒上方压有一根加强筋。挡棒设计为挂扣式挡棒，当挡棒插入挂板方孔后，将挡棒上的异形孔挂扣在挂板方孔梯形上，使挡棒与挂板通过机械组合达到锁紧功能。</w:t>
      </w:r>
      <w:bookmarkStart w:id="27" w:name="_Toc23209"/>
      <w:bookmarkStart w:id="28" w:name="_Toc29956"/>
      <w:bookmarkStart w:id="29" w:name="_Toc15838"/>
      <w:bookmarkStart w:id="30" w:name="_Toc26930"/>
    </w:p>
    <w:p>
      <w:pPr>
        <w:rPr>
          <w:b/>
          <w:bCs/>
        </w:rPr>
      </w:pPr>
      <w:r>
        <w:rPr>
          <w:rFonts w:hint="eastAsia"/>
          <w:b/>
          <w:bCs/>
        </w:rPr>
        <w:t>（7）侧板：</w:t>
      </w:r>
      <w:r>
        <w:rPr>
          <w:rFonts w:hint="eastAsia"/>
        </w:rPr>
        <w:t>采用≥0.9mm优质冷轧钢板制,侧板款式新颖、结构独特、造型美观，强度高，正面按压不变形。</w:t>
      </w:r>
    </w:p>
    <w:p>
      <w:pPr>
        <w:rPr>
          <w:b/>
          <w:bCs/>
        </w:rPr>
      </w:pPr>
      <w:r>
        <w:rPr>
          <w:rFonts w:hint="eastAsia"/>
          <w:b/>
          <w:bCs/>
        </w:rPr>
        <w:t>4、产品性能要求</w:t>
      </w:r>
      <w:bookmarkEnd w:id="27"/>
    </w:p>
    <w:p>
      <w:r>
        <w:rPr>
          <w:rFonts w:hint="eastAsia"/>
        </w:rPr>
        <w:t>（1）每标准节组装后，外形尺寸的极限偏差为±2mm，立柱与地面的垂直度不大于2mm。侧面板和中腰带的对缝处的间隙不大于2mm，门缝间隙均匀并在1～2mm之间。</w:t>
      </w:r>
    </w:p>
    <w:p>
      <w:r>
        <w:rPr>
          <w:rFonts w:hint="eastAsia"/>
        </w:rPr>
        <w:t>（2）脚裙必须平直，直线度不大于0.5mm／m，全长不大于2mm。</w:t>
      </w:r>
    </w:p>
    <w:p>
      <w:r>
        <w:rPr>
          <w:rFonts w:hint="eastAsia"/>
        </w:rPr>
        <w:t>（3）架体安装垂直度偏差小于2mm，达到横平竖直。</w:t>
      </w:r>
    </w:p>
    <w:p>
      <w:r>
        <w:rPr>
          <w:rFonts w:hint="eastAsia"/>
        </w:rPr>
        <w:t>（4）各零件、组合件表面光滑、平整，不得有尖角、突起。</w:t>
      </w:r>
    </w:p>
    <w:p>
      <w:r>
        <w:rPr>
          <w:rFonts w:hint="eastAsia"/>
        </w:rPr>
        <w:t>（5）所有焊接件焊接牢固，焊痕打磨光滑平整。</w:t>
      </w:r>
    </w:p>
    <w:p>
      <w:r>
        <w:rPr>
          <w:rFonts w:hint="eastAsia"/>
        </w:rPr>
        <w:t>（6）喷塑表面色泽一致，塑面均匀光滑，无划伤。</w:t>
      </w:r>
    </w:p>
    <w:p>
      <w:r>
        <w:rPr>
          <w:rFonts w:hint="eastAsia"/>
        </w:rPr>
        <w:t>（7）产品各零件、组合件之间应能具有互换性。</w:t>
      </w:r>
    </w:p>
    <w:p>
      <w:r>
        <w:rPr>
          <w:rFonts w:hint="eastAsia"/>
        </w:rPr>
        <w:t>（8）搁板上均匀承重，放置24h最大挠度小于4mm，卸载后2h搁板不得有裂缝，残余变形量不大于0.3mm。</w:t>
      </w:r>
    </w:p>
    <w:p>
      <w:pPr>
        <w:rPr>
          <w:b/>
          <w:bCs/>
        </w:rPr>
      </w:pPr>
      <w:r>
        <w:rPr>
          <w:rFonts w:hint="eastAsia"/>
        </w:rPr>
        <w:t>（9）每标准节在全负载的情况下，各结构件和架体没有明显变形。</w:t>
      </w:r>
    </w:p>
    <w:p>
      <w:bookmarkStart w:id="31" w:name="_Toc6473"/>
      <w:bookmarkStart w:id="32" w:name="_Toc13302"/>
      <w:bookmarkStart w:id="33" w:name="_Toc19229"/>
      <w:r>
        <w:rPr>
          <w:rFonts w:hint="eastAsia"/>
          <w:b/>
          <w:bCs/>
        </w:rPr>
        <w:t>5、钢制部分工艺要求</w:t>
      </w:r>
      <w:bookmarkEnd w:id="31"/>
      <w:bookmarkEnd w:id="32"/>
      <w:bookmarkEnd w:id="33"/>
    </w:p>
    <w:p>
      <w:r>
        <w:rPr>
          <w:rFonts w:hint="eastAsia"/>
        </w:rPr>
        <w:t>（1）制定完整的产品出厂标准，建立完善的质量检验制度和管理体系。配备高精度剪板机、折弯机、全自动高压静电喷塑及其它多种金属加工机械设备，制造设备齐全。</w:t>
      </w:r>
    </w:p>
    <w:p>
      <w:r>
        <w:rPr>
          <w:rFonts w:hint="eastAsia"/>
        </w:rPr>
        <w:t>（2）所有钣金件、机制加工件加工后均打磨毛刺，无裂痕及伤痕；所有焊接件均焊接牢固，外表光滑平整；每标准节组装后，质量完全符合国家标准和相关技术规范要求。</w:t>
      </w:r>
    </w:p>
    <w:p>
      <w:r>
        <w:rPr>
          <w:rFonts w:hint="eastAsia"/>
        </w:rPr>
        <w:t>（3）使用先进的（除油、表面处理、喷涂）三位一体化全自动生产线对产品的全部钣金件进行表面处理。</w:t>
      </w:r>
    </w:p>
    <w:p>
      <w:r>
        <w:rPr>
          <w:rFonts w:hint="eastAsia"/>
        </w:rPr>
        <w:t>（4）表面前处理采用硅烷处理技术，具有无有害重金属离子、不含磷等特点，有效提高塑粉对基材表面的附着力。</w:t>
      </w:r>
    </w:p>
    <w:bookmarkEnd w:id="28"/>
    <w:bookmarkEnd w:id="29"/>
    <w:bookmarkEnd w:id="30"/>
    <w:p>
      <w:bookmarkStart w:id="34" w:name="_Toc17578"/>
      <w:bookmarkStart w:id="35" w:name="_Toc21592"/>
      <w:bookmarkStart w:id="36" w:name="_Toc9075"/>
      <w:bookmarkStart w:id="37" w:name="_Toc14676"/>
      <w:r>
        <w:rPr>
          <w:rFonts w:hint="eastAsia"/>
        </w:rPr>
        <w:t>（5）塑粉采用优质环保型高附着力的金属表面纳米抗菌热固性粉末，表面涂层高温固化而成，提高其防锈蚀和抗菌性能。</w:t>
      </w:r>
    </w:p>
    <w:p>
      <w:pPr>
        <w:rPr>
          <w:b/>
          <w:bCs/>
        </w:rPr>
      </w:pPr>
      <w:bookmarkStart w:id="38" w:name="_Toc12457"/>
      <w:bookmarkStart w:id="39" w:name="_Toc25897"/>
      <w:bookmarkStart w:id="40" w:name="_Toc13037"/>
      <w:r>
        <w:rPr>
          <w:rFonts w:hint="eastAsia"/>
          <w:b/>
          <w:bCs/>
        </w:rPr>
        <w:t>6、双柱双面全钢书架架体部分配置说明一览表</w:t>
      </w:r>
      <w:bookmarkEnd w:id="34"/>
      <w:bookmarkEnd w:id="35"/>
      <w:bookmarkEnd w:id="36"/>
      <w:bookmarkEnd w:id="37"/>
      <w:bookmarkEnd w:id="38"/>
      <w:bookmarkEnd w:id="39"/>
      <w:bookmarkEnd w:id="40"/>
    </w:p>
    <w:tbl>
      <w:tblPr>
        <w:tblStyle w:val="5"/>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055"/>
        <w:gridCol w:w="1307"/>
        <w:gridCol w:w="5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3"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b/>
                <w:bCs/>
                <w:kern w:val="0"/>
                <w:sz w:val="20"/>
                <w:szCs w:val="20"/>
              </w:rPr>
              <w:t>序号</w:t>
            </w:r>
          </w:p>
        </w:tc>
        <w:tc>
          <w:tcPr>
            <w:tcW w:w="109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b/>
                <w:bCs/>
                <w:kern w:val="0"/>
                <w:sz w:val="20"/>
                <w:szCs w:val="20"/>
              </w:rPr>
              <w:t>主要部件</w:t>
            </w:r>
          </w:p>
        </w:tc>
        <w:tc>
          <w:tcPr>
            <w:tcW w:w="1391"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b/>
                <w:bCs/>
                <w:kern w:val="0"/>
                <w:sz w:val="20"/>
                <w:szCs w:val="20"/>
              </w:rPr>
              <w:t>规格</w:t>
            </w:r>
          </w:p>
        </w:tc>
        <w:tc>
          <w:tcPr>
            <w:tcW w:w="6058"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b/>
                <w:bCs/>
                <w:kern w:val="0"/>
                <w:sz w:val="20"/>
                <w:szCs w:val="20"/>
              </w:rPr>
              <w:t>性能用途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43"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p>
        </w:tc>
        <w:tc>
          <w:tcPr>
            <w:tcW w:w="109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底梁</w:t>
            </w:r>
          </w:p>
        </w:tc>
        <w:tc>
          <w:tcPr>
            <w:tcW w:w="1391"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δ≥1.5MM</w:t>
            </w:r>
          </w:p>
        </w:tc>
        <w:tc>
          <w:tcPr>
            <w:tcW w:w="6058"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底脚采用分段焊接后整体组装式，连接牢固、运输、安装方便，底脚高度≥100mm，上下双翻边加强，各段连接采用M8螺栓紧固。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43"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p>
        </w:tc>
        <w:tc>
          <w:tcPr>
            <w:tcW w:w="109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压筋立柱</w:t>
            </w:r>
          </w:p>
        </w:tc>
        <w:tc>
          <w:tcPr>
            <w:tcW w:w="1391"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δ≥1.5MM</w:t>
            </w:r>
          </w:p>
        </w:tc>
        <w:tc>
          <w:tcPr>
            <w:tcW w:w="6058"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立柱截面尺寸50*39mm，允许尺寸公差±0.5mm。立柱正面压双圆筋，圆筋尺寸为R1.5mm，允许尺寸公差±1mm，筋到筋尺寸为21mm，允许尺寸公差±1mm。两侧面均匀冲有一排挂钩孔，孔尺4*30mm，孔中心距50mm，允许尺寸公差±0.5mm，层数和间距可按需要调整。压筋立柱外形美观，结构新颖，承重能力强，钢性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p>
        </w:tc>
        <w:tc>
          <w:tcPr>
            <w:tcW w:w="109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压筋搁（层）板</w:t>
            </w:r>
          </w:p>
        </w:tc>
        <w:tc>
          <w:tcPr>
            <w:tcW w:w="1391"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δ≥1.0mm</w:t>
            </w:r>
          </w:p>
        </w:tc>
        <w:tc>
          <w:tcPr>
            <w:tcW w:w="6058"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搁板成型厚≥23mm，允许尺寸公差±0.5mm。搁板正面压二根圆弧筋，圆弧筋尺寸为R5.5mm，允许尺寸公差±0.5mm，压筋深度2mm，允许尺寸公差±0.5mm，正面压筋中心到边尺寸为68mm，允许尺寸公差±1mm，压双筋搁板外形美观，结构新颖，承重能力强，钢性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w:t>
            </w:r>
          </w:p>
        </w:tc>
        <w:tc>
          <w:tcPr>
            <w:tcW w:w="109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压筋挂板</w:t>
            </w:r>
          </w:p>
        </w:tc>
        <w:tc>
          <w:tcPr>
            <w:tcW w:w="1391"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δ≥1.0mm</w:t>
            </w:r>
          </w:p>
        </w:tc>
        <w:tc>
          <w:tcPr>
            <w:tcW w:w="6058"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两端单排双挂钩结构设计，挂板中间档棒孔为方孔内梯形结构，档棒插入方孔后可挂扣在梯形上，可防止档棒两端滑落；中间腰形拉伸翻边模成形两个台阶加强孔，孔上下位置设有二根圆筋，挂板上下端直角折弯，并冲有四个凸槽，使搁板嵌置于弯边凸肩上，防止搁板前后窜动。挂板外观新颖，组装后平整、牢固，承重性好，通用性互换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w:t>
            </w:r>
          </w:p>
        </w:tc>
        <w:tc>
          <w:tcPr>
            <w:tcW w:w="109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压筋挡棒</w:t>
            </w:r>
          </w:p>
        </w:tc>
        <w:tc>
          <w:tcPr>
            <w:tcW w:w="1391"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δ≥0.8mm</w:t>
            </w:r>
          </w:p>
        </w:tc>
        <w:tc>
          <w:tcPr>
            <w:tcW w:w="6058"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挡棒上方压有一根加强筋。挡棒设计为挂扣式挡棒，当挡棒插入挂板方孔后，将挡棒上的异形孔挂扣在挂板方孔梯形上，使挡棒与挂板通过机械组合达到锁紧功能。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43"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w:t>
            </w:r>
          </w:p>
        </w:tc>
        <w:tc>
          <w:tcPr>
            <w:tcW w:w="109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顶板</w:t>
            </w:r>
          </w:p>
        </w:tc>
        <w:tc>
          <w:tcPr>
            <w:tcW w:w="1391"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δ≥1.0mm</w:t>
            </w:r>
          </w:p>
        </w:tc>
        <w:tc>
          <w:tcPr>
            <w:tcW w:w="6058"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顶板通过七面六折弯一体成型。顶板正面通过 M6 螺栓紧固于立柱上端既能加强存储设备的整体刚性又能起到防尘的作用。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43"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7</w:t>
            </w:r>
          </w:p>
        </w:tc>
        <w:tc>
          <w:tcPr>
            <w:tcW w:w="1096"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侧板</w:t>
            </w:r>
          </w:p>
        </w:tc>
        <w:tc>
          <w:tcPr>
            <w:tcW w:w="1391"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δ≥0.9mm</w:t>
            </w:r>
          </w:p>
        </w:tc>
        <w:tc>
          <w:tcPr>
            <w:tcW w:w="6058"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侧板款式新颖、结构独特、造型美观，强度高，正面按压不变形。</w:t>
            </w:r>
          </w:p>
        </w:tc>
      </w:tr>
    </w:tbl>
    <w:p>
      <w:pPr>
        <w:rPr>
          <w:b/>
          <w:bCs/>
        </w:rPr>
      </w:pPr>
      <w:bookmarkStart w:id="41" w:name="_Toc18091"/>
    </w:p>
    <w:p>
      <w:pPr>
        <w:rPr>
          <w:b/>
          <w:bCs/>
        </w:rPr>
      </w:pPr>
    </w:p>
    <w:p>
      <w:pPr>
        <w:rPr>
          <w:rFonts w:hint="eastAsia"/>
          <w:b/>
          <w:bCs/>
        </w:rPr>
      </w:pPr>
      <w:r>
        <w:rPr>
          <w:rFonts w:hint="eastAsia"/>
          <w:b/>
          <w:bCs/>
        </w:rPr>
        <w:t>四、采购项目交付或者实施的时间和地点：</w:t>
      </w:r>
    </w:p>
    <w:p>
      <w:pPr>
        <w:rPr>
          <w:rFonts w:hint="eastAsia"/>
          <w:b/>
          <w:bCs/>
        </w:rPr>
      </w:pPr>
      <w:r>
        <w:rPr>
          <w:rFonts w:hint="eastAsia"/>
          <w:b/>
          <w:bCs/>
        </w:rPr>
        <w:t>1.项目交付实施的地点：按照采购方要求；</w:t>
      </w:r>
    </w:p>
    <w:p>
      <w:pPr>
        <w:rPr>
          <w:rFonts w:hint="eastAsia"/>
          <w:b/>
          <w:bCs/>
        </w:rPr>
      </w:pPr>
      <w:r>
        <w:rPr>
          <w:rFonts w:hint="eastAsia"/>
          <w:b/>
          <w:bCs/>
        </w:rPr>
        <w:t xml:space="preserve">2.采购项目交付或者实施的时间要求：自合同签订后10日内完成全部内容；供应商应保证在要求时间内完成全部标的物的供货、安装、调试和培训工作,符合国家标准、行业规范和合同等相关文件的要求。       </w:t>
      </w:r>
    </w:p>
    <w:p>
      <w:pPr>
        <w:pStyle w:val="2"/>
        <w:rPr>
          <w:rFonts w:hint="eastAsia"/>
          <w:b/>
          <w:bCs/>
        </w:rPr>
      </w:pPr>
      <w:r>
        <w:rPr>
          <w:rFonts w:hint="eastAsia"/>
          <w:b/>
          <w:bCs/>
        </w:rPr>
        <w:t>3.搬迁过程中所需器材、包装箱等设备由</w:t>
      </w:r>
      <w:r>
        <w:rPr>
          <w:rFonts w:hint="eastAsia" w:asciiTheme="minorHAnsi" w:hAnsiTheme="minorHAnsi" w:eastAsiaTheme="minorEastAsia" w:cstheme="minorBidi"/>
          <w:b/>
          <w:bCs/>
          <w:kern w:val="2"/>
          <w:sz w:val="21"/>
          <w:szCs w:val="22"/>
          <w:highlight w:val="yellow"/>
          <w:lang w:val="en-US" w:eastAsia="zh-CN" w:bidi="ar-SA"/>
        </w:rPr>
        <w:t>成交供应商</w:t>
      </w:r>
      <w:r>
        <w:rPr>
          <w:rFonts w:hint="eastAsia"/>
          <w:b/>
          <w:bCs/>
        </w:rPr>
        <w:t xml:space="preserve">自行承担。               </w:t>
      </w:r>
    </w:p>
    <w:p>
      <w:pPr>
        <w:rPr>
          <w:rFonts w:hint="eastAsia"/>
          <w:b/>
          <w:bCs/>
        </w:rPr>
      </w:pPr>
      <w:r>
        <w:rPr>
          <w:rFonts w:hint="eastAsia"/>
          <w:b/>
          <w:bCs/>
        </w:rPr>
        <w:t>五、质保及售后服务要求：</w:t>
      </w:r>
    </w:p>
    <w:p>
      <w:pPr>
        <w:rPr>
          <w:rFonts w:hint="eastAsia"/>
          <w:b/>
          <w:bCs/>
          <w:highlight w:val="yellow"/>
        </w:rPr>
      </w:pPr>
      <w:r>
        <w:rPr>
          <w:rFonts w:hint="eastAsia"/>
          <w:b/>
          <w:bCs/>
        </w:rPr>
        <w:t>1.质保要求：</w:t>
      </w:r>
      <w:bookmarkStart w:id="42" w:name="_GoBack"/>
      <w:bookmarkEnd w:id="42"/>
      <w:r>
        <w:rPr>
          <w:rFonts w:hint="eastAsia"/>
          <w:b/>
          <w:bCs/>
          <w:highlight w:val="yellow"/>
        </w:rPr>
        <w:t>本项目免费质保期要求不低于 10年。免费质保期从货物综合运行验收合格后开始计算。</w:t>
      </w:r>
    </w:p>
    <w:p>
      <w:pPr>
        <w:rPr>
          <w:rFonts w:hint="eastAsia"/>
          <w:b/>
          <w:bCs/>
        </w:rPr>
      </w:pPr>
      <w:r>
        <w:rPr>
          <w:rFonts w:hint="eastAsia"/>
          <w:b/>
          <w:bCs/>
        </w:rPr>
        <w:t>2.售后服务技术要求：</w:t>
      </w:r>
    </w:p>
    <w:p>
      <w:pPr>
        <w:rPr>
          <w:rFonts w:hint="eastAsia"/>
          <w:b/>
          <w:bCs/>
        </w:rPr>
      </w:pPr>
      <w:r>
        <w:rPr>
          <w:rFonts w:hint="eastAsia"/>
          <w:b/>
          <w:bCs/>
        </w:rPr>
        <w:t>（</w:t>
      </w:r>
      <w:r>
        <w:rPr>
          <w:rFonts w:hint="eastAsia"/>
          <w:b/>
          <w:bCs/>
          <w:lang w:val="en-US" w:eastAsia="zh-CN"/>
        </w:rPr>
        <w:t>1</w:t>
      </w:r>
      <w:r>
        <w:rPr>
          <w:rFonts w:hint="eastAsia"/>
          <w:b/>
          <w:bCs/>
        </w:rPr>
        <w:t>）安装调试合格后，由采购人与成交供应商共同商定培训时间，培训地点由采购人指定；</w:t>
      </w:r>
    </w:p>
    <w:p>
      <w:pPr>
        <w:rPr>
          <w:rFonts w:hint="eastAsia"/>
          <w:b/>
          <w:bCs/>
        </w:rPr>
      </w:pPr>
      <w:r>
        <w:rPr>
          <w:rFonts w:hint="eastAsia"/>
          <w:b/>
          <w:bCs/>
        </w:rPr>
        <w:t>（</w:t>
      </w:r>
      <w:r>
        <w:rPr>
          <w:rFonts w:hint="eastAsia"/>
          <w:b/>
          <w:bCs/>
          <w:lang w:val="en-US" w:eastAsia="zh-CN"/>
        </w:rPr>
        <w:t>2</w:t>
      </w:r>
      <w:r>
        <w:rPr>
          <w:rFonts w:hint="eastAsia"/>
          <w:b/>
          <w:bCs/>
        </w:rPr>
        <w:t>）成交供应商向采购人</w:t>
      </w:r>
      <w:r>
        <w:rPr>
          <w:rFonts w:hint="eastAsia"/>
          <w:b/>
          <w:bCs/>
          <w:highlight w:val="none"/>
        </w:rPr>
        <w:t>使用人员</w:t>
      </w:r>
      <w:r>
        <w:rPr>
          <w:rFonts w:hint="eastAsia"/>
          <w:b/>
          <w:bCs/>
        </w:rPr>
        <w:t>免费提供培训，培训内容与方式如下：提供必要的培训资料，并指派专业人员就所供货物的组装、试运行、运行、使用、维护、保养等对使用人员进行现场培训，培训时间不少于2个工作日，</w:t>
      </w:r>
      <w:r>
        <w:rPr>
          <w:rFonts w:hint="eastAsia"/>
          <w:b/>
          <w:bCs/>
          <w:lang w:val="en-US" w:eastAsia="zh-CN"/>
        </w:rPr>
        <w:t>每次培训人员不低于5人，</w:t>
      </w:r>
      <w:r>
        <w:rPr>
          <w:rFonts w:hint="eastAsia"/>
          <w:b/>
          <w:bCs/>
        </w:rPr>
        <w:t>至采购人受训人员全面掌握为止。</w:t>
      </w:r>
    </w:p>
    <w:p>
      <w:pPr>
        <w:rPr>
          <w:rFonts w:hint="eastAsia"/>
          <w:b/>
          <w:bCs/>
        </w:rPr>
      </w:pPr>
      <w:r>
        <w:rPr>
          <w:rFonts w:hint="eastAsia"/>
          <w:b/>
          <w:bCs/>
        </w:rPr>
        <w:t>3.售后服务效率要求</w:t>
      </w:r>
    </w:p>
    <w:p>
      <w:pPr>
        <w:rPr>
          <w:rFonts w:hint="eastAsia"/>
          <w:b/>
          <w:bCs/>
        </w:rPr>
      </w:pPr>
      <w:r>
        <w:rPr>
          <w:rFonts w:hint="eastAsia"/>
          <w:b/>
          <w:bCs/>
        </w:rPr>
        <w:t>（1）服务响应时间要求：发生故障后，应于 12 小时内到现场，提出解决方案，并于 36 小时内修复。</w:t>
      </w:r>
    </w:p>
    <w:p>
      <w:pPr>
        <w:rPr>
          <w:rFonts w:hint="eastAsia"/>
          <w:b/>
          <w:bCs/>
        </w:rPr>
      </w:pPr>
      <w:r>
        <w:rPr>
          <w:rFonts w:hint="eastAsia"/>
          <w:b/>
          <w:bCs/>
        </w:rPr>
        <w:t xml:space="preserve">（2）售后响应处理速度承诺等。 </w:t>
      </w:r>
    </w:p>
    <w:p>
      <w:pPr>
        <w:rPr>
          <w:rFonts w:hint="eastAsia"/>
          <w:b/>
          <w:bCs/>
        </w:rPr>
      </w:pPr>
      <w:r>
        <w:rPr>
          <w:rFonts w:hint="eastAsia"/>
          <w:b/>
          <w:bCs/>
        </w:rPr>
        <w:t>①电话咨询：成交供应商应当为采购人提供技术援助电话，解答采购人在使用中遇到的问题，及时为采购人提出解决问题的建议。</w:t>
      </w:r>
    </w:p>
    <w:p>
      <w:pPr>
        <w:rPr>
          <w:rFonts w:hint="eastAsia"/>
          <w:b/>
          <w:bCs/>
        </w:rPr>
      </w:pPr>
      <w:r>
        <w:rPr>
          <w:rFonts w:hint="eastAsia"/>
          <w:b/>
          <w:bCs/>
        </w:rPr>
        <w:t>②现场响应：如在后期使用过程中发现问题，服务供应商技术人员应于12小时内到达现场，并提出解决方案，并于36小时内修复，确保设备正常工作。</w:t>
      </w:r>
    </w:p>
    <w:p>
      <w:pPr>
        <w:rPr>
          <w:rFonts w:hint="eastAsia"/>
          <w:b/>
          <w:bCs/>
        </w:rPr>
      </w:pPr>
      <w:r>
        <w:rPr>
          <w:rFonts w:hint="eastAsia"/>
          <w:b/>
          <w:bCs/>
        </w:rPr>
        <w:t>六、报价要求：</w:t>
      </w:r>
    </w:p>
    <w:p>
      <w:pPr>
        <w:rPr>
          <w:rFonts w:hint="eastAsia"/>
          <w:b/>
          <w:bCs/>
        </w:rPr>
      </w:pPr>
      <w:r>
        <w:rPr>
          <w:rFonts w:hint="eastAsia"/>
          <w:b/>
          <w:bCs/>
        </w:rPr>
        <w:t>1.项目报价须包含本项目中的供货、安装、调试、验收以及验收后缺陷责任期内的缺陷修复、保修服务等所有与本项目相关的一切费用和伴随服务。</w:t>
      </w:r>
    </w:p>
    <w:p>
      <w:pPr>
        <w:rPr>
          <w:rFonts w:hint="eastAsia"/>
          <w:b/>
          <w:bCs/>
        </w:rPr>
      </w:pPr>
      <w:r>
        <w:rPr>
          <w:rFonts w:hint="eastAsia"/>
          <w:b/>
          <w:bCs/>
        </w:rPr>
        <w:t>2.供应商的任何错漏、优惠、竞争性报价不得作为减轻责任、增加收费、降低质量的理由。</w:t>
      </w:r>
    </w:p>
    <w:p>
      <w:pPr>
        <w:rPr>
          <w:rFonts w:hint="eastAsia"/>
          <w:b/>
          <w:bCs/>
        </w:rPr>
      </w:pPr>
      <w:r>
        <w:rPr>
          <w:rFonts w:hint="eastAsia"/>
          <w:b/>
          <w:bCs/>
        </w:rPr>
        <w:t>七、产品验收标准及要求：</w:t>
      </w:r>
    </w:p>
    <w:p>
      <w:pPr>
        <w:rPr>
          <w:rFonts w:hint="eastAsia"/>
          <w:b/>
          <w:bCs/>
        </w:rPr>
      </w:pPr>
      <w:r>
        <w:rPr>
          <w:rFonts w:hint="eastAsia"/>
          <w:b/>
          <w:bCs/>
        </w:rPr>
        <w:t>1.供应商负责将合同项下所有设备免费运送至采购人指定位置后，首先对所有产品进行测试，在确认符合要求的情况下现场安装、检查、测试，直至满足交付使用要求。</w:t>
      </w:r>
    </w:p>
    <w:p>
      <w:pPr>
        <w:rPr>
          <w:rFonts w:hint="eastAsia"/>
          <w:b/>
          <w:bCs/>
        </w:rPr>
      </w:pPr>
      <w:r>
        <w:rPr>
          <w:rFonts w:hint="eastAsia"/>
          <w:b/>
          <w:bCs/>
        </w:rPr>
        <w:t>2.供应商交付的货物应当完全符合招标及响应文件所规定的货物、数量和规格要求。</w:t>
      </w:r>
    </w:p>
    <w:p>
      <w:pPr>
        <w:rPr>
          <w:rFonts w:hint="eastAsia"/>
          <w:b/>
          <w:bCs/>
        </w:rPr>
      </w:pPr>
      <w:r>
        <w:rPr>
          <w:rFonts w:hint="eastAsia"/>
          <w:b/>
          <w:bCs/>
        </w:rPr>
        <w:t>3.货物到货验收包括：型号、规格、数量、外观质量及货物包装是否完好。</w:t>
      </w:r>
    </w:p>
    <w:p>
      <w:pPr>
        <w:rPr>
          <w:rFonts w:hint="eastAsia"/>
          <w:b/>
          <w:bCs/>
        </w:rPr>
      </w:pPr>
      <w:r>
        <w:rPr>
          <w:rFonts w:hint="eastAsia"/>
          <w:b/>
          <w:bCs/>
        </w:rPr>
        <w:t>4.供应商应将所提供货物的装箱清单、用户手册、保修卡、随机资料及配件、随机工具等交付给使用方；</w:t>
      </w:r>
    </w:p>
    <w:p>
      <w:pPr>
        <w:rPr>
          <w:rFonts w:hint="eastAsia"/>
          <w:b/>
          <w:bCs/>
        </w:rPr>
      </w:pPr>
      <w:r>
        <w:rPr>
          <w:rFonts w:hint="eastAsia"/>
          <w:b/>
          <w:bCs/>
        </w:rPr>
        <w:t>5.采购人需要供应商对货物进行安装调试的，供应商应在规定的时间内完成安装调试。采购人应在货物安装调试完毕后的10个工作日内进行验收。验收合格的，由采购人签署验收单并加盖单位公章。</w:t>
      </w:r>
    </w:p>
    <w:p>
      <w:pPr>
        <w:rPr>
          <w:rFonts w:hint="eastAsia"/>
          <w:b/>
          <w:bCs/>
        </w:rPr>
      </w:pPr>
      <w:r>
        <w:rPr>
          <w:rFonts w:hint="eastAsia"/>
          <w:b/>
          <w:bCs/>
        </w:rPr>
        <w:t>6.货物验收的标准：按行业通行标准、厂方出厂标准和成交供应商响应文件的承诺。</w:t>
      </w:r>
    </w:p>
    <w:p>
      <w:pPr>
        <w:rPr>
          <w:rFonts w:hint="eastAsia"/>
          <w:b/>
          <w:bCs/>
        </w:rPr>
      </w:pPr>
      <w:r>
        <w:rPr>
          <w:rFonts w:hint="eastAsia"/>
          <w:b/>
          <w:bCs/>
        </w:rPr>
        <w:t>7.供应商根据采购要求进行产品安装、调试、测试、试运行后，由采购人依据验收标准并组织进行使用性能方面的验收，所需检测费用包含在报价中。</w:t>
      </w:r>
    </w:p>
    <w:p>
      <w:pPr>
        <w:rPr>
          <w:rFonts w:hint="eastAsia"/>
          <w:b/>
          <w:bCs/>
        </w:rPr>
      </w:pPr>
      <w:r>
        <w:rPr>
          <w:rFonts w:hint="eastAsia"/>
          <w:b/>
          <w:bCs/>
        </w:rPr>
        <w:t>8.货物到货验收时成交供应商代表必须在场，并提供产品合格证、质量保证文件、产品所需要的技术规格与操作规范等技术资料，保证装机后人员良好使用。</w:t>
      </w:r>
    </w:p>
    <w:p>
      <w:pPr>
        <w:rPr>
          <w:rFonts w:hint="eastAsia"/>
          <w:b/>
          <w:bCs/>
        </w:rPr>
      </w:pPr>
      <w:r>
        <w:rPr>
          <w:rFonts w:hint="eastAsia"/>
          <w:b/>
          <w:bCs/>
        </w:rPr>
        <w:t>八、付款方式：</w:t>
      </w:r>
    </w:p>
    <w:p>
      <w:pPr>
        <w:rPr>
          <w:b/>
          <w:bCs/>
        </w:rPr>
      </w:pPr>
      <w:r>
        <w:rPr>
          <w:rFonts w:hint="eastAsia"/>
          <w:b/>
          <w:bCs/>
        </w:rPr>
        <w:t>（1）根据预算下达金额及财政拨付时间，项目验收合格后,一次性付清。</w:t>
      </w: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1654CA"/>
    <w:multiLevelType w:val="singleLevel"/>
    <w:tmpl w:val="BB1654CA"/>
    <w:lvl w:ilvl="0" w:tentative="0">
      <w:start w:val="2"/>
      <w:numFmt w:val="chineseCounting"/>
      <w:suff w:val="nothing"/>
      <w:lvlText w:val="%1、"/>
      <w:lvlJc w:val="left"/>
      <w:rPr>
        <w:rFonts w:hint="eastAsia"/>
      </w:rPr>
    </w:lvl>
  </w:abstractNum>
  <w:abstractNum w:abstractNumId="1">
    <w:nsid w:val="BE9237B2"/>
    <w:multiLevelType w:val="singleLevel"/>
    <w:tmpl w:val="BE9237B2"/>
    <w:lvl w:ilvl="0" w:tentative="0">
      <w:start w:val="1"/>
      <w:numFmt w:val="chineseCounting"/>
      <w:suff w:val="nothing"/>
      <w:lvlText w:val="（%1）"/>
      <w:lvlJc w:val="left"/>
      <w:rPr>
        <w:rFonts w:hint="eastAsia"/>
      </w:rPr>
    </w:lvl>
  </w:abstractNum>
  <w:abstractNum w:abstractNumId="2">
    <w:nsid w:val="538C63B2"/>
    <w:multiLevelType w:val="singleLevel"/>
    <w:tmpl w:val="538C63B2"/>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885"/>
    <w:rsid w:val="005C4998"/>
    <w:rsid w:val="00631321"/>
    <w:rsid w:val="00CF482C"/>
    <w:rsid w:val="00EC3885"/>
    <w:rsid w:val="4A425D44"/>
    <w:rsid w:val="4BC67952"/>
    <w:rsid w:val="52846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7"/>
    <w:semiHidden/>
    <w:unhideWhenUsed/>
    <w:qFormat/>
    <w:uiPriority w:val="99"/>
    <w:rPr>
      <w:sz w:val="18"/>
      <w:szCs w:val="18"/>
    </w:rPr>
  </w:style>
  <w:style w:type="table" w:styleId="5">
    <w:name w:val="Table Grid"/>
    <w:basedOn w:val="4"/>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548</Words>
  <Characters>3128</Characters>
  <Lines>26</Lines>
  <Paragraphs>7</Paragraphs>
  <TotalTime>1</TotalTime>
  <ScaleCrop>false</ScaleCrop>
  <LinksUpToDate>false</LinksUpToDate>
  <CharactersWithSpaces>3669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2025-06-03T08:25:00Z</dcterms:created>
  <dc:creator>TSG</dc:creator>
  <cp:lastModifiedBy>Administrator</cp:lastModifiedBy>
  <dcterms:modified xsi:type="dcterms:W3CDTF">2025-06-18T04:09:18Z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