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color w:val="auto"/>
        </w:rPr>
      </w:pPr>
    </w:p>
    <w:p>
      <w:pPr>
        <w:spacing w:line="400" w:lineRule="exact"/>
        <w:jc w:val="center"/>
        <w:outlineLvl w:val="0"/>
        <w:rPr>
          <w:color w:val="auto"/>
        </w:rPr>
      </w:pPr>
      <w:r>
        <w:rPr>
          <w:rFonts w:hint="eastAsia" w:ascii="仿宋" w:hAnsi="仿宋" w:eastAsia="仿宋"/>
          <w:b/>
          <w:color w:val="auto"/>
          <w:sz w:val="32"/>
        </w:rPr>
        <w:t>采购内容及技术需求</w:t>
      </w:r>
    </w:p>
    <w:p>
      <w:pPr>
        <w:rPr>
          <w:rFonts w:ascii="仿宋" w:hAnsi="仿宋" w:eastAsia="仿宋"/>
          <w:b/>
          <w:color w:val="auto"/>
          <w:sz w:val="24"/>
          <w:szCs w:val="24"/>
        </w:rPr>
      </w:pPr>
      <w:r>
        <w:rPr>
          <w:rFonts w:hint="eastAsia" w:ascii="仿宋" w:hAnsi="仿宋" w:eastAsia="仿宋"/>
          <w:b/>
          <w:color w:val="auto"/>
          <w:sz w:val="24"/>
          <w:szCs w:val="24"/>
        </w:rPr>
        <w:t>特别说明：</w:t>
      </w:r>
    </w:p>
    <w:p>
      <w:pPr>
        <w:pStyle w:val="8"/>
        <w:widowControl/>
        <w:numPr>
          <w:ilvl w:val="0"/>
          <w:numId w:val="1"/>
        </w:numPr>
        <w:spacing w:before="156" w:beforeLines="50" w:after="156" w:afterLines="50" w:line="360" w:lineRule="auto"/>
        <w:ind w:left="828" w:leftChars="200" w:hanging="408" w:hangingChars="170"/>
        <w:jc w:val="left"/>
        <w:rPr>
          <w:rFonts w:ascii="仿宋" w:hAnsi="仿宋" w:eastAsia="仿宋"/>
          <w:color w:val="auto"/>
          <w:sz w:val="24"/>
          <w:szCs w:val="24"/>
        </w:rPr>
      </w:pPr>
      <w:r>
        <w:rPr>
          <w:rFonts w:hint="eastAsia" w:ascii="仿宋" w:hAnsi="仿宋" w:eastAsia="仿宋"/>
          <w:color w:val="auto"/>
          <w:sz w:val="24"/>
          <w:szCs w:val="24"/>
        </w:rPr>
        <w:t>投标人所供服务及授权许可的最终用户名为：“宁波市急救中心”。</w:t>
      </w:r>
    </w:p>
    <w:p>
      <w:pPr>
        <w:pStyle w:val="8"/>
        <w:widowControl/>
        <w:numPr>
          <w:ilvl w:val="0"/>
          <w:numId w:val="1"/>
        </w:numPr>
        <w:spacing w:before="156" w:beforeLines="50" w:after="156" w:afterLines="50" w:line="360" w:lineRule="auto"/>
        <w:ind w:left="828" w:leftChars="200" w:hanging="408" w:hangingChars="170"/>
        <w:jc w:val="left"/>
        <w:rPr>
          <w:color w:val="auto"/>
        </w:rPr>
      </w:pPr>
      <w:r>
        <w:rPr>
          <w:rFonts w:hint="eastAsia" w:ascii="仿宋" w:hAnsi="仿宋" w:eastAsia="仿宋"/>
          <w:color w:val="auto"/>
          <w:sz w:val="24"/>
          <w:szCs w:val="24"/>
        </w:rPr>
        <w:t>为保证服务时效性，服务商或者制造商必须在宁波市地区有服务机构，投标时提供证明资料。</w:t>
      </w:r>
    </w:p>
    <w:p>
      <w:pPr>
        <w:numPr>
          <w:ilvl w:val="0"/>
          <w:numId w:val="2"/>
        </w:numPr>
        <w:rPr>
          <w:rFonts w:hint="eastAsia" w:ascii="仿宋" w:hAnsi="仿宋" w:eastAsia="仿宋"/>
          <w:b/>
          <w:color w:val="auto"/>
          <w:sz w:val="24"/>
          <w:szCs w:val="24"/>
        </w:rPr>
      </w:pPr>
      <w:r>
        <w:rPr>
          <w:rFonts w:hint="eastAsia" w:ascii="仿宋" w:hAnsi="仿宋" w:eastAsia="仿宋"/>
          <w:b/>
          <w:color w:val="auto"/>
          <w:sz w:val="24"/>
          <w:szCs w:val="24"/>
        </w:rPr>
        <w:t>项目清单</w:t>
      </w:r>
    </w:p>
    <w:tbl>
      <w:tblPr>
        <w:tblStyle w:val="4"/>
        <w:tblW w:w="9382" w:type="dxa"/>
        <w:tblInd w:w="0" w:type="dxa"/>
        <w:tblLayout w:type="fixed"/>
        <w:tblCellMar>
          <w:top w:w="0" w:type="dxa"/>
          <w:left w:w="108" w:type="dxa"/>
          <w:bottom w:w="0" w:type="dxa"/>
          <w:right w:w="108" w:type="dxa"/>
        </w:tblCellMar>
      </w:tblPr>
      <w:tblGrid>
        <w:gridCol w:w="846"/>
        <w:gridCol w:w="3040"/>
        <w:gridCol w:w="2878"/>
        <w:gridCol w:w="1445"/>
        <w:gridCol w:w="1173"/>
      </w:tblGrid>
      <w:tr>
        <w:tblPrEx>
          <w:tblCellMar>
            <w:top w:w="0" w:type="dxa"/>
            <w:left w:w="108" w:type="dxa"/>
            <w:bottom w:w="0" w:type="dxa"/>
            <w:right w:w="108" w:type="dxa"/>
          </w:tblCellMar>
        </w:tblPrEx>
        <w:trPr>
          <w:trHeight w:val="314" w:hRule="atLeast"/>
        </w:trPr>
        <w:tc>
          <w:tcPr>
            <w:tcW w:w="84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360" w:lineRule="auto"/>
              <w:jc w:val="center"/>
              <w:rPr>
                <w:rFonts w:ascii="宋体" w:hAnsi="宋体" w:cs="宋体"/>
                <w:b/>
                <w:bCs/>
                <w:color w:val="auto"/>
                <w:kern w:val="0"/>
                <w:sz w:val="24"/>
              </w:rPr>
            </w:pPr>
            <w:r>
              <w:rPr>
                <w:rFonts w:hint="eastAsia" w:ascii="宋体" w:hAnsi="宋体" w:cs="宋体"/>
                <w:b/>
                <w:bCs/>
                <w:color w:val="auto"/>
                <w:kern w:val="0"/>
                <w:sz w:val="24"/>
              </w:rPr>
              <w:t>序 号</w:t>
            </w:r>
          </w:p>
        </w:tc>
        <w:tc>
          <w:tcPr>
            <w:tcW w:w="3040"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auto"/>
              <w:jc w:val="center"/>
              <w:rPr>
                <w:rFonts w:ascii="宋体" w:hAnsi="宋体" w:cs="宋体"/>
                <w:b/>
                <w:bCs/>
                <w:color w:val="auto"/>
                <w:kern w:val="0"/>
                <w:sz w:val="24"/>
              </w:rPr>
            </w:pPr>
            <w:r>
              <w:rPr>
                <w:rFonts w:hint="eastAsia" w:ascii="宋体" w:hAnsi="宋体" w:cs="宋体"/>
                <w:b/>
                <w:bCs/>
                <w:color w:val="auto"/>
                <w:kern w:val="0"/>
                <w:sz w:val="24"/>
              </w:rPr>
              <w:t>项目名称</w:t>
            </w:r>
          </w:p>
        </w:tc>
        <w:tc>
          <w:tcPr>
            <w:tcW w:w="2878"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auto"/>
              <w:jc w:val="center"/>
              <w:rPr>
                <w:rFonts w:ascii="宋体" w:hAnsi="宋体" w:cs="宋体"/>
                <w:b/>
                <w:bCs/>
                <w:color w:val="auto"/>
                <w:kern w:val="0"/>
                <w:sz w:val="24"/>
              </w:rPr>
            </w:pPr>
            <w:r>
              <w:rPr>
                <w:rFonts w:hint="eastAsia" w:ascii="宋体" w:hAnsi="宋体" w:cs="宋体"/>
                <w:b/>
                <w:bCs/>
                <w:color w:val="auto"/>
                <w:kern w:val="0"/>
                <w:sz w:val="24"/>
              </w:rPr>
              <w:t>规      格</w:t>
            </w:r>
          </w:p>
        </w:tc>
        <w:tc>
          <w:tcPr>
            <w:tcW w:w="1445"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auto"/>
              <w:jc w:val="center"/>
              <w:rPr>
                <w:rFonts w:ascii="宋体" w:hAnsi="宋体" w:cs="宋体"/>
                <w:b/>
                <w:bCs/>
                <w:color w:val="auto"/>
                <w:kern w:val="0"/>
                <w:sz w:val="24"/>
              </w:rPr>
            </w:pPr>
            <w:r>
              <w:rPr>
                <w:rFonts w:hint="eastAsia" w:ascii="宋体" w:hAnsi="宋体" w:cs="宋体"/>
                <w:b/>
                <w:bCs/>
                <w:color w:val="auto"/>
                <w:kern w:val="0"/>
                <w:sz w:val="24"/>
              </w:rPr>
              <w:t>数 量</w:t>
            </w:r>
          </w:p>
        </w:tc>
        <w:tc>
          <w:tcPr>
            <w:tcW w:w="1173" w:type="dxa"/>
            <w:tcBorders>
              <w:top w:val="single" w:color="auto" w:sz="4" w:space="0"/>
              <w:left w:val="nil"/>
              <w:bottom w:val="single" w:color="auto" w:sz="4" w:space="0"/>
              <w:right w:val="single" w:color="auto" w:sz="4" w:space="0"/>
            </w:tcBorders>
            <w:shd w:val="clear" w:color="auto" w:fill="auto"/>
            <w:vAlign w:val="center"/>
          </w:tcPr>
          <w:p>
            <w:pPr>
              <w:widowControl/>
              <w:spacing w:line="360" w:lineRule="auto"/>
              <w:jc w:val="center"/>
              <w:rPr>
                <w:rFonts w:ascii="宋体" w:hAnsi="宋体" w:cs="宋体"/>
                <w:b/>
                <w:bCs/>
                <w:color w:val="auto"/>
                <w:kern w:val="0"/>
                <w:sz w:val="24"/>
              </w:rPr>
            </w:pPr>
            <w:r>
              <w:rPr>
                <w:rFonts w:hint="eastAsia" w:ascii="宋体" w:hAnsi="宋体" w:cs="宋体"/>
                <w:b/>
                <w:bCs/>
                <w:color w:val="auto"/>
                <w:kern w:val="0"/>
                <w:sz w:val="24"/>
              </w:rPr>
              <w:t>单 位</w:t>
            </w:r>
          </w:p>
        </w:tc>
      </w:tr>
      <w:tr>
        <w:tblPrEx>
          <w:tblCellMar>
            <w:top w:w="0" w:type="dxa"/>
            <w:left w:w="108" w:type="dxa"/>
            <w:bottom w:w="0" w:type="dxa"/>
            <w:right w:w="108" w:type="dxa"/>
          </w:tblCellMar>
        </w:tblPrEx>
        <w:trPr>
          <w:trHeight w:val="593" w:hRule="atLeast"/>
        </w:trPr>
        <w:tc>
          <w:tcPr>
            <w:tcW w:w="846" w:type="dxa"/>
            <w:tcBorders>
              <w:top w:val="nil"/>
              <w:left w:val="single" w:color="auto" w:sz="4" w:space="0"/>
              <w:bottom w:val="single" w:color="auto" w:sz="4" w:space="0"/>
              <w:right w:val="single" w:color="auto" w:sz="4" w:space="0"/>
            </w:tcBorders>
            <w:shd w:val="clear" w:color="auto" w:fill="auto"/>
            <w:vAlign w:val="center"/>
          </w:tcPr>
          <w:p>
            <w:pPr>
              <w:jc w:val="center"/>
              <w:rPr>
                <w:rFonts w:hint="eastAsia" w:ascii="仿宋" w:hAnsi="仿宋" w:eastAsia="仿宋" w:cs="宋体"/>
                <w:color w:val="auto"/>
                <w:szCs w:val="21"/>
              </w:rPr>
            </w:pPr>
            <w:r>
              <w:rPr>
                <w:rFonts w:hint="eastAsia" w:ascii="仿宋" w:hAnsi="仿宋" w:eastAsia="仿宋" w:cs="宋体"/>
                <w:color w:val="auto"/>
                <w:szCs w:val="21"/>
              </w:rPr>
              <w:t>1</w:t>
            </w:r>
          </w:p>
        </w:tc>
        <w:tc>
          <w:tcPr>
            <w:tcW w:w="3040" w:type="dxa"/>
            <w:tcBorders>
              <w:top w:val="nil"/>
              <w:left w:val="nil"/>
              <w:bottom w:val="single" w:color="auto" w:sz="4" w:space="0"/>
              <w:right w:val="single" w:color="auto" w:sz="4" w:space="0"/>
            </w:tcBorders>
            <w:shd w:val="clear" w:color="auto" w:fill="auto"/>
            <w:vAlign w:val="center"/>
          </w:tcPr>
          <w:p>
            <w:pPr>
              <w:jc w:val="left"/>
              <w:rPr>
                <w:rFonts w:hint="eastAsia" w:ascii="仿宋" w:hAnsi="仿宋" w:eastAsia="仿宋" w:cs="宋体"/>
                <w:color w:val="auto"/>
                <w:szCs w:val="21"/>
              </w:rPr>
            </w:pPr>
            <w:r>
              <w:rPr>
                <w:rFonts w:hint="eastAsia" w:ascii="仿宋" w:hAnsi="仿宋" w:eastAsia="仿宋" w:cs="宋体"/>
                <w:color w:val="auto"/>
                <w:szCs w:val="21"/>
              </w:rPr>
              <w:t>电子票据专用签名设备维保</w:t>
            </w:r>
          </w:p>
        </w:tc>
        <w:tc>
          <w:tcPr>
            <w:tcW w:w="2878" w:type="dxa"/>
            <w:tcBorders>
              <w:top w:val="nil"/>
              <w:left w:val="nil"/>
              <w:bottom w:val="single" w:color="auto" w:sz="4" w:space="0"/>
              <w:right w:val="single" w:color="auto" w:sz="4" w:space="0"/>
            </w:tcBorders>
            <w:shd w:val="clear" w:color="auto" w:fill="auto"/>
            <w:vAlign w:val="center"/>
          </w:tcPr>
          <w:p>
            <w:pPr>
              <w:jc w:val="left"/>
              <w:rPr>
                <w:rFonts w:hint="eastAsia" w:ascii="仿宋" w:hAnsi="仿宋" w:eastAsia="仿宋" w:cs="宋体"/>
                <w:color w:val="auto"/>
                <w:szCs w:val="21"/>
              </w:rPr>
            </w:pPr>
            <w:r>
              <w:rPr>
                <w:rFonts w:hint="eastAsia" w:ascii="仿宋" w:hAnsi="仿宋" w:eastAsia="仿宋" w:cs="宋体"/>
                <w:color w:val="auto"/>
                <w:szCs w:val="21"/>
              </w:rPr>
              <w:t>技术要求详细见</w:t>
            </w:r>
            <w:r>
              <w:rPr>
                <w:rFonts w:hint="eastAsia" w:ascii="仿宋" w:hAnsi="仿宋" w:eastAsia="仿宋" w:cs="宋体"/>
                <w:color w:val="auto"/>
                <w:szCs w:val="21"/>
                <w:lang w:val="en-US" w:eastAsia="zh-CN"/>
              </w:rPr>
              <w:t>2.</w:t>
            </w:r>
            <w:r>
              <w:rPr>
                <w:rFonts w:hint="eastAsia" w:ascii="仿宋" w:hAnsi="仿宋" w:eastAsia="仿宋" w:cs="宋体"/>
                <w:color w:val="auto"/>
                <w:szCs w:val="21"/>
              </w:rPr>
              <w:t>1章节</w:t>
            </w:r>
          </w:p>
        </w:tc>
        <w:tc>
          <w:tcPr>
            <w:tcW w:w="1445" w:type="dxa"/>
            <w:tcBorders>
              <w:top w:val="nil"/>
              <w:left w:val="nil"/>
              <w:bottom w:val="single" w:color="auto" w:sz="4" w:space="0"/>
              <w:right w:val="single" w:color="auto" w:sz="4" w:space="0"/>
            </w:tcBorders>
            <w:shd w:val="clear" w:color="auto" w:fill="auto"/>
            <w:vAlign w:val="center"/>
          </w:tcPr>
          <w:p>
            <w:pPr>
              <w:jc w:val="center"/>
              <w:rPr>
                <w:rFonts w:hint="eastAsia" w:ascii="仿宋" w:hAnsi="仿宋" w:eastAsia="仿宋" w:cs="宋体"/>
                <w:color w:val="auto"/>
                <w:szCs w:val="21"/>
                <w:lang w:eastAsia="zh-CN"/>
              </w:rPr>
            </w:pPr>
            <w:r>
              <w:rPr>
                <w:rFonts w:hint="eastAsia" w:ascii="仿宋" w:hAnsi="仿宋" w:eastAsia="仿宋" w:cs="宋体"/>
                <w:color w:val="auto"/>
                <w:szCs w:val="21"/>
                <w:lang w:val="en-US" w:eastAsia="zh-CN"/>
              </w:rPr>
              <w:t>1</w:t>
            </w:r>
          </w:p>
        </w:tc>
        <w:tc>
          <w:tcPr>
            <w:tcW w:w="1173" w:type="dxa"/>
            <w:tcBorders>
              <w:top w:val="nil"/>
              <w:left w:val="nil"/>
              <w:bottom w:val="single" w:color="auto" w:sz="4" w:space="0"/>
              <w:right w:val="single" w:color="auto" w:sz="4" w:space="0"/>
            </w:tcBorders>
            <w:shd w:val="clear" w:color="auto" w:fill="auto"/>
            <w:vAlign w:val="center"/>
          </w:tcPr>
          <w:p>
            <w:pPr>
              <w:jc w:val="center"/>
              <w:rPr>
                <w:rFonts w:hint="eastAsia" w:ascii="仿宋" w:hAnsi="仿宋" w:eastAsia="仿宋" w:cs="宋体"/>
                <w:color w:val="auto"/>
                <w:szCs w:val="21"/>
                <w:lang w:val="en-US" w:eastAsia="zh-CN"/>
              </w:rPr>
            </w:pPr>
            <w:r>
              <w:rPr>
                <w:rFonts w:hint="eastAsia" w:ascii="仿宋" w:hAnsi="仿宋" w:eastAsia="仿宋" w:cs="宋体"/>
                <w:color w:val="auto"/>
                <w:szCs w:val="21"/>
                <w:lang w:val="en-US" w:eastAsia="zh-CN"/>
              </w:rPr>
              <w:t>台</w:t>
            </w:r>
          </w:p>
        </w:tc>
      </w:tr>
      <w:tr>
        <w:tblPrEx>
          <w:tblCellMar>
            <w:top w:w="0" w:type="dxa"/>
            <w:left w:w="108" w:type="dxa"/>
            <w:bottom w:w="0" w:type="dxa"/>
            <w:right w:w="108" w:type="dxa"/>
          </w:tblCellMar>
        </w:tblPrEx>
        <w:trPr>
          <w:trHeight w:val="593" w:hRule="atLeast"/>
        </w:trPr>
        <w:tc>
          <w:tcPr>
            <w:tcW w:w="846" w:type="dxa"/>
            <w:tcBorders>
              <w:top w:val="nil"/>
              <w:left w:val="single" w:color="auto" w:sz="4" w:space="0"/>
              <w:bottom w:val="single" w:color="auto" w:sz="4" w:space="0"/>
              <w:right w:val="single" w:color="auto" w:sz="4" w:space="0"/>
            </w:tcBorders>
            <w:shd w:val="clear" w:color="auto" w:fill="auto"/>
            <w:vAlign w:val="center"/>
          </w:tcPr>
          <w:p>
            <w:pPr>
              <w:jc w:val="center"/>
              <w:rPr>
                <w:rFonts w:hint="eastAsia" w:ascii="仿宋" w:hAnsi="仿宋" w:eastAsia="仿宋" w:cs="宋体"/>
                <w:color w:val="auto"/>
                <w:szCs w:val="21"/>
              </w:rPr>
            </w:pPr>
            <w:r>
              <w:rPr>
                <w:rFonts w:hint="eastAsia" w:ascii="仿宋" w:hAnsi="仿宋" w:eastAsia="仿宋" w:cs="宋体"/>
                <w:color w:val="auto"/>
                <w:szCs w:val="21"/>
              </w:rPr>
              <w:t>2</w:t>
            </w:r>
          </w:p>
        </w:tc>
        <w:tc>
          <w:tcPr>
            <w:tcW w:w="3040" w:type="dxa"/>
            <w:tcBorders>
              <w:top w:val="nil"/>
              <w:left w:val="nil"/>
              <w:bottom w:val="single" w:color="auto" w:sz="4" w:space="0"/>
              <w:right w:val="single" w:color="auto" w:sz="4" w:space="0"/>
            </w:tcBorders>
            <w:shd w:val="clear" w:color="auto" w:fill="auto"/>
            <w:vAlign w:val="center"/>
          </w:tcPr>
          <w:p>
            <w:pPr>
              <w:jc w:val="left"/>
              <w:rPr>
                <w:rFonts w:hint="eastAsia" w:ascii="仿宋" w:hAnsi="仿宋" w:eastAsia="仿宋" w:cs="宋体"/>
                <w:color w:val="auto"/>
                <w:szCs w:val="21"/>
              </w:rPr>
            </w:pPr>
            <w:r>
              <w:rPr>
                <w:rFonts w:hint="eastAsia" w:ascii="仿宋" w:hAnsi="仿宋" w:eastAsia="仿宋" w:cs="宋体"/>
                <w:color w:val="auto"/>
                <w:szCs w:val="21"/>
              </w:rPr>
              <w:t>设备开户许可</w:t>
            </w:r>
          </w:p>
        </w:tc>
        <w:tc>
          <w:tcPr>
            <w:tcW w:w="2878" w:type="dxa"/>
            <w:tcBorders>
              <w:top w:val="nil"/>
              <w:left w:val="nil"/>
              <w:bottom w:val="single" w:color="auto" w:sz="4" w:space="0"/>
              <w:right w:val="single" w:color="auto" w:sz="4" w:space="0"/>
            </w:tcBorders>
            <w:shd w:val="clear" w:color="auto" w:fill="auto"/>
            <w:vAlign w:val="center"/>
          </w:tcPr>
          <w:p>
            <w:pPr>
              <w:jc w:val="left"/>
              <w:rPr>
                <w:rFonts w:hint="eastAsia" w:ascii="仿宋" w:hAnsi="仿宋" w:eastAsia="仿宋" w:cs="宋体"/>
                <w:color w:val="auto"/>
                <w:szCs w:val="21"/>
              </w:rPr>
            </w:pPr>
            <w:r>
              <w:rPr>
                <w:rFonts w:hint="eastAsia" w:ascii="仿宋" w:hAnsi="仿宋" w:eastAsia="仿宋" w:cs="宋体"/>
                <w:color w:val="auto"/>
                <w:szCs w:val="21"/>
              </w:rPr>
              <w:t>技术要求详细见</w:t>
            </w:r>
            <w:r>
              <w:rPr>
                <w:rFonts w:hint="eastAsia" w:ascii="仿宋" w:hAnsi="仿宋" w:eastAsia="仿宋" w:cs="宋体"/>
                <w:color w:val="auto"/>
                <w:szCs w:val="21"/>
                <w:lang w:val="en-US" w:eastAsia="zh-CN"/>
              </w:rPr>
              <w:t>2.</w:t>
            </w:r>
            <w:r>
              <w:rPr>
                <w:rFonts w:hint="eastAsia" w:ascii="仿宋" w:hAnsi="仿宋" w:eastAsia="仿宋" w:cs="宋体"/>
                <w:color w:val="auto"/>
                <w:szCs w:val="21"/>
              </w:rPr>
              <w:t>2章节</w:t>
            </w:r>
          </w:p>
        </w:tc>
        <w:tc>
          <w:tcPr>
            <w:tcW w:w="1445" w:type="dxa"/>
            <w:tcBorders>
              <w:top w:val="nil"/>
              <w:left w:val="nil"/>
              <w:bottom w:val="single" w:color="auto" w:sz="4" w:space="0"/>
              <w:right w:val="single" w:color="auto" w:sz="4" w:space="0"/>
            </w:tcBorders>
            <w:shd w:val="clear" w:color="auto" w:fill="auto"/>
            <w:vAlign w:val="center"/>
          </w:tcPr>
          <w:p>
            <w:pPr>
              <w:jc w:val="center"/>
              <w:rPr>
                <w:rFonts w:hint="eastAsia" w:ascii="仿宋" w:hAnsi="仿宋" w:eastAsia="仿宋" w:cs="宋体"/>
                <w:color w:val="auto"/>
                <w:szCs w:val="21"/>
                <w:lang w:val="en-US" w:eastAsia="zh-CN"/>
              </w:rPr>
            </w:pPr>
            <w:r>
              <w:rPr>
                <w:rFonts w:hint="eastAsia" w:ascii="仿宋" w:hAnsi="仿宋" w:eastAsia="仿宋" w:cs="宋体"/>
                <w:color w:val="auto"/>
                <w:szCs w:val="21"/>
                <w:lang w:val="en-US" w:eastAsia="zh-CN"/>
              </w:rPr>
              <w:t>1</w:t>
            </w:r>
          </w:p>
        </w:tc>
        <w:tc>
          <w:tcPr>
            <w:tcW w:w="1173" w:type="dxa"/>
            <w:tcBorders>
              <w:top w:val="nil"/>
              <w:left w:val="nil"/>
              <w:bottom w:val="single" w:color="auto" w:sz="4" w:space="0"/>
              <w:right w:val="single" w:color="auto" w:sz="4" w:space="0"/>
            </w:tcBorders>
            <w:shd w:val="clear" w:color="auto" w:fill="auto"/>
            <w:vAlign w:val="center"/>
          </w:tcPr>
          <w:p>
            <w:pPr>
              <w:jc w:val="center"/>
              <w:rPr>
                <w:rFonts w:hint="eastAsia" w:ascii="仿宋" w:hAnsi="仿宋" w:eastAsia="仿宋" w:cs="宋体"/>
                <w:color w:val="auto"/>
                <w:szCs w:val="21"/>
              </w:rPr>
            </w:pPr>
            <w:r>
              <w:rPr>
                <w:rFonts w:hint="eastAsia" w:ascii="仿宋" w:hAnsi="仿宋" w:eastAsia="仿宋" w:cs="宋体"/>
                <w:color w:val="auto"/>
                <w:szCs w:val="21"/>
              </w:rPr>
              <w:t>个</w:t>
            </w:r>
          </w:p>
        </w:tc>
      </w:tr>
      <w:tr>
        <w:trPr>
          <w:trHeight w:val="593" w:hRule="atLeast"/>
        </w:trPr>
        <w:tc>
          <w:tcPr>
            <w:tcW w:w="846" w:type="dxa"/>
            <w:tcBorders>
              <w:top w:val="nil"/>
              <w:left w:val="single" w:color="auto" w:sz="4" w:space="0"/>
              <w:bottom w:val="single" w:color="auto" w:sz="4" w:space="0"/>
              <w:right w:val="single" w:color="auto" w:sz="4" w:space="0"/>
            </w:tcBorders>
            <w:shd w:val="clear" w:color="auto" w:fill="auto"/>
            <w:vAlign w:val="center"/>
          </w:tcPr>
          <w:p>
            <w:pPr>
              <w:jc w:val="center"/>
              <w:rPr>
                <w:rFonts w:hint="eastAsia" w:ascii="仿宋" w:hAnsi="仿宋" w:eastAsia="仿宋" w:cs="宋体"/>
                <w:color w:val="auto"/>
                <w:szCs w:val="21"/>
              </w:rPr>
            </w:pPr>
            <w:r>
              <w:rPr>
                <w:rFonts w:hint="eastAsia" w:ascii="仿宋" w:hAnsi="仿宋" w:eastAsia="仿宋" w:cs="宋体"/>
                <w:color w:val="auto"/>
                <w:szCs w:val="21"/>
              </w:rPr>
              <w:t>3</w:t>
            </w:r>
          </w:p>
        </w:tc>
        <w:tc>
          <w:tcPr>
            <w:tcW w:w="3040" w:type="dxa"/>
            <w:tcBorders>
              <w:top w:val="nil"/>
              <w:left w:val="nil"/>
              <w:bottom w:val="single" w:color="auto" w:sz="4" w:space="0"/>
              <w:right w:val="single" w:color="auto" w:sz="4" w:space="0"/>
            </w:tcBorders>
            <w:shd w:val="clear" w:color="auto" w:fill="auto"/>
            <w:vAlign w:val="center"/>
          </w:tcPr>
          <w:p>
            <w:pPr>
              <w:jc w:val="left"/>
              <w:rPr>
                <w:rFonts w:hint="eastAsia" w:ascii="仿宋" w:hAnsi="仿宋" w:eastAsia="仿宋" w:cs="宋体"/>
                <w:color w:val="auto"/>
                <w:szCs w:val="21"/>
              </w:rPr>
            </w:pPr>
            <w:r>
              <w:rPr>
                <w:rFonts w:hint="eastAsia" w:ascii="仿宋" w:hAnsi="仿宋" w:eastAsia="仿宋" w:cs="宋体"/>
                <w:color w:val="auto"/>
                <w:szCs w:val="21"/>
              </w:rPr>
              <w:t>根证书</w:t>
            </w:r>
          </w:p>
        </w:tc>
        <w:tc>
          <w:tcPr>
            <w:tcW w:w="2878" w:type="dxa"/>
            <w:tcBorders>
              <w:top w:val="nil"/>
              <w:left w:val="nil"/>
              <w:bottom w:val="single" w:color="auto" w:sz="4" w:space="0"/>
              <w:right w:val="single" w:color="auto" w:sz="4" w:space="0"/>
            </w:tcBorders>
            <w:shd w:val="clear" w:color="auto" w:fill="auto"/>
            <w:vAlign w:val="center"/>
          </w:tcPr>
          <w:p>
            <w:pPr>
              <w:jc w:val="left"/>
              <w:rPr>
                <w:rFonts w:hint="eastAsia" w:ascii="仿宋" w:hAnsi="仿宋" w:eastAsia="仿宋" w:cs="宋体"/>
                <w:color w:val="auto"/>
                <w:szCs w:val="21"/>
              </w:rPr>
            </w:pPr>
            <w:r>
              <w:rPr>
                <w:rFonts w:hint="eastAsia" w:ascii="仿宋" w:hAnsi="仿宋" w:eastAsia="仿宋" w:cs="宋体"/>
                <w:color w:val="auto"/>
                <w:szCs w:val="21"/>
              </w:rPr>
              <w:t>技术要求详细见</w:t>
            </w:r>
            <w:r>
              <w:rPr>
                <w:rFonts w:hint="eastAsia" w:ascii="仿宋" w:hAnsi="仿宋" w:eastAsia="仿宋" w:cs="宋体"/>
                <w:color w:val="auto"/>
                <w:szCs w:val="21"/>
                <w:lang w:val="en-US" w:eastAsia="zh-CN"/>
              </w:rPr>
              <w:t>2.</w:t>
            </w:r>
            <w:r>
              <w:rPr>
                <w:rFonts w:hint="eastAsia" w:ascii="仿宋" w:hAnsi="仿宋" w:eastAsia="仿宋" w:cs="宋体"/>
                <w:color w:val="auto"/>
                <w:szCs w:val="21"/>
              </w:rPr>
              <w:t>3章节</w:t>
            </w:r>
          </w:p>
        </w:tc>
        <w:tc>
          <w:tcPr>
            <w:tcW w:w="1445" w:type="dxa"/>
            <w:tcBorders>
              <w:top w:val="nil"/>
              <w:left w:val="nil"/>
              <w:bottom w:val="single" w:color="auto" w:sz="4" w:space="0"/>
              <w:right w:val="single" w:color="auto" w:sz="4" w:space="0"/>
            </w:tcBorders>
            <w:shd w:val="clear" w:color="auto" w:fill="auto"/>
            <w:vAlign w:val="center"/>
          </w:tcPr>
          <w:p>
            <w:pPr>
              <w:jc w:val="center"/>
              <w:rPr>
                <w:rFonts w:hint="eastAsia" w:ascii="仿宋" w:hAnsi="仿宋" w:eastAsia="仿宋" w:cs="宋体"/>
                <w:color w:val="auto"/>
                <w:szCs w:val="21"/>
                <w:lang w:val="en-US" w:eastAsia="zh-CN"/>
              </w:rPr>
            </w:pPr>
            <w:r>
              <w:rPr>
                <w:rFonts w:hint="eastAsia" w:ascii="仿宋" w:hAnsi="仿宋" w:eastAsia="仿宋" w:cs="宋体"/>
                <w:color w:val="auto"/>
                <w:szCs w:val="21"/>
              </w:rPr>
              <w:t>1</w:t>
            </w:r>
          </w:p>
        </w:tc>
        <w:tc>
          <w:tcPr>
            <w:tcW w:w="1173" w:type="dxa"/>
            <w:tcBorders>
              <w:top w:val="nil"/>
              <w:left w:val="nil"/>
              <w:bottom w:val="single" w:color="auto" w:sz="4" w:space="0"/>
              <w:right w:val="single" w:color="auto" w:sz="4" w:space="0"/>
            </w:tcBorders>
            <w:shd w:val="clear" w:color="auto" w:fill="auto"/>
            <w:vAlign w:val="center"/>
          </w:tcPr>
          <w:p>
            <w:pPr>
              <w:jc w:val="center"/>
              <w:rPr>
                <w:rFonts w:hint="eastAsia" w:ascii="仿宋" w:hAnsi="仿宋" w:eastAsia="仿宋" w:cs="宋体"/>
                <w:color w:val="auto"/>
                <w:szCs w:val="21"/>
                <w:lang w:val="en-US" w:eastAsia="zh-CN"/>
              </w:rPr>
            </w:pPr>
            <w:r>
              <w:rPr>
                <w:rFonts w:hint="eastAsia" w:ascii="仿宋" w:hAnsi="仿宋" w:eastAsia="仿宋" w:cs="宋体"/>
                <w:color w:val="auto"/>
                <w:szCs w:val="21"/>
                <w:lang w:val="en-US" w:eastAsia="zh-CN"/>
              </w:rPr>
              <w:t>张</w:t>
            </w:r>
          </w:p>
        </w:tc>
      </w:tr>
    </w:tbl>
    <w:p>
      <w:pPr>
        <w:numPr>
          <w:ilvl w:val="0"/>
          <w:numId w:val="0"/>
        </w:numPr>
        <w:rPr>
          <w:rFonts w:hint="eastAsia" w:ascii="仿宋" w:hAnsi="仿宋" w:eastAsia="仿宋"/>
          <w:b/>
          <w:color w:val="auto"/>
          <w:sz w:val="24"/>
          <w:szCs w:val="24"/>
        </w:rPr>
      </w:pPr>
    </w:p>
    <w:p>
      <w:pPr>
        <w:rPr>
          <w:rFonts w:hint="eastAsia" w:ascii="仿宋" w:hAnsi="仿宋" w:eastAsia="仿宋"/>
          <w:b/>
          <w:color w:val="auto"/>
          <w:sz w:val="24"/>
          <w:szCs w:val="24"/>
          <w:lang w:val="en-US" w:eastAsia="zh-CN"/>
        </w:rPr>
      </w:pPr>
      <w:r>
        <w:rPr>
          <w:rFonts w:hint="eastAsia" w:ascii="仿宋" w:hAnsi="仿宋" w:eastAsia="仿宋"/>
          <w:b/>
          <w:color w:val="auto"/>
          <w:sz w:val="24"/>
          <w:szCs w:val="24"/>
          <w:lang w:val="en-US" w:eastAsia="zh-CN"/>
        </w:rPr>
        <w:t>二、详细要求</w:t>
      </w:r>
    </w:p>
    <w:tbl>
      <w:tblPr>
        <w:tblStyle w:val="4"/>
        <w:tblW w:w="5079"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91"/>
        <w:gridCol w:w="7307"/>
        <w:gridCol w:w="11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jc w:val="center"/>
        </w:trPr>
        <w:tc>
          <w:tcPr>
            <w:tcW w:w="523" w:type="pct"/>
            <w:vAlign w:val="center"/>
          </w:tcPr>
          <w:p>
            <w:pPr>
              <w:jc w:val="center"/>
              <w:rPr>
                <w:rFonts w:ascii="仿宋" w:hAnsi="仿宋" w:eastAsia="仿宋"/>
                <w:b/>
                <w:bCs/>
                <w:color w:val="auto"/>
                <w:szCs w:val="21"/>
              </w:rPr>
            </w:pPr>
            <w:r>
              <w:rPr>
                <w:rFonts w:hint="eastAsia" w:ascii="仿宋" w:hAnsi="仿宋" w:eastAsia="仿宋"/>
                <w:b/>
                <w:bCs/>
                <w:color w:val="auto"/>
                <w:szCs w:val="21"/>
              </w:rPr>
              <w:t>序号</w:t>
            </w:r>
          </w:p>
        </w:tc>
        <w:tc>
          <w:tcPr>
            <w:tcW w:w="3853" w:type="pct"/>
            <w:vAlign w:val="center"/>
          </w:tcPr>
          <w:p>
            <w:pPr>
              <w:jc w:val="center"/>
              <w:rPr>
                <w:rFonts w:ascii="仿宋" w:hAnsi="仿宋" w:eastAsia="仿宋"/>
                <w:b/>
                <w:bCs/>
                <w:color w:val="auto"/>
                <w:szCs w:val="21"/>
              </w:rPr>
            </w:pPr>
            <w:r>
              <w:rPr>
                <w:rFonts w:hint="eastAsia" w:ascii="仿宋" w:hAnsi="仿宋" w:eastAsia="仿宋"/>
                <w:b/>
                <w:bCs/>
                <w:color w:val="auto"/>
                <w:szCs w:val="21"/>
              </w:rPr>
              <w:t>技术规格及其它要求</w:t>
            </w:r>
          </w:p>
        </w:tc>
        <w:tc>
          <w:tcPr>
            <w:tcW w:w="622" w:type="pct"/>
            <w:vAlign w:val="center"/>
          </w:tcPr>
          <w:p>
            <w:pPr>
              <w:jc w:val="center"/>
              <w:rPr>
                <w:rFonts w:ascii="仿宋" w:hAnsi="仿宋" w:eastAsia="仿宋"/>
                <w:b/>
                <w:bCs/>
                <w:color w:val="auto"/>
                <w:szCs w:val="21"/>
              </w:rPr>
            </w:pPr>
            <w:r>
              <w:rPr>
                <w:rFonts w:hint="eastAsia" w:ascii="仿宋" w:hAnsi="仿宋" w:eastAsia="仿宋"/>
                <w:b/>
                <w:bCs/>
                <w:color w:val="auto"/>
                <w:szCs w:val="21"/>
              </w:rPr>
              <w:t>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523" w:type="pct"/>
            <w:vAlign w:val="center"/>
          </w:tcPr>
          <w:p>
            <w:pPr>
              <w:jc w:val="center"/>
              <w:rPr>
                <w:rFonts w:ascii="仿宋" w:hAnsi="仿宋" w:eastAsia="仿宋" w:cs="宋体"/>
                <w:b/>
                <w:color w:val="auto"/>
                <w:szCs w:val="21"/>
              </w:rPr>
            </w:pPr>
            <w:r>
              <w:rPr>
                <w:rFonts w:hint="eastAsia" w:ascii="仿宋" w:hAnsi="仿宋" w:eastAsia="仿宋" w:cs="宋体"/>
                <w:b/>
                <w:color w:val="auto"/>
                <w:szCs w:val="21"/>
              </w:rPr>
              <w:t>1</w:t>
            </w:r>
          </w:p>
        </w:tc>
        <w:tc>
          <w:tcPr>
            <w:tcW w:w="3853" w:type="pct"/>
            <w:vAlign w:val="center"/>
          </w:tcPr>
          <w:p>
            <w:pPr>
              <w:jc w:val="left"/>
              <w:rPr>
                <w:rFonts w:ascii="仿宋" w:hAnsi="仿宋" w:eastAsia="仿宋" w:cs="宋体"/>
                <w:b/>
                <w:color w:val="auto"/>
                <w:kern w:val="0"/>
                <w:szCs w:val="21"/>
              </w:rPr>
            </w:pPr>
            <w:r>
              <w:rPr>
                <w:rFonts w:hint="eastAsia" w:ascii="仿宋" w:hAnsi="仿宋" w:eastAsia="仿宋" w:cs="宋体"/>
                <w:b/>
                <w:color w:val="auto"/>
                <w:szCs w:val="21"/>
              </w:rPr>
              <w:t>总体要求</w:t>
            </w:r>
          </w:p>
        </w:tc>
        <w:tc>
          <w:tcPr>
            <w:tcW w:w="622" w:type="pct"/>
            <w:vAlign w:val="center"/>
          </w:tcPr>
          <w:p>
            <w:pPr>
              <w:jc w:val="left"/>
              <w:rPr>
                <w:rFonts w:ascii="仿宋" w:hAnsi="仿宋" w:eastAsia="仿宋" w:cs="宋体"/>
                <w:color w:val="auto"/>
                <w:kern w:val="0"/>
                <w:szCs w:val="21"/>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1.1</w:t>
            </w:r>
          </w:p>
        </w:tc>
        <w:tc>
          <w:tcPr>
            <w:tcW w:w="3853" w:type="pct"/>
            <w:vAlign w:val="center"/>
          </w:tcPr>
          <w:p>
            <w:pPr>
              <w:jc w:val="left"/>
              <w:rPr>
                <w:rFonts w:ascii="仿宋" w:hAnsi="仿宋" w:eastAsia="仿宋" w:cs="宋体"/>
                <w:color w:val="auto"/>
                <w:szCs w:val="21"/>
              </w:rPr>
            </w:pPr>
            <w:r>
              <w:rPr>
                <w:rFonts w:hint="eastAsia" w:ascii="仿宋" w:hAnsi="仿宋" w:eastAsia="仿宋" w:cs="宋体"/>
                <w:color w:val="auto"/>
                <w:szCs w:val="21"/>
              </w:rPr>
              <w:t>保障电子票据专用签名设备和电子票据业务正常运行。</w:t>
            </w:r>
          </w:p>
        </w:tc>
        <w:tc>
          <w:tcPr>
            <w:tcW w:w="622" w:type="pct"/>
            <w:vAlign w:val="center"/>
          </w:tcPr>
          <w:p>
            <w:pPr>
              <w:jc w:val="left"/>
              <w:rPr>
                <w:rFonts w:ascii="仿宋" w:hAnsi="仿宋" w:eastAsia="仿宋" w:cs="宋体"/>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1.2</w:t>
            </w:r>
          </w:p>
        </w:tc>
        <w:tc>
          <w:tcPr>
            <w:tcW w:w="3853" w:type="pct"/>
            <w:vAlign w:val="center"/>
          </w:tcPr>
          <w:p>
            <w:pPr>
              <w:jc w:val="left"/>
              <w:rPr>
                <w:rFonts w:hint="eastAsia" w:ascii="仿宋" w:hAnsi="仿宋" w:eastAsia="仿宋" w:cs="宋体"/>
                <w:color w:val="auto"/>
                <w:kern w:val="0"/>
                <w:szCs w:val="21"/>
                <w:lang w:eastAsia="zh-CN"/>
              </w:rPr>
            </w:pPr>
            <w:r>
              <w:rPr>
                <w:rFonts w:hint="eastAsia" w:ascii="仿宋" w:hAnsi="仿宋" w:eastAsia="仿宋"/>
                <w:color w:val="auto"/>
                <w:szCs w:val="21"/>
              </w:rPr>
              <w:t>财政电子票据验签设备的是集根证书、授权许可、数据加密、数字签名、信息验证于一身的软硬件一体化“黑箱”专用设备。维保服务提供服务器硬件保修、软件升级及技术支持，通过事先预防、事中应急、事后防范的技术机制，消除产生故障的薄弱环节、降低故障对业务的影响，使电子票据业务系统更趋于稳定、安全、合理和高效。</w:t>
            </w:r>
            <w:r>
              <w:rPr>
                <w:rFonts w:hint="eastAsia" w:ascii="仿宋" w:hAnsi="仿宋" w:eastAsia="仿宋"/>
                <w:color w:val="auto"/>
                <w:szCs w:val="21"/>
              </w:rPr>
              <w:t>提供 7x24小时技术支持及售后维护服务，对用户的服务要求应在2小时内响应</w:t>
            </w:r>
            <w:r>
              <w:rPr>
                <w:rFonts w:hint="eastAsia" w:ascii="仿宋" w:hAnsi="仿宋" w:eastAsia="仿宋"/>
                <w:color w:val="auto"/>
                <w:szCs w:val="21"/>
                <w:lang w:eastAsia="zh-CN"/>
              </w:rPr>
              <w:t>；</w:t>
            </w:r>
            <w:r>
              <w:rPr>
                <w:rFonts w:hint="eastAsia" w:ascii="仿宋" w:hAnsi="仿宋" w:eastAsia="仿宋"/>
                <w:color w:val="auto"/>
                <w:szCs w:val="21"/>
              </w:rPr>
              <w:t>并在 4小时内解决问题，重大问题或其它无法迅速解决的问题应在 24小时内解决或提出明确解决方案</w:t>
            </w:r>
            <w:r>
              <w:rPr>
                <w:rFonts w:hint="eastAsia" w:ascii="仿宋" w:hAnsi="仿宋" w:eastAsia="仿宋"/>
                <w:color w:val="auto"/>
                <w:szCs w:val="21"/>
                <w:lang w:eastAsia="zh-CN"/>
              </w:rPr>
              <w:t>。</w:t>
            </w:r>
          </w:p>
        </w:tc>
        <w:tc>
          <w:tcPr>
            <w:tcW w:w="622" w:type="pct"/>
            <w:vAlign w:val="center"/>
          </w:tcPr>
          <w:p>
            <w:pPr>
              <w:jc w:val="left"/>
              <w:rPr>
                <w:rFonts w:ascii="仿宋" w:hAnsi="仿宋" w:eastAsia="仿宋" w:cs="宋体"/>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jc w:val="center"/>
        </w:trPr>
        <w:tc>
          <w:tcPr>
            <w:tcW w:w="523" w:type="pct"/>
            <w:vAlign w:val="center"/>
          </w:tcPr>
          <w:p>
            <w:pPr>
              <w:jc w:val="center"/>
              <w:rPr>
                <w:rFonts w:ascii="仿宋" w:hAnsi="仿宋" w:eastAsia="仿宋" w:cs="宋体"/>
                <w:b/>
                <w:color w:val="auto"/>
                <w:szCs w:val="21"/>
              </w:rPr>
            </w:pPr>
            <w:r>
              <w:rPr>
                <w:rFonts w:hint="eastAsia" w:ascii="仿宋" w:hAnsi="仿宋" w:eastAsia="仿宋" w:cs="宋体"/>
                <w:b/>
                <w:color w:val="auto"/>
                <w:szCs w:val="21"/>
              </w:rPr>
              <w:t>2</w:t>
            </w:r>
          </w:p>
        </w:tc>
        <w:tc>
          <w:tcPr>
            <w:tcW w:w="3853" w:type="pct"/>
            <w:vAlign w:val="center"/>
          </w:tcPr>
          <w:p>
            <w:pPr>
              <w:jc w:val="left"/>
              <w:rPr>
                <w:rFonts w:ascii="仿宋" w:hAnsi="仿宋" w:eastAsia="仿宋" w:cs="宋体"/>
                <w:b/>
                <w:color w:val="auto"/>
                <w:szCs w:val="21"/>
              </w:rPr>
            </w:pPr>
            <w:r>
              <w:rPr>
                <w:rFonts w:hint="eastAsia" w:ascii="仿宋" w:hAnsi="仿宋" w:eastAsia="仿宋" w:cs="宋体"/>
                <w:b/>
                <w:color w:val="auto"/>
                <w:szCs w:val="21"/>
              </w:rPr>
              <w:t>技术参数</w:t>
            </w:r>
          </w:p>
        </w:tc>
        <w:tc>
          <w:tcPr>
            <w:tcW w:w="622" w:type="pct"/>
            <w:vAlign w:val="center"/>
          </w:tcPr>
          <w:p>
            <w:pPr>
              <w:jc w:val="left"/>
              <w:rPr>
                <w:rFonts w:ascii="仿宋" w:hAnsi="仿宋" w:eastAsia="仿宋" w:cs="宋体"/>
                <w:color w:val="auto"/>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b/>
                <w:bCs/>
                <w:color w:val="auto"/>
                <w:szCs w:val="21"/>
              </w:rPr>
              <w:t>2.1</w:t>
            </w:r>
          </w:p>
        </w:tc>
        <w:tc>
          <w:tcPr>
            <w:tcW w:w="3853" w:type="pct"/>
            <w:vAlign w:val="center"/>
          </w:tcPr>
          <w:p>
            <w:pPr>
              <w:widowControl/>
              <w:jc w:val="left"/>
              <w:rPr>
                <w:rFonts w:ascii="仿宋" w:hAnsi="仿宋" w:eastAsia="仿宋" w:cs="宋体"/>
                <w:color w:val="auto"/>
                <w:szCs w:val="21"/>
              </w:rPr>
            </w:pPr>
            <w:r>
              <w:rPr>
                <w:rFonts w:hint="eastAsia" w:ascii="仿宋" w:hAnsi="仿宋" w:eastAsia="仿宋" w:cs="宋体"/>
                <w:b/>
                <w:bCs/>
                <w:color w:val="auto"/>
                <w:szCs w:val="21"/>
              </w:rPr>
              <w:t>电子票据专用签名设备维保（数量：</w:t>
            </w:r>
            <w:r>
              <w:rPr>
                <w:rFonts w:hint="eastAsia" w:ascii="仿宋" w:hAnsi="仿宋" w:eastAsia="仿宋" w:cs="宋体"/>
                <w:b/>
                <w:bCs/>
                <w:color w:val="auto"/>
                <w:szCs w:val="21"/>
                <w:lang w:val="en-US" w:eastAsia="zh-CN"/>
              </w:rPr>
              <w:t>1台</w:t>
            </w:r>
            <w:r>
              <w:rPr>
                <w:rFonts w:hint="eastAsia" w:ascii="仿宋" w:hAnsi="仿宋" w:eastAsia="仿宋" w:cs="宋体"/>
                <w:b/>
                <w:bCs/>
                <w:color w:val="auto"/>
                <w:szCs w:val="21"/>
              </w:rPr>
              <w:t>）</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2.1.1</w:t>
            </w:r>
          </w:p>
        </w:tc>
        <w:tc>
          <w:tcPr>
            <w:tcW w:w="3853" w:type="pct"/>
            <w:vAlign w:val="center"/>
          </w:tcPr>
          <w:p>
            <w:pPr>
              <w:widowControl/>
              <w:jc w:val="left"/>
              <w:rPr>
                <w:rFonts w:ascii="仿宋" w:hAnsi="仿宋" w:eastAsia="仿宋" w:cs="宋体"/>
                <w:b/>
                <w:bCs/>
                <w:color w:val="auto"/>
                <w:szCs w:val="21"/>
              </w:rPr>
            </w:pPr>
            <w:r>
              <w:rPr>
                <w:rFonts w:hint="eastAsia" w:ascii="仿宋" w:hAnsi="仿宋" w:eastAsia="仿宋" w:cs="宋体"/>
                <w:b/>
                <w:bCs/>
                <w:color w:val="auto"/>
                <w:szCs w:val="21"/>
              </w:rPr>
              <w:t>服务期：</w:t>
            </w:r>
            <w:r>
              <w:rPr>
                <w:rFonts w:hint="eastAsia" w:ascii="仿宋" w:hAnsi="仿宋" w:eastAsia="仿宋" w:cs="宋体"/>
                <w:color w:val="auto"/>
                <w:szCs w:val="21"/>
              </w:rPr>
              <w:t>激活后</w:t>
            </w:r>
            <w:r>
              <w:rPr>
                <w:rFonts w:hint="eastAsia" w:ascii="仿宋" w:hAnsi="仿宋" w:eastAsia="仿宋" w:cs="宋体"/>
                <w:color w:val="auto"/>
                <w:szCs w:val="21"/>
                <w:lang w:val="en-US" w:eastAsia="zh-CN"/>
              </w:rPr>
              <w:t>12</w:t>
            </w:r>
            <w:r>
              <w:rPr>
                <w:rFonts w:hint="eastAsia" w:ascii="仿宋" w:hAnsi="仿宋" w:eastAsia="仿宋" w:cs="宋体"/>
                <w:color w:val="auto"/>
                <w:szCs w:val="21"/>
              </w:rPr>
              <w:t>个月内。</w:t>
            </w:r>
          </w:p>
        </w:tc>
        <w:tc>
          <w:tcPr>
            <w:tcW w:w="622" w:type="pct"/>
            <w:vAlign w:val="center"/>
          </w:tcPr>
          <w:p>
            <w:pPr>
              <w:jc w:val="left"/>
              <w:rPr>
                <w:rFonts w:ascii="仿宋" w:hAnsi="仿宋" w:eastAsia="仿宋" w:cs="宋体"/>
                <w:b/>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2.1.2</w:t>
            </w:r>
          </w:p>
        </w:tc>
        <w:tc>
          <w:tcPr>
            <w:tcW w:w="3853" w:type="pct"/>
            <w:vAlign w:val="center"/>
          </w:tcPr>
          <w:p>
            <w:pPr>
              <w:jc w:val="left"/>
              <w:rPr>
                <w:rFonts w:ascii="仿宋" w:hAnsi="仿宋" w:eastAsia="仿宋" w:cs="宋体"/>
                <w:color w:val="auto"/>
                <w:szCs w:val="21"/>
              </w:rPr>
            </w:pPr>
            <w:r>
              <w:rPr>
                <w:rFonts w:hint="eastAsia" w:ascii="仿宋" w:hAnsi="仿宋" w:eastAsia="仿宋" w:cs="Arial"/>
                <w:b/>
                <w:bCs/>
                <w:color w:val="auto"/>
                <w:szCs w:val="21"/>
              </w:rPr>
              <w:t>硬件设备检修：</w:t>
            </w:r>
            <w:r>
              <w:rPr>
                <w:rFonts w:hint="eastAsia" w:ascii="仿宋" w:hAnsi="仿宋" w:eastAsia="仿宋"/>
                <w:color w:val="auto"/>
                <w:szCs w:val="21"/>
              </w:rPr>
              <w:t>提供硬件服务器的故障维修（非人为损坏及非不可抗拒的原因所造成的服务器硬件损坏均属保修服务之列）</w:t>
            </w:r>
            <w:r>
              <w:rPr>
                <w:rFonts w:hint="eastAsia" w:ascii="仿宋" w:hAnsi="仿宋" w:eastAsia="仿宋" w:cs="Arial"/>
                <w:color w:val="auto"/>
                <w:szCs w:val="21"/>
              </w:rPr>
              <w:t>。</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2.1.3</w:t>
            </w:r>
          </w:p>
        </w:tc>
        <w:tc>
          <w:tcPr>
            <w:tcW w:w="3853" w:type="pct"/>
            <w:shd w:val="clear" w:color="auto" w:fill="FFFFFF"/>
            <w:vAlign w:val="center"/>
          </w:tcPr>
          <w:p>
            <w:pPr>
              <w:jc w:val="left"/>
              <w:rPr>
                <w:rFonts w:ascii="仿宋" w:hAnsi="仿宋" w:eastAsia="仿宋" w:cs="宋体"/>
                <w:color w:val="auto"/>
                <w:szCs w:val="21"/>
              </w:rPr>
            </w:pPr>
            <w:r>
              <w:rPr>
                <w:rFonts w:hint="eastAsia" w:ascii="仿宋" w:hAnsi="仿宋" w:eastAsia="仿宋" w:cs="Arial"/>
                <w:b/>
                <w:bCs/>
                <w:color w:val="auto"/>
                <w:kern w:val="0"/>
                <w:szCs w:val="21"/>
              </w:rPr>
              <w:t>现场支持服务：</w:t>
            </w:r>
            <w:r>
              <w:rPr>
                <w:rFonts w:hint="eastAsia" w:ascii="仿宋" w:hAnsi="仿宋" w:eastAsia="仿宋" w:cs="宋体"/>
                <w:color w:val="auto"/>
                <w:szCs w:val="21"/>
              </w:rPr>
              <w:t>提供每年两次以内1-2人（熟悉应用系统的网络结构和配置、证书管理）的现场技术人员支持服务等。</w:t>
            </w:r>
          </w:p>
        </w:tc>
        <w:tc>
          <w:tcPr>
            <w:tcW w:w="622" w:type="pct"/>
            <w:vAlign w:val="center"/>
          </w:tcPr>
          <w:p>
            <w:pPr>
              <w:jc w:val="left"/>
              <w:rPr>
                <w:rFonts w:ascii="仿宋" w:hAnsi="仿宋" w:eastAsia="仿宋" w:cs="宋体"/>
                <w:b/>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2.1.4</w:t>
            </w:r>
          </w:p>
        </w:tc>
        <w:tc>
          <w:tcPr>
            <w:tcW w:w="3853" w:type="pct"/>
            <w:shd w:val="clear" w:color="auto" w:fill="FFFFFF"/>
            <w:vAlign w:val="center"/>
          </w:tcPr>
          <w:p>
            <w:pPr>
              <w:jc w:val="left"/>
              <w:rPr>
                <w:rFonts w:ascii="仿宋" w:hAnsi="仿宋" w:eastAsia="仿宋" w:cs="宋体"/>
                <w:color w:val="auto"/>
                <w:szCs w:val="21"/>
              </w:rPr>
            </w:pPr>
            <w:r>
              <w:rPr>
                <w:rFonts w:hint="eastAsia" w:ascii="仿宋" w:hAnsi="仿宋" w:eastAsia="仿宋" w:cs="宋体"/>
                <w:b/>
                <w:bCs/>
                <w:color w:val="auto"/>
                <w:szCs w:val="21"/>
              </w:rPr>
              <w:t>现场驰援服务：</w:t>
            </w:r>
            <w:r>
              <w:rPr>
                <w:rFonts w:hint="eastAsia" w:ascii="仿宋" w:hAnsi="仿宋" w:eastAsia="仿宋" w:cs="宋体"/>
                <w:color w:val="auto"/>
                <w:szCs w:val="21"/>
              </w:rPr>
              <w:t>远程无法解决的问题，提供接到故障现象通知后，2小时内到达现场。</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2.1.5</w:t>
            </w:r>
          </w:p>
        </w:tc>
        <w:tc>
          <w:tcPr>
            <w:tcW w:w="3853" w:type="pct"/>
            <w:shd w:val="clear" w:color="auto" w:fill="FFFFFF"/>
            <w:vAlign w:val="center"/>
          </w:tcPr>
          <w:p>
            <w:pPr>
              <w:jc w:val="left"/>
              <w:rPr>
                <w:rFonts w:ascii="仿宋" w:hAnsi="仿宋" w:eastAsia="仿宋" w:cs="宋体"/>
                <w:b/>
                <w:color w:val="auto"/>
                <w:szCs w:val="21"/>
              </w:rPr>
            </w:pPr>
            <w:r>
              <w:rPr>
                <w:rFonts w:hint="eastAsia" w:ascii="仿宋" w:hAnsi="仿宋" w:eastAsia="仿宋"/>
                <w:b/>
                <w:bCs/>
                <w:color w:val="auto"/>
                <w:szCs w:val="21"/>
              </w:rPr>
              <w:t>需求评估：</w:t>
            </w:r>
            <w:r>
              <w:rPr>
                <w:rFonts w:hint="eastAsia" w:ascii="仿宋" w:hAnsi="仿宋" w:eastAsia="仿宋" w:cs="宋体"/>
                <w:color w:val="auto"/>
                <w:szCs w:val="21"/>
              </w:rPr>
              <w:t>提供服务器软件系统遵循财政《宁波医疗电子票据管理平台接口规范》、《财政电子票据系统国密算法使用标准》、《财政电子票据系统_SVS_Client接口规范》、《财政电子票据系统_签名控件_接口规范》等技术标准的新需求、以及功能变更工作量评估，包括测试工作等。</w:t>
            </w:r>
          </w:p>
        </w:tc>
        <w:tc>
          <w:tcPr>
            <w:tcW w:w="622" w:type="pct"/>
            <w:vAlign w:val="center"/>
          </w:tcPr>
          <w:p>
            <w:pPr>
              <w:jc w:val="left"/>
              <w:rPr>
                <w:rFonts w:ascii="仿宋" w:hAnsi="仿宋" w:eastAsia="仿宋" w:cs="宋体"/>
                <w:b/>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1"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2.1.6</w:t>
            </w:r>
          </w:p>
        </w:tc>
        <w:tc>
          <w:tcPr>
            <w:tcW w:w="3853" w:type="pct"/>
            <w:shd w:val="clear" w:color="auto" w:fill="FFFFFF"/>
            <w:vAlign w:val="center"/>
          </w:tcPr>
          <w:p>
            <w:pPr>
              <w:widowControl/>
              <w:jc w:val="left"/>
              <w:rPr>
                <w:rFonts w:ascii="仿宋" w:hAnsi="仿宋" w:eastAsia="仿宋" w:cs="宋体"/>
                <w:color w:val="auto"/>
                <w:szCs w:val="21"/>
              </w:rPr>
            </w:pPr>
            <w:r>
              <w:rPr>
                <w:rFonts w:hint="eastAsia" w:ascii="仿宋" w:hAnsi="仿宋" w:eastAsia="仿宋"/>
                <w:b/>
                <w:bCs/>
                <w:color w:val="auto"/>
                <w:szCs w:val="21"/>
              </w:rPr>
              <w:t>问题评估：</w:t>
            </w:r>
            <w:r>
              <w:rPr>
                <w:rFonts w:hint="eastAsia" w:ascii="仿宋" w:hAnsi="仿宋" w:eastAsia="仿宋"/>
                <w:color w:val="auto"/>
                <w:szCs w:val="21"/>
              </w:rPr>
              <w:t>1、对产品应用中经常出现问题的情况进行针对性的技术评估和优化方案；2、提供一年两次客户现场方式对产品应用中经常出现问题的情况进行针对性的技术评估和提供优化方案。</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2.1.7</w:t>
            </w:r>
          </w:p>
        </w:tc>
        <w:tc>
          <w:tcPr>
            <w:tcW w:w="3853" w:type="pct"/>
            <w:shd w:val="clear" w:color="auto" w:fill="FFFFFF"/>
            <w:vAlign w:val="center"/>
          </w:tcPr>
          <w:p>
            <w:pPr>
              <w:jc w:val="left"/>
              <w:rPr>
                <w:rFonts w:ascii="仿宋" w:hAnsi="仿宋" w:eastAsia="仿宋" w:cs="宋体"/>
                <w:color w:val="auto"/>
                <w:szCs w:val="21"/>
              </w:rPr>
            </w:pPr>
            <w:r>
              <w:rPr>
                <w:rFonts w:hint="eastAsia" w:ascii="仿宋" w:hAnsi="仿宋" w:eastAsia="仿宋"/>
                <w:b/>
                <w:bCs/>
                <w:color w:val="auto"/>
                <w:szCs w:val="21"/>
              </w:rPr>
              <w:t>故障总结：</w:t>
            </w:r>
            <w:r>
              <w:rPr>
                <w:rFonts w:hint="eastAsia" w:ascii="仿宋" w:hAnsi="仿宋" w:eastAsia="仿宋" w:cs="宋体"/>
                <w:color w:val="auto"/>
                <w:szCs w:val="21"/>
              </w:rPr>
              <w:t>提供专业人员对系统中发生的故障及处理方法给出技术支持，并在故障处理完毕系统恢复正常运行之日起七日内提交售后服务总结报告和技术分析报告，以利于分析系统运行状态，总结问题产生的原因及预防方法。</w:t>
            </w:r>
          </w:p>
        </w:tc>
        <w:tc>
          <w:tcPr>
            <w:tcW w:w="622" w:type="pct"/>
            <w:vAlign w:val="center"/>
          </w:tcPr>
          <w:p>
            <w:pPr>
              <w:jc w:val="left"/>
              <w:rPr>
                <w:rFonts w:ascii="仿宋" w:hAnsi="仿宋" w:eastAsia="仿宋" w:cs="宋体"/>
                <w:b/>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2.1.8</w:t>
            </w:r>
          </w:p>
        </w:tc>
        <w:tc>
          <w:tcPr>
            <w:tcW w:w="3853" w:type="pct"/>
            <w:shd w:val="clear" w:color="auto" w:fill="FFFFFF"/>
            <w:vAlign w:val="center"/>
          </w:tcPr>
          <w:p>
            <w:pPr>
              <w:jc w:val="left"/>
              <w:rPr>
                <w:rFonts w:ascii="仿宋" w:hAnsi="仿宋" w:eastAsia="仿宋"/>
                <w:b/>
                <w:bCs/>
                <w:color w:val="auto"/>
                <w:szCs w:val="21"/>
                <w:lang w:bidi="en-US"/>
              </w:rPr>
            </w:pPr>
            <w:r>
              <w:rPr>
                <w:rFonts w:hint="eastAsia" w:ascii="仿宋" w:hAnsi="仿宋" w:eastAsia="仿宋"/>
                <w:b/>
                <w:bCs/>
                <w:color w:val="auto"/>
                <w:szCs w:val="21"/>
              </w:rPr>
              <w:t>快速响应：</w:t>
            </w:r>
            <w:r>
              <w:rPr>
                <w:rFonts w:hint="eastAsia" w:ascii="仿宋" w:hAnsi="仿宋" w:eastAsia="仿宋"/>
                <w:color w:val="auto"/>
                <w:szCs w:val="21"/>
              </w:rPr>
              <w:t>1、对影响全局应用紧急问题优先专人处理，每年响应次数不限；2、对非工作日出现的紧急问题有专人支持响应处理；3、必要时立即到现场处理问题。</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2.1.9</w:t>
            </w:r>
          </w:p>
        </w:tc>
        <w:tc>
          <w:tcPr>
            <w:tcW w:w="3853" w:type="pct"/>
            <w:shd w:val="clear" w:color="auto" w:fill="FFFFFF"/>
            <w:vAlign w:val="center"/>
          </w:tcPr>
          <w:p>
            <w:pPr>
              <w:jc w:val="left"/>
              <w:rPr>
                <w:rFonts w:ascii="仿宋" w:hAnsi="仿宋" w:eastAsia="仿宋" w:cs="宋体"/>
                <w:color w:val="auto"/>
                <w:szCs w:val="21"/>
              </w:rPr>
            </w:pPr>
            <w:r>
              <w:rPr>
                <w:rFonts w:hint="eastAsia" w:ascii="仿宋" w:hAnsi="仿宋" w:eastAsia="仿宋"/>
                <w:b/>
                <w:bCs/>
                <w:color w:val="auto"/>
                <w:szCs w:val="21"/>
              </w:rPr>
              <w:t>产品升级：</w:t>
            </w:r>
            <w:r>
              <w:rPr>
                <w:rFonts w:hint="eastAsia" w:ascii="仿宋" w:hAnsi="仿宋" w:eastAsia="仿宋"/>
                <w:color w:val="auto"/>
                <w:szCs w:val="21"/>
              </w:rPr>
              <w:t>根据电子票据业务需要，提供同一产品线产品跨版本升级服务，如：SVS从2.X.1升级到2.X.1版本。</w:t>
            </w:r>
          </w:p>
        </w:tc>
        <w:tc>
          <w:tcPr>
            <w:tcW w:w="622" w:type="pct"/>
            <w:vAlign w:val="center"/>
          </w:tcPr>
          <w:p>
            <w:pPr>
              <w:jc w:val="left"/>
              <w:rPr>
                <w:rFonts w:ascii="仿宋" w:hAnsi="仿宋" w:eastAsia="仿宋" w:cs="宋体"/>
                <w:b/>
                <w:bCs/>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2.1.10</w:t>
            </w:r>
          </w:p>
        </w:tc>
        <w:tc>
          <w:tcPr>
            <w:tcW w:w="3853" w:type="pct"/>
            <w:shd w:val="clear" w:color="auto" w:fill="FFFFFF"/>
            <w:vAlign w:val="center"/>
          </w:tcPr>
          <w:p>
            <w:pPr>
              <w:jc w:val="left"/>
              <w:rPr>
                <w:rFonts w:ascii="仿宋" w:hAnsi="仿宋" w:eastAsia="仿宋" w:cs="宋体"/>
                <w:color w:val="auto"/>
                <w:szCs w:val="21"/>
              </w:rPr>
            </w:pPr>
            <w:r>
              <w:rPr>
                <w:rFonts w:hint="eastAsia" w:ascii="仿宋" w:hAnsi="仿宋" w:eastAsia="仿宋"/>
                <w:b/>
                <w:bCs/>
                <w:color w:val="auto"/>
                <w:szCs w:val="21"/>
              </w:rPr>
              <w:t>升级协助：</w:t>
            </w:r>
            <w:r>
              <w:rPr>
                <w:rFonts w:hint="eastAsia" w:ascii="仿宋" w:hAnsi="仿宋" w:eastAsia="仿宋"/>
                <w:color w:val="auto"/>
                <w:szCs w:val="21"/>
              </w:rPr>
              <w:t>提供远程升级服务，确保安全成功升级。</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2.1.11</w:t>
            </w:r>
          </w:p>
        </w:tc>
        <w:tc>
          <w:tcPr>
            <w:tcW w:w="3853" w:type="pct"/>
            <w:shd w:val="clear" w:color="auto" w:fill="FFFFFF"/>
            <w:vAlign w:val="center"/>
          </w:tcPr>
          <w:p>
            <w:pPr>
              <w:widowControl/>
              <w:jc w:val="left"/>
              <w:rPr>
                <w:rFonts w:ascii="仿宋" w:hAnsi="仿宋" w:eastAsia="仿宋" w:cs="宋体"/>
                <w:color w:val="auto"/>
                <w:szCs w:val="21"/>
              </w:rPr>
            </w:pPr>
            <w:r>
              <w:rPr>
                <w:rFonts w:hint="eastAsia" w:ascii="仿宋" w:hAnsi="仿宋" w:eastAsia="仿宋"/>
                <w:b/>
                <w:bCs/>
                <w:color w:val="auto"/>
                <w:szCs w:val="21"/>
              </w:rPr>
              <w:t>解决技术难题：</w:t>
            </w:r>
            <w:r>
              <w:rPr>
                <w:rFonts w:hint="eastAsia" w:ascii="仿宋" w:hAnsi="仿宋" w:eastAsia="仿宋"/>
                <w:color w:val="auto"/>
                <w:szCs w:val="21"/>
              </w:rPr>
              <w:t>深入协助解决各类和产品有关的技术问题、难题；在无法处理的问题上提供备选的参考解决方案。</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2.1.12</w:t>
            </w:r>
          </w:p>
        </w:tc>
        <w:tc>
          <w:tcPr>
            <w:tcW w:w="3853" w:type="pct"/>
            <w:shd w:val="clear" w:color="auto" w:fill="FFFFFF"/>
            <w:vAlign w:val="center"/>
          </w:tcPr>
          <w:p>
            <w:pPr>
              <w:rPr>
                <w:rFonts w:ascii="仿宋" w:hAnsi="仿宋" w:eastAsia="仿宋" w:cs="宋体"/>
                <w:color w:val="auto"/>
                <w:szCs w:val="21"/>
              </w:rPr>
            </w:pPr>
            <w:r>
              <w:rPr>
                <w:rFonts w:hint="eastAsia" w:ascii="仿宋" w:hAnsi="仿宋" w:eastAsia="仿宋"/>
                <w:b/>
                <w:bCs/>
                <w:color w:val="auto"/>
                <w:szCs w:val="21"/>
              </w:rPr>
              <w:t>远程协助服务：</w:t>
            </w:r>
            <w:r>
              <w:rPr>
                <w:rFonts w:hint="eastAsia" w:ascii="仿宋" w:hAnsi="仿宋" w:eastAsia="仿宋"/>
                <w:color w:val="auto"/>
                <w:szCs w:val="21"/>
              </w:rPr>
              <w:t>当在线支持无法确定解决问题时使用远程协助方式分析应用故障并进行排除，包括环境级问题、数据级问题、程序级问题处理。</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2.1.13</w:t>
            </w:r>
          </w:p>
        </w:tc>
        <w:tc>
          <w:tcPr>
            <w:tcW w:w="3853" w:type="pct"/>
            <w:shd w:val="clear" w:color="auto" w:fill="FFFFFF"/>
            <w:vAlign w:val="center"/>
          </w:tcPr>
          <w:p>
            <w:pPr>
              <w:rPr>
                <w:rFonts w:ascii="仿宋" w:hAnsi="仿宋" w:eastAsia="仿宋" w:cs="宋体"/>
                <w:color w:val="auto"/>
                <w:szCs w:val="21"/>
              </w:rPr>
            </w:pPr>
            <w:r>
              <w:rPr>
                <w:rFonts w:hint="eastAsia" w:ascii="仿宋" w:hAnsi="仿宋" w:eastAsia="仿宋"/>
                <w:color w:val="auto"/>
                <w:szCs w:val="21"/>
              </w:rPr>
              <w:t>技术解答：</w:t>
            </w:r>
            <w:r>
              <w:rPr>
                <w:rFonts w:hint="eastAsia" w:ascii="仿宋" w:hAnsi="仿宋" w:eastAsia="仿宋" w:cs="宋体"/>
                <w:color w:val="auto"/>
                <w:szCs w:val="21"/>
              </w:rPr>
              <w:t>提供</w:t>
            </w:r>
            <w:r>
              <w:rPr>
                <w:rFonts w:hint="eastAsia" w:ascii="仿宋" w:hAnsi="仿宋" w:eastAsia="仿宋"/>
                <w:color w:val="auto"/>
                <w:szCs w:val="21"/>
              </w:rPr>
              <w:t>全年无限次数</w:t>
            </w:r>
            <w:r>
              <w:rPr>
                <w:rFonts w:hint="eastAsia" w:ascii="仿宋" w:hAnsi="仿宋" w:eastAsia="仿宋" w:cs="宋体"/>
                <w:color w:val="auto"/>
                <w:szCs w:val="21"/>
              </w:rPr>
              <w:t>7X24 小时的响应热线电话、手机等方式的解答服务。</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b/>
                <w:bCs/>
                <w:color w:val="auto"/>
                <w:szCs w:val="21"/>
              </w:rPr>
              <w:t>2.2</w:t>
            </w:r>
          </w:p>
        </w:tc>
        <w:tc>
          <w:tcPr>
            <w:tcW w:w="3853" w:type="pct"/>
            <w:shd w:val="clear" w:color="auto" w:fill="FFFFFF"/>
            <w:vAlign w:val="center"/>
          </w:tcPr>
          <w:p>
            <w:pPr>
              <w:widowControl/>
              <w:jc w:val="left"/>
              <w:rPr>
                <w:rFonts w:ascii="仿宋" w:hAnsi="仿宋" w:eastAsia="仿宋" w:cs="宋体"/>
                <w:color w:val="auto"/>
                <w:szCs w:val="21"/>
              </w:rPr>
            </w:pPr>
            <w:r>
              <w:rPr>
                <w:rFonts w:hint="eastAsia" w:ascii="仿宋" w:hAnsi="仿宋" w:eastAsia="仿宋" w:cs="宋体"/>
                <w:b/>
                <w:bCs/>
                <w:color w:val="auto"/>
                <w:szCs w:val="21"/>
              </w:rPr>
              <w:t>设备开户许可（数量：</w:t>
            </w:r>
            <w:r>
              <w:rPr>
                <w:rFonts w:hint="eastAsia" w:ascii="仿宋" w:hAnsi="仿宋" w:eastAsia="仿宋" w:cs="宋体"/>
                <w:b/>
                <w:bCs/>
                <w:color w:val="auto"/>
                <w:szCs w:val="21"/>
                <w:lang w:val="en-US" w:eastAsia="zh-CN"/>
              </w:rPr>
              <w:t>1</w:t>
            </w:r>
            <w:r>
              <w:rPr>
                <w:rFonts w:hint="eastAsia" w:ascii="仿宋" w:hAnsi="仿宋" w:eastAsia="仿宋" w:cs="宋体"/>
                <w:b/>
                <w:bCs/>
                <w:color w:val="auto"/>
                <w:szCs w:val="21"/>
              </w:rPr>
              <w:t>个）</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2.2.1</w:t>
            </w:r>
          </w:p>
        </w:tc>
        <w:tc>
          <w:tcPr>
            <w:tcW w:w="3853" w:type="pct"/>
            <w:shd w:val="clear" w:color="auto" w:fill="FFFFFF"/>
            <w:vAlign w:val="center"/>
          </w:tcPr>
          <w:p>
            <w:pPr>
              <w:widowControl/>
              <w:jc w:val="left"/>
              <w:rPr>
                <w:rFonts w:ascii="仿宋" w:hAnsi="仿宋" w:eastAsia="仿宋" w:cs="宋体"/>
                <w:b/>
                <w:bCs/>
                <w:color w:val="auto"/>
                <w:szCs w:val="21"/>
              </w:rPr>
            </w:pPr>
            <w:r>
              <w:rPr>
                <w:rFonts w:hint="eastAsia" w:ascii="仿宋" w:hAnsi="仿宋" w:eastAsia="仿宋" w:cs="宋体"/>
                <w:b/>
                <w:bCs/>
                <w:color w:val="auto"/>
                <w:szCs w:val="21"/>
              </w:rPr>
              <w:t>服务期：</w:t>
            </w:r>
            <w:r>
              <w:rPr>
                <w:rFonts w:hint="eastAsia" w:ascii="仿宋" w:hAnsi="仿宋" w:eastAsia="仿宋" w:cs="宋体"/>
                <w:color w:val="auto"/>
                <w:szCs w:val="21"/>
              </w:rPr>
              <w:t>激活后</w:t>
            </w:r>
            <w:r>
              <w:rPr>
                <w:rFonts w:hint="eastAsia" w:ascii="仿宋" w:hAnsi="仿宋" w:eastAsia="仿宋" w:cs="宋体"/>
                <w:color w:val="auto"/>
                <w:szCs w:val="21"/>
                <w:lang w:val="en-US" w:eastAsia="zh-CN"/>
              </w:rPr>
              <w:t>12</w:t>
            </w:r>
            <w:r>
              <w:rPr>
                <w:rFonts w:hint="eastAsia" w:ascii="仿宋" w:hAnsi="仿宋" w:eastAsia="仿宋" w:cs="宋体"/>
                <w:color w:val="auto"/>
                <w:szCs w:val="21"/>
              </w:rPr>
              <w:t>个月内。</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2.2.2</w:t>
            </w:r>
          </w:p>
        </w:tc>
        <w:tc>
          <w:tcPr>
            <w:tcW w:w="3853" w:type="pct"/>
            <w:shd w:val="clear" w:color="auto" w:fill="FFFFFF"/>
            <w:vAlign w:val="center"/>
          </w:tcPr>
          <w:p>
            <w:pPr>
              <w:jc w:val="left"/>
              <w:rPr>
                <w:rFonts w:ascii="仿宋" w:hAnsi="仿宋" w:eastAsia="仿宋" w:cs="宋体"/>
                <w:color w:val="auto"/>
                <w:szCs w:val="21"/>
              </w:rPr>
            </w:pPr>
            <w:r>
              <w:rPr>
                <w:rFonts w:hint="eastAsia" w:ascii="仿宋" w:hAnsi="仿宋" w:eastAsia="仿宋" w:cs="宋体"/>
                <w:b/>
                <w:bCs/>
                <w:color w:val="auto"/>
                <w:szCs w:val="21"/>
              </w:rPr>
              <w:t>设备开户许可：</w:t>
            </w:r>
            <w:r>
              <w:rPr>
                <w:rFonts w:hint="eastAsia" w:ascii="仿宋" w:hAnsi="仿宋" w:eastAsia="仿宋" w:cs="宋体"/>
                <w:color w:val="auto"/>
                <w:szCs w:val="21"/>
              </w:rPr>
              <w:t>为满足宁波市急救中心设备</w:t>
            </w:r>
            <w:r>
              <w:rPr>
                <w:rFonts w:hint="eastAsia" w:ascii="仿宋" w:hAnsi="仿宋" w:eastAsia="仿宋" w:cs="宋体"/>
                <w:color w:val="auto"/>
                <w:kern w:val="0"/>
                <w:szCs w:val="21"/>
              </w:rPr>
              <w:t>使用，</w:t>
            </w:r>
            <w:r>
              <w:rPr>
                <w:rFonts w:hint="eastAsia" w:ascii="仿宋" w:hAnsi="仿宋" w:eastAsia="仿宋" w:cs="宋体"/>
                <w:color w:val="auto"/>
                <w:szCs w:val="21"/>
              </w:rPr>
              <w:t>设备配置1个许可。</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523" w:type="pct"/>
            <w:vAlign w:val="center"/>
          </w:tcPr>
          <w:p>
            <w:pPr>
              <w:jc w:val="center"/>
              <w:rPr>
                <w:rFonts w:ascii="仿宋" w:hAnsi="仿宋" w:eastAsia="仿宋" w:cs="宋体"/>
                <w:b/>
                <w:bCs/>
                <w:color w:val="auto"/>
                <w:szCs w:val="21"/>
              </w:rPr>
            </w:pPr>
            <w:r>
              <w:rPr>
                <w:rFonts w:hint="eastAsia" w:ascii="仿宋" w:hAnsi="仿宋" w:eastAsia="仿宋" w:cs="宋体"/>
                <w:b/>
                <w:bCs/>
                <w:color w:val="auto"/>
                <w:szCs w:val="21"/>
              </w:rPr>
              <w:t>2.3</w:t>
            </w:r>
          </w:p>
        </w:tc>
        <w:tc>
          <w:tcPr>
            <w:tcW w:w="3853" w:type="pct"/>
            <w:shd w:val="clear" w:color="auto" w:fill="FFFFFF"/>
            <w:vAlign w:val="center"/>
          </w:tcPr>
          <w:p>
            <w:pPr>
              <w:jc w:val="left"/>
              <w:rPr>
                <w:rFonts w:ascii="仿宋" w:hAnsi="仿宋" w:eastAsia="仿宋" w:cs="宋体"/>
                <w:color w:val="auto"/>
                <w:szCs w:val="21"/>
              </w:rPr>
            </w:pPr>
            <w:r>
              <w:rPr>
                <w:rFonts w:hint="eastAsia" w:ascii="仿宋" w:hAnsi="仿宋" w:eastAsia="仿宋"/>
                <w:b/>
                <w:bCs/>
                <w:color w:val="auto"/>
                <w:szCs w:val="21"/>
              </w:rPr>
              <w:t>根证书</w:t>
            </w:r>
            <w:r>
              <w:rPr>
                <w:rFonts w:hint="eastAsia" w:ascii="仿宋" w:hAnsi="仿宋" w:eastAsia="仿宋" w:cs="宋体"/>
                <w:b/>
                <w:bCs/>
                <w:color w:val="auto"/>
                <w:szCs w:val="21"/>
              </w:rPr>
              <w:t>（数量：1张）</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2.3.1</w:t>
            </w:r>
          </w:p>
        </w:tc>
        <w:tc>
          <w:tcPr>
            <w:tcW w:w="3853" w:type="pct"/>
            <w:shd w:val="clear" w:color="auto" w:fill="FFFFFF"/>
            <w:vAlign w:val="center"/>
          </w:tcPr>
          <w:p>
            <w:pPr>
              <w:widowControl/>
              <w:jc w:val="left"/>
              <w:rPr>
                <w:rFonts w:ascii="仿宋" w:hAnsi="仿宋" w:eastAsia="仿宋" w:cs="宋体"/>
                <w:b/>
                <w:bCs/>
                <w:color w:val="auto"/>
                <w:szCs w:val="21"/>
              </w:rPr>
            </w:pPr>
            <w:r>
              <w:rPr>
                <w:rFonts w:hint="eastAsia" w:ascii="仿宋" w:hAnsi="仿宋" w:eastAsia="仿宋" w:cs="宋体"/>
                <w:b/>
                <w:bCs/>
                <w:color w:val="auto"/>
                <w:szCs w:val="21"/>
              </w:rPr>
              <w:t>服务期：</w:t>
            </w:r>
            <w:r>
              <w:rPr>
                <w:rFonts w:hint="eastAsia" w:ascii="仿宋" w:hAnsi="仿宋" w:eastAsia="仿宋" w:cs="宋体"/>
                <w:color w:val="auto"/>
                <w:szCs w:val="21"/>
              </w:rPr>
              <w:t>激活后</w:t>
            </w:r>
            <w:r>
              <w:rPr>
                <w:rFonts w:hint="eastAsia" w:ascii="仿宋" w:hAnsi="仿宋" w:eastAsia="仿宋" w:cs="宋体"/>
                <w:color w:val="auto"/>
                <w:szCs w:val="21"/>
                <w:lang w:val="en-US" w:eastAsia="zh-CN"/>
              </w:rPr>
              <w:t>12</w:t>
            </w:r>
            <w:r>
              <w:rPr>
                <w:rFonts w:hint="eastAsia" w:ascii="仿宋" w:hAnsi="仿宋" w:eastAsia="仿宋" w:cs="宋体"/>
                <w:color w:val="auto"/>
                <w:szCs w:val="21"/>
              </w:rPr>
              <w:t>个月内。</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rPr>
              <w:t>2.3.2</w:t>
            </w:r>
          </w:p>
        </w:tc>
        <w:tc>
          <w:tcPr>
            <w:tcW w:w="3853" w:type="pct"/>
            <w:shd w:val="clear" w:color="auto" w:fill="FFFFFF"/>
            <w:vAlign w:val="center"/>
          </w:tcPr>
          <w:p>
            <w:pPr>
              <w:widowControl/>
              <w:jc w:val="left"/>
              <w:rPr>
                <w:rFonts w:ascii="仿宋" w:hAnsi="仿宋" w:eastAsia="仿宋" w:cs="宋体"/>
                <w:color w:val="auto"/>
                <w:szCs w:val="21"/>
              </w:rPr>
            </w:pPr>
            <w:r>
              <w:rPr>
                <w:rFonts w:hint="eastAsia" w:ascii="仿宋" w:hAnsi="仿宋" w:eastAsia="仿宋"/>
                <w:b/>
                <w:bCs/>
                <w:color w:val="auto"/>
                <w:szCs w:val="21"/>
              </w:rPr>
              <w:t>根证书：</w:t>
            </w:r>
            <w:r>
              <w:rPr>
                <w:rFonts w:hint="eastAsia" w:ascii="仿宋" w:hAnsi="仿宋" w:eastAsia="仿宋" w:cs="宋体"/>
                <w:color w:val="auto"/>
                <w:szCs w:val="21"/>
              </w:rPr>
              <w:t>权威、公正、合法的第三方认证机构的数字证书，具有国家密码管理局《电子认证服务使用密码许可证》、工业和信息化部《电子认证服务许可证》资质；遵循宁波市财政局CA认证体系，提供符合电子票据应用要求的机构电子签名数字证书，同财政格尔签名验证服务器无缝衔接（提供兼容性证明材料）；采用服务器方式对数字证书进行生成、签发、导入等无KEY管理方式；本次项目提供1张根证书服务。</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83" w:hRule="atLeast"/>
          <w:jc w:val="center"/>
        </w:trPr>
        <w:tc>
          <w:tcPr>
            <w:tcW w:w="523" w:type="pct"/>
            <w:vAlign w:val="center"/>
          </w:tcPr>
          <w:p>
            <w:pPr>
              <w:ind w:left="2"/>
              <w:jc w:val="center"/>
              <w:rPr>
                <w:rFonts w:hint="default" w:ascii="仿宋" w:hAnsi="仿宋" w:eastAsia="仿宋" w:cs="宋体"/>
                <w:b/>
                <w:color w:val="auto"/>
                <w:szCs w:val="21"/>
                <w:lang w:val="en-US" w:eastAsia="zh-CN"/>
              </w:rPr>
            </w:pPr>
            <w:r>
              <w:rPr>
                <w:rFonts w:hint="eastAsia" w:ascii="仿宋" w:hAnsi="仿宋" w:eastAsia="仿宋" w:cs="宋体"/>
                <w:b/>
                <w:color w:val="auto"/>
                <w:szCs w:val="21"/>
                <w:lang w:val="en-US" w:eastAsia="zh-CN"/>
              </w:rPr>
              <w:t>3</w:t>
            </w:r>
          </w:p>
        </w:tc>
        <w:tc>
          <w:tcPr>
            <w:tcW w:w="3853" w:type="pct"/>
            <w:shd w:val="clear" w:color="auto" w:fill="FFFFFF"/>
            <w:vAlign w:val="center"/>
          </w:tcPr>
          <w:p>
            <w:pPr>
              <w:jc w:val="left"/>
              <w:rPr>
                <w:rFonts w:ascii="仿宋" w:hAnsi="仿宋" w:eastAsia="仿宋" w:cs="微软雅黑"/>
                <w:color w:val="auto"/>
                <w:kern w:val="0"/>
                <w:szCs w:val="21"/>
                <w:lang w:bidi="ar"/>
              </w:rPr>
            </w:pPr>
            <w:r>
              <w:rPr>
                <w:rFonts w:hint="eastAsia" w:ascii="仿宋" w:hAnsi="仿宋" w:eastAsia="仿宋" w:cs="宋体"/>
                <w:b/>
                <w:bCs/>
                <w:color w:val="auto"/>
                <w:szCs w:val="21"/>
              </w:rPr>
              <w:t>商务条款、售后服务</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jc w:val="center"/>
        </w:trPr>
        <w:tc>
          <w:tcPr>
            <w:tcW w:w="523" w:type="pct"/>
            <w:vAlign w:val="center"/>
          </w:tcPr>
          <w:p>
            <w:pPr>
              <w:jc w:val="center"/>
              <w:rPr>
                <w:rFonts w:ascii="仿宋" w:hAnsi="仿宋" w:eastAsia="仿宋" w:cs="宋体"/>
                <w:b/>
                <w:color w:val="auto"/>
                <w:szCs w:val="21"/>
              </w:rPr>
            </w:pPr>
            <w:r>
              <w:rPr>
                <w:rFonts w:hint="eastAsia" w:ascii="仿宋" w:hAnsi="仿宋" w:eastAsia="仿宋" w:cs="宋体"/>
                <w:color w:val="auto"/>
                <w:szCs w:val="21"/>
                <w:lang w:val="en-US" w:eastAsia="zh-CN"/>
              </w:rPr>
              <w:t>3</w:t>
            </w:r>
            <w:r>
              <w:rPr>
                <w:rFonts w:hint="eastAsia" w:ascii="仿宋" w:hAnsi="仿宋" w:eastAsia="仿宋" w:cs="宋体"/>
                <w:color w:val="auto"/>
                <w:szCs w:val="21"/>
              </w:rPr>
              <w:t>.1</w:t>
            </w:r>
          </w:p>
        </w:tc>
        <w:tc>
          <w:tcPr>
            <w:tcW w:w="3853" w:type="pct"/>
            <w:shd w:val="clear" w:color="auto" w:fill="FFFFFF"/>
            <w:vAlign w:val="center"/>
          </w:tcPr>
          <w:p>
            <w:pPr>
              <w:jc w:val="left"/>
              <w:rPr>
                <w:rFonts w:ascii="仿宋" w:hAnsi="仿宋" w:eastAsia="仿宋"/>
                <w:color w:val="auto"/>
                <w:szCs w:val="21"/>
              </w:rPr>
            </w:pPr>
            <w:r>
              <w:rPr>
                <w:rFonts w:hint="eastAsia" w:ascii="仿宋" w:hAnsi="仿宋" w:eastAsia="仿宋" w:cs="宋体"/>
                <w:color w:val="auto"/>
                <w:szCs w:val="21"/>
              </w:rPr>
              <w:t>自</w:t>
            </w:r>
            <w:r>
              <w:rPr>
                <w:rFonts w:ascii="仿宋" w:hAnsi="仿宋" w:eastAsia="仿宋" w:cs="宋体"/>
                <w:color w:val="auto"/>
                <w:szCs w:val="21"/>
              </w:rPr>
              <w:t>合同</w:t>
            </w:r>
            <w:r>
              <w:rPr>
                <w:rFonts w:hint="eastAsia" w:ascii="仿宋" w:hAnsi="仿宋" w:eastAsia="仿宋" w:cs="宋体"/>
                <w:color w:val="auto"/>
                <w:szCs w:val="21"/>
              </w:rPr>
              <w:t>签订之日起30天内提供服务，</w:t>
            </w:r>
            <w:r>
              <w:rPr>
                <w:rFonts w:hint="eastAsia" w:ascii="仿宋" w:hAnsi="仿宋" w:eastAsia="仿宋"/>
                <w:color w:val="auto"/>
                <w:szCs w:val="21"/>
              </w:rPr>
              <w:t>合同签订生效后即转入当期服务。</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523" w:type="pct"/>
            <w:vAlign w:val="center"/>
          </w:tcPr>
          <w:p>
            <w:pPr>
              <w:jc w:val="center"/>
              <w:rPr>
                <w:rFonts w:ascii="仿宋" w:hAnsi="仿宋" w:eastAsia="仿宋" w:cs="宋体"/>
                <w:b/>
                <w:color w:val="auto"/>
                <w:szCs w:val="21"/>
              </w:rPr>
            </w:pPr>
            <w:r>
              <w:rPr>
                <w:rFonts w:hint="eastAsia" w:ascii="仿宋" w:hAnsi="仿宋" w:eastAsia="仿宋" w:cs="宋体"/>
                <w:color w:val="auto"/>
                <w:szCs w:val="21"/>
                <w:lang w:val="en-US" w:eastAsia="zh-CN"/>
              </w:rPr>
              <w:t>3</w:t>
            </w:r>
            <w:r>
              <w:rPr>
                <w:rFonts w:hint="eastAsia" w:ascii="仿宋" w:hAnsi="仿宋" w:eastAsia="仿宋" w:cs="宋体"/>
                <w:color w:val="auto"/>
                <w:szCs w:val="21"/>
              </w:rPr>
              <w:t>.2</w:t>
            </w:r>
          </w:p>
        </w:tc>
        <w:tc>
          <w:tcPr>
            <w:tcW w:w="3853" w:type="pct"/>
            <w:shd w:val="clear" w:color="auto" w:fill="FFFFFF"/>
            <w:vAlign w:val="center"/>
          </w:tcPr>
          <w:p>
            <w:pPr>
              <w:jc w:val="left"/>
              <w:rPr>
                <w:rFonts w:ascii="仿宋" w:hAnsi="仿宋" w:eastAsia="仿宋" w:cs="微软雅黑"/>
                <w:b/>
                <w:bCs/>
                <w:color w:val="auto"/>
                <w:kern w:val="0"/>
                <w:szCs w:val="21"/>
                <w:lang w:bidi="ar"/>
              </w:rPr>
            </w:pPr>
            <w:r>
              <w:rPr>
                <w:rFonts w:hint="eastAsia" w:ascii="仿宋" w:hAnsi="仿宋" w:eastAsia="仿宋"/>
                <w:b/>
                <w:bCs/>
                <w:color w:val="auto"/>
                <w:szCs w:val="21"/>
              </w:rPr>
              <w:t>服务期限：本项目服务期三年，合同一年一签，采购</w:t>
            </w:r>
            <w:r>
              <w:rPr>
                <w:rFonts w:hint="eastAsia" w:ascii="仿宋" w:hAnsi="仿宋" w:eastAsia="仿宋"/>
                <w:b/>
                <w:bCs/>
                <w:color w:val="auto"/>
                <w:szCs w:val="21"/>
                <w:lang w:val="en-US" w:eastAsia="zh-CN"/>
              </w:rPr>
              <w:t>单位</w:t>
            </w:r>
            <w:r>
              <w:rPr>
                <w:rFonts w:hint="eastAsia" w:ascii="仿宋" w:hAnsi="仿宋" w:eastAsia="仿宋"/>
                <w:b/>
                <w:bCs/>
                <w:color w:val="auto"/>
                <w:szCs w:val="21"/>
              </w:rPr>
              <w:t>根据成交单位上一年的服务质量决定是否终止/续签下一期合同</w:t>
            </w:r>
            <w:r>
              <w:rPr>
                <w:rFonts w:ascii="仿宋" w:hAnsi="仿宋" w:eastAsia="仿宋" w:cs="宋体"/>
                <w:b/>
                <w:bCs/>
                <w:color w:val="auto"/>
                <w:szCs w:val="21"/>
              </w:rPr>
              <w:t>。</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lang w:val="en-US" w:eastAsia="zh-CN"/>
              </w:rPr>
              <w:t>3</w:t>
            </w:r>
            <w:r>
              <w:rPr>
                <w:rFonts w:hint="eastAsia" w:ascii="仿宋" w:hAnsi="仿宋" w:eastAsia="仿宋" w:cs="宋体"/>
                <w:color w:val="auto"/>
                <w:szCs w:val="21"/>
              </w:rPr>
              <w:t>.3</w:t>
            </w:r>
          </w:p>
        </w:tc>
        <w:tc>
          <w:tcPr>
            <w:tcW w:w="3853" w:type="pct"/>
            <w:shd w:val="clear" w:color="auto" w:fill="FFFFFF"/>
            <w:vAlign w:val="center"/>
          </w:tcPr>
          <w:p>
            <w:pPr>
              <w:jc w:val="left"/>
              <w:rPr>
                <w:rFonts w:ascii="仿宋" w:hAnsi="仿宋" w:eastAsia="仿宋"/>
                <w:b/>
                <w:bCs/>
                <w:color w:val="auto"/>
                <w:szCs w:val="21"/>
              </w:rPr>
            </w:pPr>
            <w:r>
              <w:rPr>
                <w:rFonts w:hint="eastAsia" w:ascii="仿宋" w:hAnsi="仿宋" w:eastAsia="仿宋"/>
                <w:color w:val="auto"/>
                <w:szCs w:val="21"/>
              </w:rPr>
              <w:t>付款方式：在合同签订后1个月内支付该合同周期内的服务费</w:t>
            </w:r>
            <w:r>
              <w:rPr>
                <w:rFonts w:hint="eastAsia" w:ascii="仿宋" w:hAnsi="仿宋" w:eastAsia="仿宋"/>
                <w:b/>
                <w:bCs/>
                <w:color w:val="auto"/>
                <w:szCs w:val="21"/>
              </w:rPr>
              <w:t>。</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lang w:val="en-US" w:eastAsia="zh-CN"/>
              </w:rPr>
              <w:t>3</w:t>
            </w:r>
            <w:r>
              <w:rPr>
                <w:rFonts w:hint="eastAsia" w:ascii="仿宋" w:hAnsi="仿宋" w:eastAsia="仿宋" w:cs="宋体"/>
                <w:color w:val="auto"/>
                <w:szCs w:val="21"/>
              </w:rPr>
              <w:t>.4</w:t>
            </w:r>
          </w:p>
        </w:tc>
        <w:tc>
          <w:tcPr>
            <w:tcW w:w="3853" w:type="pct"/>
            <w:shd w:val="clear" w:color="auto" w:fill="FFFFFF"/>
            <w:vAlign w:val="center"/>
          </w:tcPr>
          <w:p>
            <w:pPr>
              <w:jc w:val="left"/>
              <w:rPr>
                <w:rFonts w:ascii="仿宋" w:hAnsi="仿宋" w:eastAsia="仿宋" w:cs="宋体"/>
                <w:color w:val="auto"/>
                <w:kern w:val="0"/>
                <w:szCs w:val="21"/>
              </w:rPr>
            </w:pPr>
            <w:r>
              <w:rPr>
                <w:rFonts w:hint="eastAsia" w:ascii="仿宋" w:hAnsi="仿宋" w:eastAsia="仿宋"/>
                <w:color w:val="auto"/>
                <w:szCs w:val="21"/>
              </w:rPr>
              <w:t>服务期内，</w:t>
            </w:r>
            <w:r>
              <w:rPr>
                <w:rFonts w:hint="eastAsia" w:ascii="仿宋" w:hAnsi="仿宋" w:eastAsia="仿宋"/>
                <w:color w:val="auto"/>
                <w:szCs w:val="21"/>
                <w:lang w:val="en-US" w:eastAsia="zh-CN"/>
              </w:rPr>
              <w:t>年</w:t>
            </w:r>
            <w:r>
              <w:rPr>
                <w:rFonts w:hint="eastAsia" w:ascii="仿宋" w:hAnsi="仿宋" w:eastAsia="仿宋"/>
                <w:color w:val="auto"/>
                <w:szCs w:val="21"/>
              </w:rPr>
              <w:t>故障率不得超过</w:t>
            </w:r>
            <w:r>
              <w:rPr>
                <w:rFonts w:hint="eastAsia" w:ascii="仿宋" w:hAnsi="仿宋" w:eastAsia="仿宋"/>
                <w:color w:val="auto"/>
                <w:szCs w:val="21"/>
                <w:lang w:val="en-US" w:eastAsia="zh-CN"/>
              </w:rPr>
              <w:t>1</w:t>
            </w:r>
            <w:r>
              <w:rPr>
                <w:rFonts w:hint="eastAsia" w:ascii="仿宋" w:hAnsi="仿宋" w:eastAsia="仿宋"/>
                <w:color w:val="auto"/>
                <w:szCs w:val="21"/>
              </w:rPr>
              <w:t>天</w:t>
            </w:r>
            <w:r>
              <w:rPr>
                <w:rFonts w:hint="eastAsia" w:ascii="仿宋" w:hAnsi="仿宋" w:eastAsia="仿宋"/>
                <w:color w:val="auto"/>
                <w:szCs w:val="21"/>
              </w:rPr>
              <w:t>，如达不到要求，每超过一天，质保期相应延长10天。保质期内</w:t>
            </w:r>
            <w:bookmarkStart w:id="0" w:name="_GoBack"/>
            <w:bookmarkEnd w:id="0"/>
            <w:r>
              <w:rPr>
                <w:rFonts w:hint="eastAsia" w:ascii="仿宋" w:hAnsi="仿宋" w:eastAsia="仿宋"/>
                <w:color w:val="auto"/>
                <w:szCs w:val="21"/>
              </w:rPr>
              <w:t>因系统本身缺陷造成各种故障应由成交单位免费技术服务和维修</w:t>
            </w:r>
            <w:r>
              <w:rPr>
                <w:rFonts w:hint="eastAsia" w:ascii="仿宋" w:hAnsi="仿宋" w:eastAsia="仿宋" w:cs="宋体"/>
                <w:color w:val="auto"/>
                <w:kern w:val="0"/>
                <w:szCs w:val="21"/>
              </w:rPr>
              <w:t>。</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lang w:val="en-US" w:eastAsia="zh-CN"/>
              </w:rPr>
              <w:t>3</w:t>
            </w:r>
            <w:r>
              <w:rPr>
                <w:rFonts w:hint="eastAsia" w:ascii="仿宋" w:hAnsi="仿宋" w:eastAsia="仿宋" w:cs="宋体"/>
                <w:color w:val="auto"/>
                <w:szCs w:val="21"/>
              </w:rPr>
              <w:t>.5</w:t>
            </w:r>
          </w:p>
        </w:tc>
        <w:tc>
          <w:tcPr>
            <w:tcW w:w="3853" w:type="pct"/>
            <w:shd w:val="clear" w:color="auto" w:fill="FFFFFF"/>
            <w:vAlign w:val="center"/>
          </w:tcPr>
          <w:p>
            <w:pPr>
              <w:jc w:val="left"/>
              <w:rPr>
                <w:rFonts w:ascii="仿宋" w:hAnsi="仿宋" w:eastAsia="仿宋"/>
                <w:color w:val="auto"/>
                <w:szCs w:val="21"/>
              </w:rPr>
            </w:pPr>
            <w:r>
              <w:rPr>
                <w:rFonts w:hint="eastAsia" w:ascii="仿宋" w:hAnsi="仿宋" w:eastAsia="仿宋"/>
                <w:color w:val="auto"/>
                <w:szCs w:val="21"/>
              </w:rPr>
              <w:t>在维护期结束前，须由成交单位工程师和采购人代表进行一次全面检查，任何缺陷必须由成交单位负责修改。在修改之后，成交单位应将缺陷原因、修改内容、完成修改及恢复正常的时间和日期等报告给采购人。</w:t>
            </w:r>
          </w:p>
        </w:tc>
        <w:tc>
          <w:tcPr>
            <w:tcW w:w="622" w:type="pct"/>
            <w:vAlign w:val="center"/>
          </w:tcPr>
          <w:p>
            <w:pPr>
              <w:jc w:val="left"/>
              <w:rPr>
                <w:rFonts w:ascii="仿宋" w:hAnsi="仿宋" w:eastAsia="仿宋" w:cs="宋体"/>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60" w:hRule="atLeast"/>
          <w:jc w:val="center"/>
        </w:trPr>
        <w:tc>
          <w:tcPr>
            <w:tcW w:w="523" w:type="pct"/>
            <w:vAlign w:val="center"/>
          </w:tcPr>
          <w:p>
            <w:pPr>
              <w:jc w:val="center"/>
              <w:rPr>
                <w:rFonts w:ascii="仿宋" w:hAnsi="仿宋" w:eastAsia="仿宋" w:cs="宋体"/>
                <w:color w:val="auto"/>
                <w:szCs w:val="21"/>
              </w:rPr>
            </w:pPr>
            <w:r>
              <w:rPr>
                <w:rFonts w:hint="eastAsia" w:ascii="仿宋" w:hAnsi="仿宋" w:eastAsia="仿宋" w:cs="宋体"/>
                <w:color w:val="auto"/>
                <w:szCs w:val="21"/>
                <w:lang w:val="en-US" w:eastAsia="zh-CN"/>
              </w:rPr>
              <w:t>3</w:t>
            </w:r>
            <w:r>
              <w:rPr>
                <w:rFonts w:hint="eastAsia" w:ascii="仿宋" w:hAnsi="仿宋" w:eastAsia="仿宋" w:cs="宋体"/>
                <w:color w:val="auto"/>
                <w:szCs w:val="21"/>
              </w:rPr>
              <w:t>.6</w:t>
            </w:r>
          </w:p>
        </w:tc>
        <w:tc>
          <w:tcPr>
            <w:tcW w:w="3853" w:type="pct"/>
            <w:shd w:val="clear" w:color="auto" w:fill="FFFFFF"/>
            <w:vAlign w:val="center"/>
          </w:tcPr>
          <w:p>
            <w:pPr>
              <w:jc w:val="left"/>
              <w:rPr>
                <w:rFonts w:ascii="仿宋" w:hAnsi="仿宋" w:eastAsia="仿宋" w:cs="宋体"/>
                <w:color w:val="auto"/>
                <w:kern w:val="0"/>
                <w:szCs w:val="21"/>
              </w:rPr>
            </w:pPr>
            <w:r>
              <w:rPr>
                <w:rFonts w:hint="eastAsia" w:ascii="仿宋" w:hAnsi="仿宋" w:eastAsia="仿宋"/>
                <w:color w:val="auto"/>
                <w:szCs w:val="21"/>
              </w:rPr>
              <w:t>在质保期内，供应商应无偿并迅速更换由于元件缺陷及制造工艺等问题而发生故障的产品。保质期满以后，供应商应按其在宁波地区同类产品的优惠价格提供保修服务。</w:t>
            </w:r>
          </w:p>
        </w:tc>
        <w:tc>
          <w:tcPr>
            <w:tcW w:w="622" w:type="pct"/>
            <w:vAlign w:val="center"/>
          </w:tcPr>
          <w:p>
            <w:pPr>
              <w:jc w:val="left"/>
              <w:rPr>
                <w:rFonts w:ascii="仿宋" w:hAnsi="仿宋" w:eastAsia="仿宋" w:cs="宋体"/>
                <w:color w:val="auto"/>
                <w:szCs w:val="21"/>
              </w:rPr>
            </w:pPr>
          </w:p>
        </w:tc>
      </w:tr>
    </w:tbl>
    <w:p>
      <w:pPr>
        <w:rPr>
          <w:color w:val="auto"/>
        </w:rPr>
      </w:pPr>
    </w:p>
    <w:sectPr>
      <w:pgSz w:w="11906" w:h="16838"/>
      <w:pgMar w:top="1440" w:right="991"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6C06BDB"/>
    <w:multiLevelType w:val="multilevel"/>
    <w:tmpl w:val="16C06BDB"/>
    <w:lvl w:ilvl="0" w:tentative="0">
      <w:start w:val="1"/>
      <w:numFmt w:val="decimal"/>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3193058C"/>
    <w:multiLevelType w:val="singleLevel"/>
    <w:tmpl w:val="3193058C"/>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VjN2U4NTM0ZjYyMWRiODRiZjBjNjdmNWRjZDk3YmIifQ=="/>
  </w:docVars>
  <w:rsids>
    <w:rsidRoot w:val="00571154"/>
    <w:rsid w:val="00100174"/>
    <w:rsid w:val="001227D9"/>
    <w:rsid w:val="00571154"/>
    <w:rsid w:val="00622D65"/>
    <w:rsid w:val="00931A81"/>
    <w:rsid w:val="00B36C74"/>
    <w:rsid w:val="00BB709C"/>
    <w:rsid w:val="00CA07E0"/>
    <w:rsid w:val="00EC3494"/>
    <w:rsid w:val="025C7268"/>
    <w:rsid w:val="03507486"/>
    <w:rsid w:val="04211980"/>
    <w:rsid w:val="078132CC"/>
    <w:rsid w:val="0A3960E0"/>
    <w:rsid w:val="0AF50259"/>
    <w:rsid w:val="0CEA4DAF"/>
    <w:rsid w:val="0DCD726B"/>
    <w:rsid w:val="0DE73A2E"/>
    <w:rsid w:val="0E6739FF"/>
    <w:rsid w:val="0EB421D9"/>
    <w:rsid w:val="0F1E7653"/>
    <w:rsid w:val="10F7465D"/>
    <w:rsid w:val="12821D31"/>
    <w:rsid w:val="15EE5971"/>
    <w:rsid w:val="162A6AD2"/>
    <w:rsid w:val="166D339A"/>
    <w:rsid w:val="169C35CA"/>
    <w:rsid w:val="16A50D85"/>
    <w:rsid w:val="181E2472"/>
    <w:rsid w:val="1BD47A17"/>
    <w:rsid w:val="1D4806BC"/>
    <w:rsid w:val="1F060FAC"/>
    <w:rsid w:val="1F182311"/>
    <w:rsid w:val="1FF15603"/>
    <w:rsid w:val="25753D18"/>
    <w:rsid w:val="28616AD6"/>
    <w:rsid w:val="288E5E56"/>
    <w:rsid w:val="2967011C"/>
    <w:rsid w:val="2BB05DAB"/>
    <w:rsid w:val="2EA65243"/>
    <w:rsid w:val="334F46D5"/>
    <w:rsid w:val="3417273F"/>
    <w:rsid w:val="34682FCF"/>
    <w:rsid w:val="3600792F"/>
    <w:rsid w:val="360A4309"/>
    <w:rsid w:val="36581519"/>
    <w:rsid w:val="37BE184F"/>
    <w:rsid w:val="38A749E3"/>
    <w:rsid w:val="3E7D3F15"/>
    <w:rsid w:val="3F55760A"/>
    <w:rsid w:val="3FDB6D16"/>
    <w:rsid w:val="41076015"/>
    <w:rsid w:val="42561032"/>
    <w:rsid w:val="433D187F"/>
    <w:rsid w:val="46AE2A8F"/>
    <w:rsid w:val="4A2F26B5"/>
    <w:rsid w:val="4A514198"/>
    <w:rsid w:val="4C565C1E"/>
    <w:rsid w:val="4D5325E2"/>
    <w:rsid w:val="4E255D2C"/>
    <w:rsid w:val="4E524648"/>
    <w:rsid w:val="4E6A772D"/>
    <w:rsid w:val="501831C1"/>
    <w:rsid w:val="50F12997"/>
    <w:rsid w:val="51CE0489"/>
    <w:rsid w:val="52BC29D7"/>
    <w:rsid w:val="5498521D"/>
    <w:rsid w:val="54A92AE8"/>
    <w:rsid w:val="56187F25"/>
    <w:rsid w:val="568850AA"/>
    <w:rsid w:val="587F786D"/>
    <w:rsid w:val="591C2557"/>
    <w:rsid w:val="5A5E27F6"/>
    <w:rsid w:val="5ABA3CA0"/>
    <w:rsid w:val="5B2C2DA1"/>
    <w:rsid w:val="5C961D96"/>
    <w:rsid w:val="5E801731"/>
    <w:rsid w:val="5EA07923"/>
    <w:rsid w:val="5EB804F7"/>
    <w:rsid w:val="60D158A0"/>
    <w:rsid w:val="623D6084"/>
    <w:rsid w:val="629F3B41"/>
    <w:rsid w:val="644E28FD"/>
    <w:rsid w:val="64C25C2B"/>
    <w:rsid w:val="67761C1E"/>
    <w:rsid w:val="6CBA7B30"/>
    <w:rsid w:val="6F1E43A6"/>
    <w:rsid w:val="6F697297"/>
    <w:rsid w:val="6F767D3E"/>
    <w:rsid w:val="73B61051"/>
    <w:rsid w:val="740D2C3B"/>
    <w:rsid w:val="756D1BE3"/>
    <w:rsid w:val="77A511B4"/>
    <w:rsid w:val="798B6ADC"/>
    <w:rsid w:val="79C77986"/>
    <w:rsid w:val="7B615D46"/>
    <w:rsid w:val="7ED2055E"/>
    <w:rsid w:val="7FD23415"/>
    <w:rsid w:val="7FFC23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qFormat/>
    <w:uiPriority w:val="99"/>
    <w:rPr>
      <w:rFonts w:ascii="Times New Roman" w:hAnsi="Times New Roman" w:eastAsia="宋体" w:cs="Times New Roman"/>
      <w:sz w:val="18"/>
      <w:szCs w:val="18"/>
    </w:rPr>
  </w:style>
  <w:style w:type="character" w:customStyle="1" w:styleId="7">
    <w:name w:val="页脚 Char"/>
    <w:basedOn w:val="5"/>
    <w:link w:val="2"/>
    <w:qFormat/>
    <w:uiPriority w:val="99"/>
    <w:rPr>
      <w:rFonts w:ascii="Times New Roman" w:hAnsi="Times New Roman" w:eastAsia="宋体" w:cs="Times New Roman"/>
      <w:sz w:val="18"/>
      <w:szCs w:val="18"/>
    </w:rPr>
  </w:style>
  <w:style w:type="paragraph" w:styleId="8">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311</Words>
  <Characters>1779</Characters>
  <Lines>14</Lines>
  <Paragraphs>4</Paragraphs>
  <TotalTime>19</TotalTime>
  <ScaleCrop>false</ScaleCrop>
  <LinksUpToDate>false</LinksUpToDate>
  <CharactersWithSpaces>2086</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2024-01-19T02:26:00Z</dcterms:created>
  <dc:creator>admin</dc:creator>
  <cp:lastModifiedBy>涅磐印象</cp:lastModifiedBy>
  <dcterms:modified xsi:type="dcterms:W3CDTF">2025-03-18T05:17:27Z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595D37AAF0364EE5AA61B7B41E03361A_13</vt:lpwstr>
  </property>
</Properties>
</file>