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27"/>
        </w:tabs>
        <w:jc w:val="right"/>
        <w:rPr>
          <w:color w:val="FF0000"/>
        </w:rPr>
      </w:pPr>
    </w:p>
    <w:p>
      <w:pPr>
        <w:tabs>
          <w:tab w:val="left" w:pos="2127"/>
        </w:tabs>
        <w:spacing w:line="360" w:lineRule="auto"/>
        <w:jc w:val="center"/>
        <w:rPr>
          <w:rFonts w:ascii="宋体" w:hAnsi="宋体"/>
          <w:b/>
          <w:sz w:val="16"/>
          <w:szCs w:val="30"/>
        </w:rPr>
      </w:pPr>
      <w:r>
        <w:rPr>
          <w:rFonts w:hint="eastAsia" w:ascii="宋体" w:hAnsi="宋体"/>
          <w:b/>
          <w:sz w:val="30"/>
          <w:szCs w:val="30"/>
        </w:rPr>
        <w:t>ZBH5040ZZZHFE6自装卸式垃圾车产品</w:t>
      </w:r>
    </w:p>
    <w:p>
      <w:pPr>
        <w:tabs>
          <w:tab w:val="left" w:pos="2127"/>
        </w:tabs>
        <w:spacing w:line="360" w:lineRule="auto"/>
        <w:jc w:val="left"/>
        <w:rPr>
          <w:rFonts w:ascii="宋体" w:hAnsi="宋体"/>
          <w:b/>
          <w:sz w:val="24"/>
          <w:szCs w:val="24"/>
        </w:rPr>
      </w:pPr>
      <w:r>
        <w:rPr>
          <w:rFonts w:hint="eastAsia" w:ascii="宋体" w:hAnsi="宋体"/>
          <w:b/>
          <w:sz w:val="24"/>
          <w:szCs w:val="24"/>
        </w:rPr>
        <w:t>一、产品概况</w:t>
      </w:r>
    </w:p>
    <w:p>
      <w:pPr>
        <w:spacing w:line="360" w:lineRule="auto"/>
        <w:ind w:firstLine="480" w:firstLineChars="200"/>
        <w:rPr>
          <w:rFonts w:ascii="宋体" w:hAnsi="宋体"/>
          <w:sz w:val="24"/>
          <w:szCs w:val="24"/>
        </w:rPr>
      </w:pPr>
      <w:r>
        <w:rPr>
          <w:rFonts w:hint="eastAsia" w:ascii="宋体" w:hAnsi="宋体"/>
          <w:sz w:val="24"/>
          <w:szCs w:val="24"/>
        </w:rPr>
        <w:t>ZBH5040ZZZHFE6型自装卸式垃圾车是长沙中联重科环境产业有限公司根据市场需要而自主开发的一款垃圾收集车。该车采用江淮二类底盘,加装垃圾箱、上料机构、副车架、压填机构、液压系统和电控系统等专用工作装置改装而成。</w:t>
      </w:r>
    </w:p>
    <w:p>
      <w:pPr>
        <w:tabs>
          <w:tab w:val="left" w:pos="0"/>
        </w:tabs>
        <w:spacing w:line="360" w:lineRule="auto"/>
        <w:ind w:firstLine="480" w:firstLineChars="200"/>
        <w:jc w:val="left"/>
        <w:rPr>
          <w:rFonts w:ascii="宋体" w:hAnsi="宋体"/>
          <w:sz w:val="24"/>
          <w:szCs w:val="24"/>
        </w:rPr>
      </w:pPr>
      <w:r>
        <w:rPr>
          <w:rFonts w:hint="eastAsia" w:ascii="宋体" w:hAnsi="宋体"/>
          <w:sz w:val="24"/>
          <w:szCs w:val="24"/>
        </w:rPr>
        <w:t>此产品适应于城镇垃圾的收集转运，主要用于120L/240L/660L标准塑桶装生活垃圾的收集和转运；可与大型垃圾压缩车、垃圾站配套使用。</w:t>
      </w:r>
    </w:p>
    <w:p>
      <w:pPr>
        <w:spacing w:line="360" w:lineRule="auto"/>
        <w:ind w:firstLine="480" w:firstLineChars="200"/>
        <w:rPr>
          <w:rFonts w:ascii="宋体" w:hAnsi="宋体"/>
          <w:sz w:val="24"/>
          <w:szCs w:val="24"/>
        </w:rPr>
      </w:pPr>
      <w:r>
        <w:rPr>
          <w:rFonts w:hint="eastAsia"/>
          <w:sz w:val="24"/>
        </w:rPr>
        <w:t>该车造型</w:t>
      </w:r>
      <w:r>
        <w:rPr>
          <w:rFonts w:hint="eastAsia" w:ascii="宋体" w:hAnsi="宋体"/>
          <w:sz w:val="24"/>
          <w:szCs w:val="24"/>
        </w:rPr>
        <w:t>美观、创意新颖，具</w:t>
      </w:r>
      <w:r>
        <w:rPr>
          <w:rFonts w:hint="eastAsia"/>
          <w:sz w:val="24"/>
        </w:rPr>
        <w:t>有高效、环保、可靠的优越性能。</w:t>
      </w:r>
    </w:p>
    <w:p>
      <w:pPr>
        <w:ind w:firstLine="105" w:firstLineChars="50"/>
      </w:pPr>
      <w:r>
        <w:t xml:space="preserve"> </w:t>
      </w:r>
    </w:p>
    <w:p>
      <w:pPr>
        <w:ind w:firstLine="525" w:firstLineChars="250"/>
      </w:pPr>
      <w:r>
        <w:drawing>
          <wp:inline distT="0" distB="0" distL="0" distR="0">
            <wp:extent cx="2458085" cy="18427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2461239" cy="1845076"/>
                    </a:xfrm>
                    <a:prstGeom prst="rect">
                      <a:avLst/>
                    </a:prstGeom>
                  </pic:spPr>
                </pic:pic>
              </a:graphicData>
            </a:graphic>
          </wp:inline>
        </w:drawing>
      </w:r>
      <w:r>
        <w:t xml:space="preserve"> </w:t>
      </w:r>
      <w:r>
        <w:rPr>
          <w:rFonts w:hint="eastAsia"/>
        </w:rPr>
        <w:t xml:space="preserve">         </w:t>
      </w:r>
      <w:r>
        <w:t xml:space="preserve"> </w:t>
      </w:r>
      <w:r>
        <w:drawing>
          <wp:inline distT="0" distB="0" distL="0" distR="0">
            <wp:extent cx="2415540" cy="185039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2421286" cy="1855198"/>
                    </a:xfrm>
                    <a:prstGeom prst="rect">
                      <a:avLst/>
                    </a:prstGeom>
                  </pic:spPr>
                </pic:pic>
              </a:graphicData>
            </a:graphic>
          </wp:inline>
        </w:drawing>
      </w:r>
      <w:r>
        <w:t xml:space="preserve">   </w:t>
      </w:r>
    </w:p>
    <w:p>
      <w:pPr>
        <w:pStyle w:val="12"/>
      </w:pPr>
      <w:r>
        <w:rPr>
          <w:rFonts w:hint="eastAsia"/>
        </w:rPr>
        <w:t xml:space="preserve">               右45°                                  左45°           </w:t>
      </w:r>
    </w:p>
    <w:p>
      <w:pPr>
        <w:jc w:val="center"/>
      </w:pPr>
      <w:r>
        <w:drawing>
          <wp:inline distT="0" distB="0" distL="0" distR="0">
            <wp:extent cx="2173605" cy="22790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2181260" cy="2286806"/>
                    </a:xfrm>
                    <a:prstGeom prst="rect">
                      <a:avLst/>
                    </a:prstGeom>
                  </pic:spPr>
                </pic:pic>
              </a:graphicData>
            </a:graphic>
          </wp:inline>
        </w:drawing>
      </w:r>
      <w:r>
        <w:rPr>
          <w:rFonts w:hint="eastAsia"/>
        </w:rPr>
        <w:t xml:space="preserve">               </w:t>
      </w:r>
      <w:r>
        <w:drawing>
          <wp:inline distT="0" distB="0" distL="0" distR="0">
            <wp:extent cx="2166620" cy="2319020"/>
            <wp:effectExtent l="0" t="0" r="508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2168504" cy="2321446"/>
                    </a:xfrm>
                    <a:prstGeom prst="rect">
                      <a:avLst/>
                    </a:prstGeom>
                  </pic:spPr>
                </pic:pic>
              </a:graphicData>
            </a:graphic>
          </wp:inline>
        </w:drawing>
      </w:r>
    </w:p>
    <w:p>
      <w:pPr>
        <w:pStyle w:val="12"/>
        <w:ind w:firstLine="2332" w:firstLineChars="968"/>
      </w:pPr>
      <w:r>
        <w:rPr>
          <w:rFonts w:hint="eastAsia"/>
        </w:rPr>
        <w:t xml:space="preserve">前                                        后       </w:t>
      </w:r>
    </w:p>
    <w:p>
      <w:pPr>
        <w:pStyle w:val="12"/>
        <w:ind w:firstLine="431" w:firstLineChars="179"/>
      </w:pPr>
    </w:p>
    <w:p>
      <w:pPr>
        <w:pStyle w:val="12"/>
        <w:ind w:firstLine="431" w:firstLineChars="179"/>
      </w:pPr>
    </w:p>
    <w:p>
      <w:pPr>
        <w:pStyle w:val="12"/>
        <w:ind w:firstLine="431" w:firstLineChars="179"/>
      </w:pPr>
    </w:p>
    <w:p>
      <w:pPr>
        <w:tabs>
          <w:tab w:val="left" w:pos="2127"/>
        </w:tabs>
        <w:spacing w:line="360" w:lineRule="auto"/>
        <w:jc w:val="left"/>
        <w:rPr>
          <w:rFonts w:ascii="宋体" w:hAnsi="宋体"/>
          <w:b/>
          <w:sz w:val="24"/>
          <w:szCs w:val="24"/>
        </w:rPr>
      </w:pPr>
      <w:r>
        <w:rPr>
          <w:rFonts w:hint="eastAsia" w:ascii="宋体" w:hAnsi="宋体"/>
          <w:b/>
          <w:sz w:val="24"/>
          <w:szCs w:val="24"/>
        </w:rPr>
        <w:t>二、功能概况</w:t>
      </w:r>
    </w:p>
    <w:p>
      <w:pPr>
        <w:tabs>
          <w:tab w:val="left" w:pos="2127"/>
        </w:tabs>
        <w:spacing w:line="360" w:lineRule="auto"/>
        <w:ind w:firstLine="480" w:firstLineChars="200"/>
        <w:jc w:val="left"/>
        <w:rPr>
          <w:sz w:val="24"/>
          <w:szCs w:val="24"/>
        </w:rPr>
      </w:pPr>
      <w:r>
        <w:rPr>
          <w:rFonts w:hint="eastAsia"/>
          <w:sz w:val="24"/>
          <w:szCs w:val="24"/>
        </w:rPr>
        <w:t>具有</w:t>
      </w:r>
      <w:r>
        <w:rPr>
          <w:rFonts w:hint="eastAsia" w:ascii="宋体" w:hAnsi="宋体"/>
          <w:sz w:val="24"/>
          <w:szCs w:val="24"/>
        </w:rPr>
        <w:t>垃圾收集、垃圾转运、后高位垃圾上料、垃圾压缩及对接卸料</w:t>
      </w:r>
      <w:r>
        <w:rPr>
          <w:rFonts w:hint="eastAsia"/>
          <w:sz w:val="24"/>
          <w:szCs w:val="24"/>
        </w:rPr>
        <w:t>等多种功能。</w:t>
      </w:r>
    </w:p>
    <w:p>
      <w:pPr>
        <w:tabs>
          <w:tab w:val="left" w:pos="2127"/>
        </w:tabs>
        <w:spacing w:line="360" w:lineRule="auto"/>
        <w:jc w:val="left"/>
        <w:rPr>
          <w:b/>
          <w:sz w:val="24"/>
          <w:szCs w:val="24"/>
        </w:rPr>
      </w:pPr>
      <w:r>
        <w:rPr>
          <w:rFonts w:hint="eastAsia"/>
          <w:b/>
          <w:sz w:val="24"/>
          <w:szCs w:val="24"/>
        </w:rPr>
        <w:t>三、适用范围</w:t>
      </w:r>
    </w:p>
    <w:p>
      <w:pPr>
        <w:tabs>
          <w:tab w:val="left" w:pos="2127"/>
        </w:tabs>
        <w:spacing w:line="360" w:lineRule="auto"/>
        <w:ind w:firstLine="480" w:firstLineChars="200"/>
        <w:jc w:val="left"/>
        <w:rPr>
          <w:rFonts w:ascii="宋体" w:hAnsi="宋体"/>
          <w:sz w:val="24"/>
          <w:szCs w:val="24"/>
        </w:rPr>
      </w:pPr>
      <w:r>
        <w:rPr>
          <w:rFonts w:hint="eastAsia" w:ascii="宋体" w:hAnsi="宋体"/>
          <w:sz w:val="24"/>
          <w:szCs w:val="24"/>
        </w:rPr>
        <w:t>ZBH5040ZZZHFE6型自装卸式垃圾车产品可匹配120L/240L/660L标准塑桶，主要用于生活垃圾的收集和转运；不适用于建筑垃圾、工业垃圾和餐厨垃圾的收集和转运。</w:t>
      </w:r>
    </w:p>
    <w:p>
      <w:pPr>
        <w:tabs>
          <w:tab w:val="left" w:pos="2127"/>
        </w:tabs>
        <w:spacing w:line="360" w:lineRule="auto"/>
        <w:jc w:val="left"/>
        <w:rPr>
          <w:rFonts w:ascii="宋体" w:hAnsi="宋体"/>
          <w:b/>
          <w:sz w:val="24"/>
          <w:szCs w:val="24"/>
        </w:rPr>
      </w:pPr>
      <w:r>
        <w:rPr>
          <w:rFonts w:hint="eastAsia" w:ascii="宋体" w:hAnsi="宋体"/>
          <w:b/>
          <w:sz w:val="24"/>
          <w:szCs w:val="24"/>
        </w:rPr>
        <w:t>四、主要结构及性能特点</w:t>
      </w:r>
    </w:p>
    <w:p>
      <w:pPr>
        <w:tabs>
          <w:tab w:val="left" w:pos="2127"/>
        </w:tabs>
        <w:spacing w:line="360" w:lineRule="auto"/>
        <w:jc w:val="left"/>
        <w:rPr>
          <w:rFonts w:ascii="宋体" w:hAnsi="宋体"/>
          <w:b/>
          <w:sz w:val="24"/>
          <w:szCs w:val="24"/>
        </w:rPr>
      </w:pPr>
      <w:r>
        <w:rPr>
          <w:rFonts w:hint="eastAsia" w:ascii="宋体" w:hAnsi="宋体"/>
          <w:b/>
          <w:sz w:val="24"/>
          <w:szCs w:val="24"/>
        </w:rPr>
        <mc:AlternateContent>
          <mc:Choice Requires="wps">
            <w:drawing>
              <wp:anchor distT="0" distB="0" distL="114300" distR="114300" simplePos="0" relativeHeight="251661312" behindDoc="0" locked="0" layoutInCell="1" allowOverlap="1">
                <wp:simplePos x="0" y="0"/>
                <wp:positionH relativeFrom="column">
                  <wp:posOffset>3523615</wp:posOffset>
                </wp:positionH>
                <wp:positionV relativeFrom="paragraph">
                  <wp:posOffset>114300</wp:posOffset>
                </wp:positionV>
                <wp:extent cx="603250" cy="312420"/>
                <wp:effectExtent l="19050" t="0" r="25400" b="887730"/>
                <wp:wrapNone/>
                <wp:docPr id="9" name="圆角矩形标注 9"/>
                <wp:cNvGraphicFramePr/>
                <a:graphic xmlns:a="http://schemas.openxmlformats.org/drawingml/2006/main">
                  <a:graphicData uri="http://schemas.microsoft.com/office/word/2010/wordprocessingShape">
                    <wps:wsp>
                      <wps:cNvSpPr/>
                      <wps:spPr>
                        <a:xfrm>
                          <a:off x="0" y="0"/>
                          <a:ext cx="603250" cy="312420"/>
                        </a:xfrm>
                        <a:prstGeom prst="wedgeRoundRectCallout">
                          <a:avLst>
                            <a:gd name="adj1" fmla="val -50293"/>
                            <a:gd name="adj2" fmla="val 335637"/>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sz w:val="18"/>
                                <w:szCs w:val="18"/>
                              </w:rPr>
                            </w:pPr>
                            <w:r>
                              <w:rPr>
                                <w:rFonts w:hint="eastAsia"/>
                                <w:b/>
                                <w:sz w:val="18"/>
                                <w:szCs w:val="18"/>
                              </w:rPr>
                              <w:t>垃圾箱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7.45pt;margin-top:9pt;height:24.6pt;width:47.5pt;z-index:251661312;v-text-anchor:middle;mso-width-relative:page;mso-height-relative:page;" filled="f" stroked="t" coordsize="21600,21600" o:gfxdata="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NZIN09gAAAAJAQAADwAAAAAAAAABACAAAAAi&#10;AAAAZHJzL2Rvd25yZXYueG1sUEsBAhQAFAAAAAgAh07iQHF8qhq1AgAAUgUAAA4AAAAAAAAAAQAg&#10;AAAAJwEAAGRycy9lMm9Eb2MueG1sUEsFBgAAAAAGAAYAWQEAAE4GAAAAAA==&#10;" adj="-63,83298,14400">
                <v:fill on="f" focussize="0,0"/>
                <v:stroke weight="2pt" color="#FF0000 [3200]" joinstyle="round"/>
                <v:imagedata o:title=""/>
                <o:lock v:ext="edit" aspectratio="f"/>
                <v:textbox>
                  <w:txbxContent>
                    <w:p>
                      <w:pPr>
                        <w:jc w:val="center"/>
                        <w:rPr>
                          <w:b/>
                          <w:sz w:val="18"/>
                          <w:szCs w:val="18"/>
                        </w:rPr>
                      </w:pPr>
                      <w:r>
                        <w:rPr>
                          <w:rFonts w:hint="eastAsia"/>
                          <w:b/>
                          <w:sz w:val="18"/>
                          <w:szCs w:val="18"/>
                        </w:rPr>
                        <w:t>垃圾箱</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59264" behindDoc="0" locked="0" layoutInCell="1" allowOverlap="1">
                <wp:simplePos x="0" y="0"/>
                <wp:positionH relativeFrom="column">
                  <wp:posOffset>599440</wp:posOffset>
                </wp:positionH>
                <wp:positionV relativeFrom="paragraph">
                  <wp:posOffset>106045</wp:posOffset>
                </wp:positionV>
                <wp:extent cx="754380" cy="335280"/>
                <wp:effectExtent l="0" t="0" r="26670" b="1912620"/>
                <wp:wrapNone/>
                <wp:docPr id="7" name="圆角矩形标注 7"/>
                <wp:cNvGraphicFramePr/>
                <a:graphic xmlns:a="http://schemas.openxmlformats.org/drawingml/2006/main">
                  <a:graphicData uri="http://schemas.microsoft.com/office/word/2010/wordprocessingShape">
                    <wps:wsp>
                      <wps:cNvSpPr/>
                      <wps:spPr>
                        <a:xfrm>
                          <a:off x="0" y="0"/>
                          <a:ext cx="754380" cy="335280"/>
                        </a:xfrm>
                        <a:prstGeom prst="wedgeRoundRectCallout">
                          <a:avLst>
                            <a:gd name="adj1" fmla="val 17611"/>
                            <a:gd name="adj2" fmla="val 599571"/>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sz w:val="18"/>
                                <w:szCs w:val="18"/>
                              </w:rPr>
                            </w:pPr>
                            <w:r>
                              <w:rPr>
                                <w:rFonts w:hint="eastAsia"/>
                                <w:b/>
                                <w:sz w:val="18"/>
                                <w:szCs w:val="18"/>
                              </w:rPr>
                              <w:t>电气系统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7.2pt;margin-top:8.35pt;height:26.4pt;width:59.4pt;z-index:251659264;v-text-anchor:middle;mso-width-relative:page;mso-height-relative:page;" filled="f" stroked="t" coordsize="21600,21600" o:gfxdata="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QdOXi2QAAAAgBAAAPAAAAAAAAAAEAIAAAACIA&#10;AABkcnMvZG93bnJldi54bWxQSwECFAAUAAAACACHTuJALh9P8LMCAABRBQAADgAAAAAAAAABACAA&#10;AAAoAQAAZHJzL2Uyb0RvYy54bWxQSwUGAAAAAAYABgBZAQAATQYAAAAA&#10;" adj="14604,140307,14400">
                <v:fill on="f" focussize="0,0"/>
                <v:stroke weight="2pt" color="#FF0000 [3200]" joinstyle="round"/>
                <v:imagedata o:title=""/>
                <o:lock v:ext="edit" aspectratio="f"/>
                <v:textbox>
                  <w:txbxContent>
                    <w:p>
                      <w:pPr>
                        <w:jc w:val="center"/>
                        <w:rPr>
                          <w:b/>
                          <w:sz w:val="18"/>
                          <w:szCs w:val="18"/>
                        </w:rPr>
                      </w:pPr>
                      <w:r>
                        <w:rPr>
                          <w:rFonts w:hint="eastAsia"/>
                          <w:b/>
                          <w:sz w:val="18"/>
                          <w:szCs w:val="18"/>
                        </w:rPr>
                        <w:t>电气系统</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62336" behindDoc="0" locked="0" layoutInCell="1" allowOverlap="1">
                <wp:simplePos x="0" y="0"/>
                <wp:positionH relativeFrom="column">
                  <wp:posOffset>2581275</wp:posOffset>
                </wp:positionH>
                <wp:positionV relativeFrom="paragraph">
                  <wp:posOffset>96520</wp:posOffset>
                </wp:positionV>
                <wp:extent cx="711200" cy="312420"/>
                <wp:effectExtent l="293370" t="12700" r="24130" b="855980"/>
                <wp:wrapNone/>
                <wp:docPr id="25" name="圆角矩形标注 25"/>
                <wp:cNvGraphicFramePr/>
                <a:graphic xmlns:a="http://schemas.openxmlformats.org/drawingml/2006/main">
                  <a:graphicData uri="http://schemas.microsoft.com/office/word/2010/wordprocessingShape">
                    <wps:wsp>
                      <wps:cNvSpPr/>
                      <wps:spPr>
                        <a:xfrm>
                          <a:off x="0" y="0"/>
                          <a:ext cx="711200" cy="312420"/>
                        </a:xfrm>
                        <a:prstGeom prst="wedgeRoundRectCallout">
                          <a:avLst>
                            <a:gd name="adj1" fmla="val -89464"/>
                            <a:gd name="adj2" fmla="val 317073"/>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rPr>
                            </w:pPr>
                            <w:r>
                              <w:rPr>
                                <w:rFonts w:hint="eastAsia"/>
                                <w:b/>
                                <w:sz w:val="18"/>
                                <w:szCs w:val="18"/>
                              </w:rPr>
                              <w:t>液压系统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3.25pt;margin-top:7.6pt;height:24.6pt;width:56pt;z-index:251662336;v-text-anchor:middle;mso-width-relative:page;mso-height-relative:page;" filled="f" stroked="t" coordsize="21600,21600" o:gfxdata="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EANmx9UAAAAJAQAADwAAAAAAAAABACAAAAAiAAAA&#10;ZHJzL2Rvd25yZXYueG1sUEsBAhQAFAAAAAgAh07iQIRemsW1AgAAVAUAAA4AAAAAAAAAAQAgAAAA&#10;JAEAAGRycy9lMm9Eb2MueG1sUEsFBgAAAAAGAAYAWQEAAEsGAAAAAA==&#10;" adj="-8524,79288,14400">
                <v:fill on="f" focussize="0,0"/>
                <v:stroke weight="2pt" color="#FF0000 [3200]" joinstyle="round"/>
                <v:imagedata o:title=""/>
                <o:lock v:ext="edit" aspectratio="f"/>
                <v:textbox>
                  <w:txbxContent>
                    <w:p>
                      <w:pPr>
                        <w:jc w:val="center"/>
                        <w:rPr>
                          <w:b/>
                        </w:rPr>
                      </w:pPr>
                      <w:r>
                        <w:rPr>
                          <w:rFonts w:hint="eastAsia"/>
                          <w:b/>
                          <w:sz w:val="18"/>
                          <w:szCs w:val="18"/>
                        </w:rPr>
                        <w:t>液压系统</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63360" behindDoc="0" locked="0" layoutInCell="1" allowOverlap="1">
                <wp:simplePos x="0" y="0"/>
                <wp:positionH relativeFrom="column">
                  <wp:posOffset>4557395</wp:posOffset>
                </wp:positionH>
                <wp:positionV relativeFrom="paragraph">
                  <wp:posOffset>106045</wp:posOffset>
                </wp:positionV>
                <wp:extent cx="736600" cy="312420"/>
                <wp:effectExtent l="12700" t="12700" r="12700" b="1160780"/>
                <wp:wrapNone/>
                <wp:docPr id="26" name="圆角矩形标注 26"/>
                <wp:cNvGraphicFramePr/>
                <a:graphic xmlns:a="http://schemas.openxmlformats.org/drawingml/2006/main">
                  <a:graphicData uri="http://schemas.microsoft.com/office/word/2010/wordprocessingShape">
                    <wps:wsp>
                      <wps:cNvSpPr/>
                      <wps:spPr>
                        <a:xfrm>
                          <a:off x="0" y="0"/>
                          <a:ext cx="736600" cy="312420"/>
                        </a:xfrm>
                        <a:prstGeom prst="wedgeRoundRectCallout">
                          <a:avLst>
                            <a:gd name="adj1" fmla="val -45517"/>
                            <a:gd name="adj2" fmla="val 416463"/>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sz w:val="18"/>
                                <w:szCs w:val="18"/>
                              </w:rPr>
                            </w:pPr>
                            <w:r>
                              <w:rPr>
                                <w:rFonts w:hint="eastAsia"/>
                                <w:b/>
                                <w:sz w:val="18"/>
                                <w:szCs w:val="18"/>
                              </w:rPr>
                              <w:t>二类底盘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8.85pt;margin-top:8.35pt;height:24.6pt;width:58pt;z-index:251663360;v-text-anchor:middle;mso-width-relative:page;mso-height-relative:page;" filled="f" stroked="t" coordsize="21600,21600" o:gfxdata="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nqwLHYAAAACQEAAA8AAAAAAAAAAQAgAAAA&#10;IgAAAGRycy9kb3ducmV2LnhtbFBLAQIUABQAAAAIAIdO4kDi6ZKRtgIAAFQFAAAOAAAAAAAAAAEA&#10;IAAAACcBAABkcnMvZTJvRG9jLnhtbFBLBQYAAAAABgAGAFkBAABPBgAAAAA=&#10;" adj="968,100756,14400">
                <v:fill on="f" focussize="0,0"/>
                <v:stroke weight="2pt" color="#FF0000 [3200]" joinstyle="round"/>
                <v:imagedata o:title=""/>
                <o:lock v:ext="edit" aspectratio="f"/>
                <v:textbox>
                  <w:txbxContent>
                    <w:p>
                      <w:pPr>
                        <w:jc w:val="center"/>
                        <w:rPr>
                          <w:b/>
                          <w:sz w:val="18"/>
                          <w:szCs w:val="18"/>
                        </w:rPr>
                      </w:pPr>
                      <w:r>
                        <w:rPr>
                          <w:rFonts w:hint="eastAsia"/>
                          <w:b/>
                          <w:sz w:val="18"/>
                          <w:szCs w:val="18"/>
                        </w:rPr>
                        <w:t>二类底盘</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60288" behindDoc="0" locked="0" layoutInCell="1" allowOverlap="1">
                <wp:simplePos x="0" y="0"/>
                <wp:positionH relativeFrom="column">
                  <wp:posOffset>1570990</wp:posOffset>
                </wp:positionH>
                <wp:positionV relativeFrom="paragraph">
                  <wp:posOffset>106045</wp:posOffset>
                </wp:positionV>
                <wp:extent cx="739140" cy="312420"/>
                <wp:effectExtent l="12700" t="12700" r="29210" b="551180"/>
                <wp:wrapNone/>
                <wp:docPr id="8" name="圆角矩形标注 8"/>
                <wp:cNvGraphicFramePr/>
                <a:graphic xmlns:a="http://schemas.openxmlformats.org/drawingml/2006/main">
                  <a:graphicData uri="http://schemas.microsoft.com/office/word/2010/wordprocessingShape">
                    <wps:wsp>
                      <wps:cNvSpPr/>
                      <wps:spPr>
                        <a:xfrm>
                          <a:off x="0" y="0"/>
                          <a:ext cx="739140" cy="312420"/>
                        </a:xfrm>
                        <a:prstGeom prst="wedgeRoundRectCallout">
                          <a:avLst>
                            <a:gd name="adj1" fmla="val 39432"/>
                            <a:gd name="adj2" fmla="val 221951"/>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sz w:val="18"/>
                                <w:szCs w:val="18"/>
                              </w:rPr>
                            </w:pPr>
                            <w:r>
                              <w:rPr>
                                <w:rFonts w:hint="eastAsia"/>
                                <w:b/>
                                <w:sz w:val="18"/>
                                <w:szCs w:val="18"/>
                              </w:rPr>
                              <w:t>压填机构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7pt;margin-top:8.35pt;height:24.6pt;width:58.2pt;z-index:251660288;v-text-anchor:middle;mso-width-relative:page;mso-height-relative:page;" filled="f" stroked="t" coordsize="21600,21600" o:gfxdata="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JFe9JTZAAAACQEAAA8AAAAAAAAAAQAgAAAAIgAA&#10;AGRycy9kb3ducmV2LnhtbFBLAQIUABQAAAAIAIdO4kAGOnfAsgIAAFEFAAAOAAAAAAAAAAEAIAAA&#10;ACgBAABkcnMvZTJvRG9jLnhtbFBLBQYAAAAABgAGAFkBAABMBgAAAAA=&#10;" adj="19317,58741,14400">
                <v:fill on="f" focussize="0,0"/>
                <v:stroke weight="2pt" color="#FF0000 [3200]" joinstyle="round"/>
                <v:imagedata o:title=""/>
                <o:lock v:ext="edit" aspectratio="f"/>
                <v:textbox>
                  <w:txbxContent>
                    <w:p>
                      <w:pPr>
                        <w:jc w:val="center"/>
                        <w:rPr>
                          <w:b/>
                          <w:sz w:val="18"/>
                          <w:szCs w:val="18"/>
                        </w:rPr>
                      </w:pPr>
                      <w:r>
                        <w:rPr>
                          <w:rFonts w:hint="eastAsia"/>
                          <w:b/>
                          <w:sz w:val="18"/>
                          <w:szCs w:val="18"/>
                        </w:rPr>
                        <w:t>压填机构</w:t>
                      </w:r>
                    </w:p>
                  </w:txbxContent>
                </v:textbox>
              </v:shape>
            </w:pict>
          </mc:Fallback>
        </mc:AlternateContent>
      </w:r>
    </w:p>
    <w:p>
      <w:pPr>
        <w:tabs>
          <w:tab w:val="left" w:pos="2127"/>
        </w:tabs>
        <w:spacing w:line="360" w:lineRule="auto"/>
        <w:jc w:val="left"/>
        <w:rPr>
          <w:rFonts w:ascii="宋体" w:hAnsi="宋体"/>
          <w:b/>
          <w:sz w:val="24"/>
          <w:szCs w:val="24"/>
        </w:rPr>
      </w:pPr>
    </w:p>
    <w:p>
      <w:pPr>
        <w:tabs>
          <w:tab w:val="left" w:pos="2127"/>
        </w:tabs>
        <w:spacing w:line="360" w:lineRule="auto"/>
        <w:jc w:val="center"/>
        <w:rPr>
          <w:rFonts w:ascii="宋体" w:hAnsi="宋体"/>
          <w:b/>
          <w:sz w:val="24"/>
          <w:szCs w:val="24"/>
        </w:rPr>
      </w:pPr>
      <w:r>
        <w:drawing>
          <wp:inline distT="0" distB="0" distL="0" distR="0">
            <wp:extent cx="5486400" cy="27717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486400" cy="2771775"/>
                    </a:xfrm>
                    <a:prstGeom prst="rect">
                      <a:avLst/>
                    </a:prstGeom>
                  </pic:spPr>
                </pic:pic>
              </a:graphicData>
            </a:graphic>
          </wp:inline>
        </w:drawing>
      </w:r>
    </w:p>
    <w:p>
      <w:pPr>
        <w:tabs>
          <w:tab w:val="left" w:pos="2127"/>
        </w:tabs>
        <w:spacing w:line="360" w:lineRule="auto"/>
        <w:jc w:val="left"/>
        <w:rPr>
          <w:rFonts w:ascii="宋体" w:hAnsi="宋体"/>
          <w:b/>
          <w:sz w:val="24"/>
          <w:szCs w:val="24"/>
        </w:rPr>
      </w:pPr>
      <w:r>
        <w:rPr>
          <w:rFonts w:hint="eastAsia" w:ascii="宋体" w:hAnsi="宋体"/>
          <w:b/>
          <w:sz w:val="24"/>
          <w:szCs w:val="24"/>
        </w:rPr>
        <mc:AlternateContent>
          <mc:Choice Requires="wps">
            <w:drawing>
              <wp:anchor distT="0" distB="0" distL="114300" distR="114300" simplePos="0" relativeHeight="251666432" behindDoc="0" locked="0" layoutInCell="1" allowOverlap="1">
                <wp:simplePos x="0" y="0"/>
                <wp:positionH relativeFrom="column">
                  <wp:posOffset>2790190</wp:posOffset>
                </wp:positionH>
                <wp:positionV relativeFrom="paragraph">
                  <wp:posOffset>248920</wp:posOffset>
                </wp:positionV>
                <wp:extent cx="615950" cy="330200"/>
                <wp:effectExtent l="0" t="1257300" r="12700" b="12700"/>
                <wp:wrapNone/>
                <wp:docPr id="29" name="圆角矩形标注 29"/>
                <wp:cNvGraphicFramePr/>
                <a:graphic xmlns:a="http://schemas.openxmlformats.org/drawingml/2006/main">
                  <a:graphicData uri="http://schemas.microsoft.com/office/word/2010/wordprocessingShape">
                    <wps:wsp>
                      <wps:cNvSpPr/>
                      <wps:spPr>
                        <a:xfrm>
                          <a:off x="0" y="0"/>
                          <a:ext cx="615950" cy="330200"/>
                        </a:xfrm>
                        <a:prstGeom prst="wedgeRoundRectCallout">
                          <a:avLst>
                            <a:gd name="adj1" fmla="val -34191"/>
                            <a:gd name="adj2" fmla="val -435548"/>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sz w:val="18"/>
                                <w:szCs w:val="18"/>
                              </w:rPr>
                            </w:pPr>
                            <w:r>
                              <w:rPr>
                                <w:rFonts w:hint="eastAsia"/>
                                <w:b/>
                                <w:sz w:val="18"/>
                                <w:szCs w:val="18"/>
                              </w:rPr>
                              <w:t>副车架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9.7pt;margin-top:19.6pt;height:26pt;width:48.5pt;z-index:251666432;v-text-anchor:middle;mso-width-relative:page;mso-height-relative:page;" filled="f" stroked="t" coordsize="21600,21600" o:gfxdata="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QQ1PN2wAAAAkBAAAPAAAAAAAAAAEA&#10;IAAAACIAAABkcnMvZG93bnJldi54bWxQSwECFAAUAAAACACHTuJAv7qJ1rcCAABVBQAADgAAAAAA&#10;AAABACAAAAAqAQAAZHJzL2Uyb0RvYy54bWxQSwUGAAAAAAYABgBZAQAAUwYAAAAA&#10;" adj="3415,-83278,14400">
                <v:fill on="f" focussize="0,0"/>
                <v:stroke weight="2pt" color="#FF0000 [3200]" joinstyle="round"/>
                <v:imagedata o:title=""/>
                <o:lock v:ext="edit" aspectratio="f"/>
                <v:textbox>
                  <w:txbxContent>
                    <w:p>
                      <w:pPr>
                        <w:jc w:val="center"/>
                        <w:rPr>
                          <w:b/>
                          <w:sz w:val="18"/>
                          <w:szCs w:val="18"/>
                        </w:rPr>
                      </w:pPr>
                      <w:r>
                        <w:rPr>
                          <w:rFonts w:hint="eastAsia"/>
                          <w:b/>
                          <w:sz w:val="18"/>
                          <w:szCs w:val="18"/>
                        </w:rPr>
                        <w:t>副车架</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65408" behindDoc="0" locked="0" layoutInCell="1" allowOverlap="1">
                <wp:simplePos x="0" y="0"/>
                <wp:positionH relativeFrom="column">
                  <wp:posOffset>1884680</wp:posOffset>
                </wp:positionH>
                <wp:positionV relativeFrom="paragraph">
                  <wp:posOffset>266065</wp:posOffset>
                </wp:positionV>
                <wp:extent cx="628650" cy="317500"/>
                <wp:effectExtent l="0" t="1181100" r="19050" b="25400"/>
                <wp:wrapNone/>
                <wp:docPr id="28" name="圆角矩形标注 28"/>
                <wp:cNvGraphicFramePr/>
                <a:graphic xmlns:a="http://schemas.openxmlformats.org/drawingml/2006/main">
                  <a:graphicData uri="http://schemas.microsoft.com/office/word/2010/wordprocessingShape">
                    <wps:wsp>
                      <wps:cNvSpPr/>
                      <wps:spPr>
                        <a:xfrm>
                          <a:off x="0" y="0"/>
                          <a:ext cx="628650" cy="317500"/>
                        </a:xfrm>
                        <a:prstGeom prst="wedgeRoundRectCallout">
                          <a:avLst>
                            <a:gd name="adj1" fmla="val -41347"/>
                            <a:gd name="adj2" fmla="val -414261"/>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sz w:val="18"/>
                                <w:szCs w:val="18"/>
                              </w:rPr>
                            </w:pPr>
                            <w:r>
                              <w:rPr>
                                <w:rFonts w:hint="eastAsia"/>
                                <w:b/>
                                <w:sz w:val="18"/>
                                <w:szCs w:val="18"/>
                              </w:rPr>
                              <w:t>轮胎罩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8.4pt;margin-top:20.95pt;height:25pt;width:49.5pt;z-index:251665408;v-text-anchor:middle;mso-width-relative:page;mso-height-relative:page;" filled="f" stroked="t" coordsize="21600,21600" o:gfxdata="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4/Yh7ZAAAACQEAAA8AAAAAAAAAAQAgAAAA&#10;IgAAAGRycy9kb3ducmV2LnhtbFBLAQIUABQAAAAIAIdO4kDMfAcktQIAAFUFAAAOAAAAAAAAAAEA&#10;IAAAACgBAABkcnMvZTJvRG9jLnhtbFBLBQYAAAAABgAGAFkBAABPBgAAAAA=&#10;" adj="1869,-78680,14400">
                <v:fill on="f" focussize="0,0"/>
                <v:stroke weight="2pt" color="#FF0000 [3200]" joinstyle="round"/>
                <v:imagedata o:title=""/>
                <o:lock v:ext="edit" aspectratio="f"/>
                <v:textbox>
                  <w:txbxContent>
                    <w:p>
                      <w:pPr>
                        <w:jc w:val="center"/>
                        <w:rPr>
                          <w:b/>
                          <w:sz w:val="18"/>
                          <w:szCs w:val="18"/>
                        </w:rPr>
                      </w:pPr>
                      <w:r>
                        <w:rPr>
                          <w:rFonts w:hint="eastAsia"/>
                          <w:b/>
                          <w:sz w:val="18"/>
                          <w:szCs w:val="18"/>
                        </w:rPr>
                        <w:t>轮胎罩</w:t>
                      </w:r>
                    </w:p>
                  </w:txbxContent>
                </v:textbox>
              </v:shape>
            </w:pict>
          </mc:Fallback>
        </mc:AlternateContent>
      </w:r>
      <w:r>
        <w:rPr>
          <w:rFonts w:hint="eastAsia" w:ascii="宋体" w:hAnsi="宋体"/>
          <w:b/>
          <w:sz w:val="24"/>
          <w:szCs w:val="24"/>
        </w:rPr>
        <mc:AlternateContent>
          <mc:Choice Requires="wps">
            <w:drawing>
              <wp:anchor distT="0" distB="0" distL="114300" distR="114300" simplePos="0" relativeHeight="251664384" behindDoc="0" locked="0" layoutInCell="1" allowOverlap="1">
                <wp:simplePos x="0" y="0"/>
                <wp:positionH relativeFrom="column">
                  <wp:posOffset>894080</wp:posOffset>
                </wp:positionH>
                <wp:positionV relativeFrom="paragraph">
                  <wp:posOffset>260350</wp:posOffset>
                </wp:positionV>
                <wp:extent cx="717550" cy="317500"/>
                <wp:effectExtent l="161925" t="1097280" r="15875" b="13970"/>
                <wp:wrapNone/>
                <wp:docPr id="27" name="圆角矩形标注 27"/>
                <wp:cNvGraphicFramePr/>
                <a:graphic xmlns:a="http://schemas.openxmlformats.org/drawingml/2006/main">
                  <a:graphicData uri="http://schemas.microsoft.com/office/word/2010/wordprocessingShape">
                    <wps:wsp>
                      <wps:cNvSpPr/>
                      <wps:spPr>
                        <a:xfrm>
                          <a:off x="0" y="0"/>
                          <a:ext cx="717550" cy="317500"/>
                        </a:xfrm>
                        <a:prstGeom prst="wedgeRoundRectCallout">
                          <a:avLst>
                            <a:gd name="adj1" fmla="val -70796"/>
                            <a:gd name="adj2" fmla="val -391600"/>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pPr>
                              <w:jc w:val="center"/>
                              <w:rPr>
                                <w:b/>
                              </w:rPr>
                            </w:pPr>
                            <w:r>
                              <w:rPr>
                                <w:rFonts w:hint="eastAsia"/>
                                <w:b/>
                                <w:sz w:val="18"/>
                                <w:szCs w:val="18"/>
                              </w:rPr>
                              <w:t>上料机构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0.4pt;margin-top:20.5pt;height:25pt;width:56.5pt;z-index:251664384;v-text-anchor:middle;mso-width-relative:page;mso-height-relative:page;" filled="f" stroked="t" coordsize="21600,21600" o:gfxdata="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QswWCdUAAAAJAQAADwAAAAAAAAABACAAAAAi&#10;AAAAZHJzL2Rvd25yZXYueG1sUEsBAhQAFAAAAAgAh07iQC7F+iC4AgAAVQUAAA4AAAAAAAAAAQAg&#10;AAAAJAEAAGRycy9lMm9Eb2MueG1sUEsFBgAAAAAGAAYAWQEAAE4GAAAAAA==&#10;" adj="-4492,-73786,14400">
                <v:fill on="f" focussize="0,0"/>
                <v:stroke weight="2pt" color="#FF0000 [3200]" joinstyle="round"/>
                <v:imagedata o:title=""/>
                <o:lock v:ext="edit" aspectratio="f"/>
                <v:textbox>
                  <w:txbxContent>
                    <w:p>
                      <w:pPr>
                        <w:jc w:val="center"/>
                        <w:rPr>
                          <w:b/>
                        </w:rPr>
                      </w:pPr>
                      <w:r>
                        <w:rPr>
                          <w:rFonts w:hint="eastAsia"/>
                          <w:b/>
                          <w:sz w:val="18"/>
                          <w:szCs w:val="18"/>
                        </w:rPr>
                        <w:t>上料机构</w:t>
                      </w:r>
                    </w:p>
                  </w:txbxContent>
                </v:textbox>
              </v:shape>
            </w:pict>
          </mc:Fallback>
        </mc:AlternateContent>
      </w:r>
    </w:p>
    <w:p>
      <w:pPr>
        <w:tabs>
          <w:tab w:val="left" w:pos="2127"/>
        </w:tabs>
        <w:spacing w:line="360" w:lineRule="auto"/>
        <w:jc w:val="left"/>
        <w:rPr>
          <w:rFonts w:ascii="宋体" w:hAnsi="宋体"/>
          <w:b/>
          <w:sz w:val="24"/>
          <w:szCs w:val="24"/>
        </w:rPr>
      </w:pPr>
    </w:p>
    <w:p>
      <w:pPr>
        <w:tabs>
          <w:tab w:val="left" w:pos="2127"/>
        </w:tabs>
        <w:spacing w:line="360" w:lineRule="auto"/>
        <w:jc w:val="center"/>
        <w:rPr>
          <w:rFonts w:ascii="宋体" w:hAnsi="宋体"/>
          <w:b/>
          <w:color w:val="FF0000"/>
          <w:sz w:val="24"/>
          <w:szCs w:val="24"/>
        </w:rPr>
      </w:pPr>
    </w:p>
    <w:p>
      <w:pPr>
        <w:tabs>
          <w:tab w:val="left" w:pos="2127"/>
        </w:tabs>
        <w:spacing w:line="360" w:lineRule="auto"/>
        <w:jc w:val="left"/>
        <w:rPr>
          <w:rFonts w:ascii="宋体" w:hAnsi="宋体"/>
          <w:b/>
          <w:sz w:val="24"/>
        </w:rPr>
      </w:pPr>
      <w:r>
        <w:rPr>
          <w:rFonts w:hint="eastAsia" w:ascii="宋体" w:hAnsi="宋体"/>
          <w:b/>
          <w:sz w:val="24"/>
        </w:rPr>
        <w:t>1、二类底盘</w:t>
      </w:r>
    </w:p>
    <w:p>
      <w:pPr>
        <w:tabs>
          <w:tab w:val="left" w:pos="2127"/>
        </w:tabs>
        <w:spacing w:line="360" w:lineRule="auto"/>
        <w:ind w:firstLine="480"/>
        <w:jc w:val="left"/>
        <w:rPr>
          <w:rFonts w:ascii="宋体" w:hAnsi="宋体"/>
          <w:sz w:val="24"/>
          <w:szCs w:val="24"/>
        </w:rPr>
      </w:pPr>
      <w:r>
        <w:rPr>
          <w:rFonts w:hint="eastAsia" w:ascii="宋体" w:hAnsi="宋体"/>
          <w:b/>
          <w:sz w:val="24"/>
          <w:szCs w:val="24"/>
        </w:rPr>
        <w:t>底盘</w:t>
      </w:r>
      <w:r>
        <w:rPr>
          <w:rFonts w:hint="eastAsia" w:ascii="宋体" w:hAnsi="宋体"/>
          <w:sz w:val="24"/>
          <w:szCs w:val="24"/>
        </w:rPr>
        <w:t>。采用</w:t>
      </w:r>
      <w:r>
        <w:rPr>
          <w:rFonts w:hint="eastAsia" w:asciiTheme="minorEastAsia" w:hAnsiTheme="minorEastAsia" w:eastAsiaTheme="minorEastAsia"/>
          <w:sz w:val="24"/>
          <w:szCs w:val="24"/>
        </w:rPr>
        <w:t>江淮汽车集团有限公司</w:t>
      </w:r>
      <w:r>
        <w:rPr>
          <w:rFonts w:hint="eastAsia" w:ascii="宋体" w:hAnsi="宋体"/>
          <w:sz w:val="24"/>
          <w:szCs w:val="24"/>
        </w:rPr>
        <w:t>的</w:t>
      </w:r>
      <w:r>
        <w:rPr>
          <w:rFonts w:hint="eastAsia" w:asciiTheme="minorEastAsia" w:hAnsiTheme="minorEastAsia" w:eastAsiaTheme="minorEastAsia"/>
          <w:sz w:val="24"/>
          <w:szCs w:val="24"/>
        </w:rPr>
        <w:t>HFC1042PW4K1B4ZS</w:t>
      </w:r>
      <w:r>
        <w:rPr>
          <w:rFonts w:hint="eastAsia" w:ascii="宋体" w:hAnsi="宋体"/>
          <w:sz w:val="24"/>
          <w:szCs w:val="24"/>
        </w:rPr>
        <w:t>二类底盘，动力强劲，承载能力强，该底盘是目前国产技术先进、质量可靠的底盘。</w:t>
      </w:r>
    </w:p>
    <w:p>
      <w:pPr>
        <w:tabs>
          <w:tab w:val="left" w:pos="2127"/>
        </w:tabs>
        <w:spacing w:line="360" w:lineRule="auto"/>
        <w:ind w:firstLine="482" w:firstLineChars="200"/>
        <w:jc w:val="left"/>
        <w:rPr>
          <w:rFonts w:ascii="宋体" w:hAnsi="宋体"/>
          <w:sz w:val="24"/>
          <w:szCs w:val="24"/>
        </w:rPr>
      </w:pPr>
      <w:r>
        <w:rPr>
          <w:rFonts w:hint="eastAsia" w:ascii="宋体" w:hAnsi="宋体"/>
          <w:b/>
          <w:sz w:val="24"/>
          <w:szCs w:val="24"/>
        </w:rPr>
        <w:t>发动机</w:t>
      </w:r>
      <w:r>
        <w:rPr>
          <w:rFonts w:hint="eastAsia" w:ascii="宋体" w:hAnsi="宋体"/>
          <w:sz w:val="24"/>
          <w:szCs w:val="24"/>
        </w:rPr>
        <w:t>。采用</w:t>
      </w:r>
      <w:r>
        <w:rPr>
          <w:rFonts w:hint="eastAsia" w:asciiTheme="minorEastAsia" w:hAnsiTheme="minorEastAsia" w:eastAsiaTheme="minorEastAsia"/>
          <w:sz w:val="24"/>
          <w:szCs w:val="24"/>
        </w:rPr>
        <w:t>安徽全柴动力股份有限公司生产</w:t>
      </w:r>
      <w:r>
        <w:rPr>
          <w:rFonts w:hint="eastAsia" w:ascii="宋体" w:hAnsi="宋体"/>
          <w:sz w:val="24"/>
          <w:szCs w:val="24"/>
        </w:rPr>
        <w:t>的</w:t>
      </w:r>
      <w:r>
        <w:rPr>
          <w:rFonts w:hint="eastAsia" w:asciiTheme="minorEastAsia" w:hAnsiTheme="minorEastAsia" w:eastAsiaTheme="minorEastAsia"/>
          <w:sz w:val="24"/>
          <w:szCs w:val="24"/>
        </w:rPr>
        <w:t>Q23-95E60</w:t>
      </w:r>
      <w:r>
        <w:rPr>
          <w:rFonts w:hint="eastAsia" w:eastAsiaTheme="minorEastAsia"/>
          <w:sz w:val="24"/>
          <w:szCs w:val="24"/>
        </w:rPr>
        <w:t>发动机</w:t>
      </w:r>
      <w:r>
        <w:rPr>
          <w:rFonts w:hint="eastAsia" w:ascii="宋体" w:hAnsi="宋体"/>
          <w:sz w:val="24"/>
          <w:szCs w:val="24"/>
        </w:rPr>
        <w:t>，额定功率70kW。</w:t>
      </w:r>
    </w:p>
    <w:p>
      <w:pPr>
        <w:tabs>
          <w:tab w:val="left" w:pos="2127"/>
        </w:tabs>
        <w:spacing w:line="360" w:lineRule="auto"/>
        <w:jc w:val="left"/>
        <w:rPr>
          <w:rFonts w:ascii="宋体" w:hAnsi="宋体"/>
          <w:b/>
          <w:sz w:val="24"/>
          <w:szCs w:val="24"/>
        </w:rPr>
      </w:pPr>
      <w:r>
        <w:rPr>
          <w:rFonts w:hint="eastAsia" w:ascii="宋体" w:hAnsi="宋体"/>
          <w:b/>
          <w:sz w:val="24"/>
          <w:szCs w:val="24"/>
        </w:rPr>
        <w:t>2、垃圾箱</w:t>
      </w:r>
    </w:p>
    <w:p>
      <w:pPr>
        <w:tabs>
          <w:tab w:val="left" w:pos="2127"/>
        </w:tabs>
        <w:spacing w:line="360" w:lineRule="auto"/>
        <w:ind w:firstLine="480"/>
        <w:jc w:val="left"/>
        <w:rPr>
          <w:rFonts w:ascii="宋体" w:hAnsi="宋体"/>
          <w:sz w:val="24"/>
          <w:szCs w:val="24"/>
        </w:rPr>
      </w:pPr>
      <w:r>
        <w:rPr>
          <w:rFonts w:hint="eastAsia" w:ascii="宋体" w:hAnsi="宋体"/>
          <w:sz w:val="24"/>
          <w:szCs w:val="24"/>
        </w:rPr>
        <w:t>垃圾箱是本产品对生活垃圾进行收集存储的部件，也是连接压填机构的基体。垃圾箱整体受力结构件设计可靠，刚性匹配合理；垃圾箱船型密闭设计，可有效防止二次污染。</w:t>
      </w:r>
    </w:p>
    <w:p>
      <w:pPr>
        <w:tabs>
          <w:tab w:val="left" w:pos="2127"/>
        </w:tabs>
        <w:spacing w:line="360" w:lineRule="auto"/>
        <w:jc w:val="left"/>
        <w:rPr>
          <w:rFonts w:ascii="宋体" w:hAnsi="宋体"/>
          <w:b/>
          <w:sz w:val="24"/>
          <w:szCs w:val="24"/>
        </w:rPr>
      </w:pPr>
      <w:r>
        <w:rPr>
          <w:rFonts w:hint="eastAsia" w:ascii="宋体" w:hAnsi="宋体"/>
          <w:b/>
          <w:sz w:val="24"/>
          <w:szCs w:val="24"/>
        </w:rPr>
        <w:t>3、上料机构</w:t>
      </w:r>
    </w:p>
    <w:p>
      <w:pPr>
        <w:tabs>
          <w:tab w:val="left" w:pos="2127"/>
        </w:tabs>
        <w:spacing w:line="360" w:lineRule="auto"/>
        <w:ind w:firstLine="480"/>
        <w:jc w:val="left"/>
        <w:rPr>
          <w:rFonts w:ascii="宋体" w:hAnsi="宋体"/>
          <w:sz w:val="24"/>
          <w:szCs w:val="24"/>
        </w:rPr>
      </w:pPr>
      <w:r>
        <w:rPr>
          <w:rFonts w:hint="eastAsia" w:ascii="宋体" w:hAnsi="宋体"/>
          <w:sz w:val="24"/>
          <w:szCs w:val="24"/>
        </w:rPr>
        <w:t>上料机构是将垃圾桶内垃圾装载到垃圾箱内的装置。上料机构可同时装载两个120L/240L垃圾桶或单个660L垃圾桶。</w:t>
      </w:r>
    </w:p>
    <w:p>
      <w:pPr>
        <w:tabs>
          <w:tab w:val="left" w:pos="2127"/>
        </w:tabs>
        <w:spacing w:line="360" w:lineRule="auto"/>
        <w:jc w:val="left"/>
        <w:rPr>
          <w:rFonts w:ascii="宋体" w:hAnsi="宋体"/>
          <w:b/>
          <w:sz w:val="24"/>
          <w:szCs w:val="24"/>
        </w:rPr>
      </w:pPr>
      <w:r>
        <w:rPr>
          <w:rFonts w:hint="eastAsia" w:ascii="宋体" w:hAnsi="宋体"/>
          <w:b/>
          <w:sz w:val="24"/>
          <w:szCs w:val="24"/>
        </w:rPr>
        <w:t>4、压填机构</w:t>
      </w:r>
    </w:p>
    <w:p>
      <w:pPr>
        <w:tabs>
          <w:tab w:val="left" w:pos="2127"/>
        </w:tabs>
        <w:spacing w:line="360" w:lineRule="auto"/>
        <w:ind w:firstLine="480" w:firstLineChars="200"/>
        <w:jc w:val="left"/>
        <w:rPr>
          <w:rFonts w:ascii="宋体" w:hAnsi="宋体"/>
          <w:sz w:val="24"/>
          <w:szCs w:val="24"/>
        </w:rPr>
      </w:pPr>
      <w:r>
        <w:rPr>
          <w:rFonts w:hint="eastAsia" w:ascii="宋体" w:hAnsi="宋体"/>
          <w:sz w:val="24"/>
          <w:szCs w:val="24"/>
        </w:rPr>
        <w:t>压填机构设置于垃圾箱上，是将松散垃圾进行压缩和遮盖的装置。压填装置由刮板、滑板及滑块等组件构成，滑板安装在垃圾箱两侧轨道中，可沿轨道前后滑动，刮板安装在滑板上，可进行旋转运动；压填机构可以对垃圾箱口进行遮盖，防止行驶过程中垃圾飘撒。</w:t>
      </w:r>
    </w:p>
    <w:p>
      <w:pPr>
        <w:tabs>
          <w:tab w:val="left" w:pos="2127"/>
        </w:tabs>
        <w:spacing w:line="360" w:lineRule="auto"/>
        <w:jc w:val="left"/>
        <w:rPr>
          <w:rFonts w:ascii="宋体" w:hAnsi="宋体"/>
          <w:b/>
          <w:sz w:val="24"/>
          <w:szCs w:val="24"/>
        </w:rPr>
      </w:pPr>
      <w:r>
        <w:rPr>
          <w:rFonts w:hint="eastAsia" w:ascii="宋体" w:hAnsi="宋体"/>
          <w:b/>
          <w:sz w:val="24"/>
          <w:szCs w:val="24"/>
        </w:rPr>
        <w:t>5、副车架</w:t>
      </w:r>
    </w:p>
    <w:p>
      <w:pPr>
        <w:tabs>
          <w:tab w:val="left" w:pos="2127"/>
        </w:tabs>
        <w:spacing w:line="360" w:lineRule="auto"/>
        <w:ind w:firstLine="480" w:firstLineChars="200"/>
        <w:jc w:val="left"/>
        <w:rPr>
          <w:rFonts w:ascii="宋体" w:hAnsi="宋体"/>
          <w:sz w:val="24"/>
          <w:szCs w:val="24"/>
        </w:rPr>
      </w:pPr>
      <w:r>
        <w:rPr>
          <w:rFonts w:hint="eastAsia" w:ascii="宋体" w:hAnsi="宋体"/>
          <w:sz w:val="24"/>
          <w:szCs w:val="24"/>
        </w:rPr>
        <w:t>副车架是产品上装的基础部件，通过连接座固定在底盘大梁上，对上装起固定支撑作用。</w:t>
      </w:r>
    </w:p>
    <w:p>
      <w:pPr>
        <w:tabs>
          <w:tab w:val="left" w:pos="2127"/>
        </w:tabs>
        <w:spacing w:line="360" w:lineRule="auto"/>
        <w:jc w:val="left"/>
        <w:rPr>
          <w:rFonts w:ascii="宋体" w:hAnsi="宋体"/>
          <w:b/>
          <w:sz w:val="24"/>
          <w:szCs w:val="24"/>
        </w:rPr>
      </w:pPr>
      <w:r>
        <w:rPr>
          <w:rFonts w:hint="eastAsia" w:ascii="宋体" w:hAnsi="宋体"/>
          <w:b/>
          <w:sz w:val="24"/>
          <w:szCs w:val="24"/>
        </w:rPr>
        <w:t>6、作业操作方式</w:t>
      </w:r>
    </w:p>
    <w:p>
      <w:pPr>
        <w:tabs>
          <w:tab w:val="left" w:pos="2127"/>
        </w:tabs>
        <w:spacing w:line="360" w:lineRule="auto"/>
        <w:ind w:firstLine="492"/>
        <w:jc w:val="left"/>
        <w:rPr>
          <w:rFonts w:ascii="宋体" w:hAnsi="宋体"/>
          <w:sz w:val="24"/>
          <w:szCs w:val="24"/>
        </w:rPr>
      </w:pPr>
      <w:r>
        <w:rPr>
          <w:rFonts w:hint="eastAsia" w:ascii="宋体" w:hAnsi="宋体"/>
          <w:b/>
          <w:sz w:val="24"/>
          <w:szCs w:val="24"/>
        </w:rPr>
        <w:t>车辆采用“控制器+CAN总线”的控制模式。</w:t>
      </w:r>
      <w:r>
        <w:rPr>
          <w:rFonts w:hint="eastAsia" w:ascii="宋体" w:hAnsi="宋体"/>
          <w:sz w:val="24"/>
          <w:szCs w:val="24"/>
        </w:rPr>
        <w:t>采用国内外优质电气元件，按不同的要求编制了不同的控制程序，实现车辆智能控制、安全控制以及人性化控制操作，而且控制器具有短路自我保护，因此该系统具有可靠性高，操纵、维修方便等特点。</w:t>
      </w:r>
    </w:p>
    <w:p>
      <w:pPr>
        <w:tabs>
          <w:tab w:val="left" w:pos="2127"/>
        </w:tabs>
        <w:spacing w:line="360" w:lineRule="auto"/>
        <w:ind w:firstLine="492"/>
        <w:jc w:val="left"/>
        <w:rPr>
          <w:rFonts w:ascii="宋体" w:hAnsi="宋体"/>
          <w:sz w:val="24"/>
          <w:szCs w:val="24"/>
        </w:rPr>
      </w:pPr>
      <w:r>
        <w:rPr>
          <w:rFonts w:hint="eastAsia" w:ascii="宋体" w:hAnsi="宋体"/>
          <w:sz w:val="24"/>
          <w:szCs w:val="24"/>
        </w:rPr>
        <w:t xml:space="preserve">车辆操作： </w:t>
      </w:r>
    </w:p>
    <w:p>
      <w:pPr>
        <w:tabs>
          <w:tab w:val="left" w:pos="2127"/>
        </w:tabs>
        <w:spacing w:line="360" w:lineRule="auto"/>
        <w:ind w:firstLine="492"/>
        <w:jc w:val="left"/>
        <w:rPr>
          <w:rFonts w:ascii="宋体" w:hAnsi="宋体"/>
          <w:sz w:val="24"/>
          <w:szCs w:val="24"/>
        </w:rPr>
      </w:pPr>
      <w:r>
        <w:rPr>
          <w:rFonts w:hint="eastAsia" w:ascii="宋体" w:hAnsi="宋体"/>
          <w:b/>
          <w:sz w:val="24"/>
          <w:szCs w:val="24"/>
        </w:rPr>
        <w:t>1）车辆尾部操作盒。</w:t>
      </w:r>
      <w:r>
        <w:rPr>
          <w:rFonts w:hint="eastAsia" w:ascii="宋体" w:hAnsi="宋体"/>
          <w:sz w:val="24"/>
          <w:szCs w:val="24"/>
        </w:rPr>
        <w:t>位于车辆右后侧，见图1，主要用于垃圾箱的上料、卸料、压填循环等。</w:t>
      </w:r>
    </w:p>
    <w:p>
      <w:pPr>
        <w:tabs>
          <w:tab w:val="left" w:pos="2127"/>
        </w:tabs>
        <w:spacing w:line="360" w:lineRule="auto"/>
        <w:ind w:firstLine="492"/>
        <w:jc w:val="left"/>
        <w:rPr>
          <w:rFonts w:ascii="宋体" w:hAnsi="宋体"/>
          <w:color w:val="FF0000"/>
          <w:sz w:val="24"/>
          <w:szCs w:val="24"/>
        </w:rPr>
      </w:pPr>
      <w:r>
        <w:rPr>
          <w:rFonts w:hint="eastAsia" w:ascii="宋体" w:hAnsi="宋体"/>
          <w:b/>
          <w:sz w:val="24"/>
          <w:szCs w:val="24"/>
        </w:rPr>
        <w:t>2）遥控器（选配）。</w:t>
      </w:r>
      <w:r>
        <w:rPr>
          <w:rFonts w:hint="eastAsia" w:ascii="宋体" w:hAnsi="宋体"/>
          <w:sz w:val="24"/>
          <w:szCs w:val="24"/>
        </w:rPr>
        <w:t>用于控制上料、卸料及压填循环等，见图2；</w:t>
      </w:r>
    </w:p>
    <w:p>
      <w:pPr>
        <w:tabs>
          <w:tab w:val="left" w:pos="2127"/>
        </w:tabs>
        <w:spacing w:line="360" w:lineRule="auto"/>
        <w:ind w:firstLine="600" w:firstLineChars="250"/>
      </w:pPr>
      <w:r>
        <w:rPr>
          <w:rFonts w:hint="eastAsia" w:ascii="宋体" w:hAnsi="宋体"/>
          <w:sz w:val="24"/>
          <w:szCs w:val="24"/>
        </w:rPr>
        <w:t xml:space="preserve"> </w:t>
      </w:r>
      <w:r>
        <w:t xml:space="preserve">    </w:t>
      </w:r>
      <w:r>
        <w:drawing>
          <wp:inline distT="0" distB="0" distL="114300" distR="114300">
            <wp:extent cx="1738630" cy="2890520"/>
            <wp:effectExtent l="0" t="0" r="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1743094" cy="2897335"/>
                    </a:xfrm>
                    <a:prstGeom prst="rect">
                      <a:avLst/>
                    </a:prstGeom>
                    <a:noFill/>
                    <a:ln>
                      <a:noFill/>
                    </a:ln>
                  </pic:spPr>
                </pic:pic>
              </a:graphicData>
            </a:graphic>
          </wp:inline>
        </w:drawing>
      </w:r>
      <w:r>
        <w:t xml:space="preserve">               </w:t>
      </w:r>
      <w:r>
        <w:rPr>
          <w:rFonts w:hint="eastAsia"/>
        </w:rPr>
        <w:t xml:space="preserve">      </w:t>
      </w:r>
      <w:r>
        <w:t xml:space="preserve"> </w:t>
      </w:r>
      <w:r>
        <w:drawing>
          <wp:inline distT="0" distB="0" distL="0" distR="0">
            <wp:extent cx="1272540" cy="2877185"/>
            <wp:effectExtent l="0" t="0" r="3810" b="18415"/>
            <wp:docPr id="19" name="图片 9"/>
            <wp:cNvGraphicFramePr/>
            <a:graphic xmlns:a="http://schemas.openxmlformats.org/drawingml/2006/main">
              <a:graphicData uri="http://schemas.openxmlformats.org/drawingml/2006/picture">
                <pic:pic xmlns:pic="http://schemas.openxmlformats.org/drawingml/2006/picture">
                  <pic:nvPicPr>
                    <pic:cNvPr id="1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540" cy="2877185"/>
                    </a:xfrm>
                    <a:prstGeom prst="rect">
                      <a:avLst/>
                    </a:prstGeom>
                  </pic:spPr>
                </pic:pic>
              </a:graphicData>
            </a:graphic>
          </wp:inline>
        </w:drawing>
      </w:r>
      <w:r>
        <w:t xml:space="preserve">   </w:t>
      </w:r>
    </w:p>
    <w:p>
      <w:pPr>
        <w:tabs>
          <w:tab w:val="left" w:pos="2127"/>
        </w:tabs>
        <w:spacing w:line="360" w:lineRule="auto"/>
        <w:ind w:firstLine="1200" w:firstLineChars="500"/>
        <w:jc w:val="left"/>
        <w:rPr>
          <w:rFonts w:ascii="宋体" w:hAnsi="宋体"/>
          <w:color w:val="FF0000"/>
          <w:sz w:val="24"/>
          <w:szCs w:val="24"/>
        </w:rPr>
      </w:pPr>
      <w:r>
        <w:rPr>
          <w:rFonts w:hint="eastAsia" w:ascii="宋体" w:hAnsi="宋体"/>
          <w:sz w:val="24"/>
          <w:szCs w:val="24"/>
        </w:rPr>
        <w:t xml:space="preserve">图1：车辆右侧尾部操作盒                   图2：无线遥控器   </w:t>
      </w:r>
    </w:p>
    <w:p>
      <w:pPr>
        <w:tabs>
          <w:tab w:val="left" w:pos="2127"/>
        </w:tabs>
        <w:spacing w:line="360" w:lineRule="auto"/>
        <w:jc w:val="left"/>
        <w:rPr>
          <w:rFonts w:ascii="宋体" w:hAnsi="宋体"/>
          <w:color w:val="FF0000"/>
          <w:sz w:val="24"/>
          <w:szCs w:val="24"/>
        </w:rPr>
      </w:pPr>
      <w:r>
        <w:rPr>
          <w:rFonts w:hint="eastAsia" w:ascii="宋体" w:hAnsi="宋体"/>
          <w:b/>
          <w:sz w:val="24"/>
          <w:szCs w:val="24"/>
        </w:rPr>
        <w:t>五、产品主要技术参数</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3"/>
        <w:gridCol w:w="2878"/>
        <w:gridCol w:w="3179"/>
        <w:gridCol w:w="27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3821" w:type="dxa"/>
            <w:gridSpan w:val="2"/>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项</w:t>
            </w:r>
            <w:r>
              <w:rPr>
                <w:rFonts w:cs="ATC-5b8b*+times"/>
                <w:color w:val="000000"/>
                <w:kern w:val="0"/>
                <w:szCs w:val="21"/>
                <w:lang w:val="zh-CN"/>
              </w:rPr>
              <w:t xml:space="preserve">    </w:t>
            </w:r>
            <w:r>
              <w:rPr>
                <w:rFonts w:hint="eastAsia" w:cs="ATC-5b8b*+times"/>
                <w:color w:val="000000"/>
                <w:kern w:val="0"/>
                <w:szCs w:val="21"/>
                <w:lang w:val="zh-CN"/>
              </w:rPr>
              <w:t>目</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单</w:t>
            </w:r>
            <w:r>
              <w:rPr>
                <w:rFonts w:cs="ATC-5b8b*+times"/>
                <w:color w:val="000000"/>
                <w:kern w:val="0"/>
                <w:szCs w:val="21"/>
                <w:lang w:val="zh-CN"/>
              </w:rPr>
              <w:t xml:space="preserve">  </w:t>
            </w:r>
            <w:r>
              <w:rPr>
                <w:rFonts w:hint="eastAsia" w:cs="ATC-5b8b*+times"/>
                <w:color w:val="000000"/>
                <w:kern w:val="0"/>
                <w:szCs w:val="21"/>
                <w:lang w:val="zh-CN"/>
              </w:rPr>
              <w:t>位</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参</w:t>
            </w:r>
            <w:r>
              <w:rPr>
                <w:rFonts w:cs="ATC-5b8b*+times"/>
                <w:color w:val="000000"/>
                <w:kern w:val="0"/>
                <w:szCs w:val="21"/>
                <w:lang w:val="zh-CN"/>
              </w:rPr>
              <w:t xml:space="preserve">  </w:t>
            </w:r>
            <w:r>
              <w:rPr>
                <w:rFonts w:hint="eastAsia" w:cs="ATC-5b8b*+times"/>
                <w:color w:val="000000"/>
                <w:kern w:val="0"/>
                <w:szCs w:val="21"/>
                <w:lang w:val="zh-CN"/>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restart"/>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整</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车</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参</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数</w:t>
            </w: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整车整备质量</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lang w:val="zh-CN"/>
              </w:rPr>
            </w:pPr>
            <w:r>
              <w:rPr>
                <w:rFonts w:cs="ATC-5b8b*+times" w:asciiTheme="minorEastAsia" w:hAnsiTheme="minorEastAsia" w:eastAsiaTheme="minorEastAsia"/>
                <w:color w:val="000000"/>
                <w:kern w:val="0"/>
                <w:szCs w:val="21"/>
                <w:lang w:val="zh-CN"/>
              </w:rPr>
              <w:t>kg</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rPr>
            </w:pPr>
            <w:r>
              <w:rPr>
                <w:rFonts w:hint="eastAsia" w:cs="ATC-5b8b*+times" w:asciiTheme="minorEastAsia" w:hAnsiTheme="minorEastAsia" w:eastAsiaTheme="minorEastAsia"/>
                <w:color w:val="000000"/>
                <w:kern w:val="0"/>
                <w:szCs w:val="21"/>
              </w:rPr>
              <w:t>3120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最大总质量</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lang w:val="zh-CN"/>
              </w:rPr>
            </w:pPr>
            <w:r>
              <w:rPr>
                <w:rFonts w:cs="ATC-5b8b*+times" w:asciiTheme="minorEastAsia" w:hAnsiTheme="minorEastAsia" w:eastAsiaTheme="minorEastAsia"/>
                <w:color w:val="000000"/>
                <w:kern w:val="0"/>
                <w:szCs w:val="21"/>
                <w:lang w:val="zh-CN"/>
              </w:rPr>
              <w:t>kg</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rPr>
            </w:pPr>
            <w:r>
              <w:rPr>
                <w:rFonts w:hint="eastAsia" w:cs="ATC-5b8b*+times" w:asciiTheme="minorEastAsia" w:hAnsiTheme="minorEastAsia" w:eastAsiaTheme="minorEastAsia"/>
                <w:color w:val="000000"/>
                <w:kern w:val="0"/>
                <w:szCs w:val="21"/>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额定载质量</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kg</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rPr>
            </w:pPr>
            <w:r>
              <w:rPr>
                <w:rFonts w:hint="eastAsia" w:cs="ATC-5b8b*+times" w:asciiTheme="minorEastAsia" w:hAnsiTheme="minorEastAsia" w:eastAsiaTheme="minorEastAsia"/>
                <w:kern w:val="0"/>
                <w:szCs w:val="21"/>
              </w:rPr>
              <w:t>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外形尺寸（长×宽×高）</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mm</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rPr>
            </w:pPr>
            <w:r>
              <w:rPr>
                <w:rFonts w:cs="ATC-5b8b*+times" w:asciiTheme="minorEastAsia" w:hAnsiTheme="minorEastAsia" w:eastAsiaTheme="minorEastAsia"/>
                <w:kern w:val="0"/>
                <w:szCs w:val="21"/>
              </w:rPr>
              <w:t>5045</w:t>
            </w:r>
            <w:r>
              <w:rPr>
                <w:rFonts w:hint="eastAsia" w:cs="ATC-5b8b*+times" w:asciiTheme="minorEastAsia" w:hAnsiTheme="minorEastAsia" w:eastAsiaTheme="minorEastAsia"/>
                <w:kern w:val="0"/>
                <w:szCs w:val="21"/>
              </w:rPr>
              <w:t>×</w:t>
            </w:r>
            <w:r>
              <w:rPr>
                <w:rFonts w:cs="ATC-5b8b*+times" w:asciiTheme="minorEastAsia" w:hAnsiTheme="minorEastAsia" w:eastAsiaTheme="minorEastAsia"/>
                <w:kern w:val="0"/>
                <w:szCs w:val="21"/>
              </w:rPr>
              <w:t>1</w:t>
            </w:r>
            <w:r>
              <w:rPr>
                <w:rFonts w:hint="eastAsia" w:cs="ATC-5b8b*+times" w:asciiTheme="minorEastAsia" w:hAnsiTheme="minorEastAsia" w:eastAsiaTheme="minorEastAsia"/>
                <w:kern w:val="0"/>
                <w:szCs w:val="21"/>
              </w:rPr>
              <w:t>77</w:t>
            </w:r>
            <w:r>
              <w:rPr>
                <w:rFonts w:cs="ATC-5b8b*+times" w:asciiTheme="minorEastAsia" w:hAnsiTheme="minorEastAsia" w:eastAsiaTheme="minorEastAsia"/>
                <w:kern w:val="0"/>
                <w:szCs w:val="21"/>
              </w:rPr>
              <w:t>5</w:t>
            </w:r>
            <w:r>
              <w:rPr>
                <w:rFonts w:hint="eastAsia" w:cs="ATC-5b8b*+times" w:asciiTheme="minorEastAsia" w:hAnsiTheme="minorEastAsia" w:eastAsiaTheme="minorEastAsia"/>
                <w:kern w:val="0"/>
                <w:szCs w:val="21"/>
              </w:rPr>
              <w:t>×</w:t>
            </w:r>
            <w:r>
              <w:rPr>
                <w:rFonts w:cs="ATC-5b8b*+times" w:asciiTheme="minorEastAsia" w:hAnsiTheme="minorEastAsia" w:eastAsiaTheme="minorEastAsia"/>
                <w:kern w:val="0"/>
                <w:szCs w:val="21"/>
              </w:rPr>
              <w:t>23</w:t>
            </w:r>
            <w:r>
              <w:rPr>
                <w:rFonts w:hint="eastAsia" w:cs="ATC-5b8b*+times" w:asciiTheme="minorEastAsia" w:hAnsiTheme="minorEastAsia" w:eastAsiaTheme="minorEastAsia"/>
                <w:kern w:val="0"/>
                <w:szCs w:val="21"/>
              </w:rPr>
              <w:t>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最小离地间隙</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mm</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接近角</w:t>
            </w:r>
            <w:r>
              <w:rPr>
                <w:rFonts w:cs="ATC-5b8b*+times"/>
                <w:color w:val="000000"/>
                <w:kern w:val="0"/>
                <w:szCs w:val="21"/>
                <w:lang w:val="zh-CN"/>
              </w:rPr>
              <w:t>/</w:t>
            </w:r>
            <w:r>
              <w:rPr>
                <w:rFonts w:hint="eastAsia" w:cs="ATC-5b8b*+times"/>
                <w:color w:val="000000"/>
                <w:kern w:val="0"/>
                <w:szCs w:val="21"/>
                <w:lang w:val="zh-CN"/>
              </w:rPr>
              <w:t>离去角</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lang w:val="zh-CN"/>
              </w:rPr>
              <w:t>°</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24</w:t>
            </w:r>
            <w:r>
              <w:rPr>
                <w:rFonts w:cs="ATC-5b8b*+times" w:asciiTheme="minorEastAsia" w:hAnsiTheme="minorEastAsia" w:eastAsiaTheme="minorEastAsia"/>
                <w:kern w:val="0"/>
                <w:szCs w:val="21"/>
              </w:rPr>
              <w:t>/16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restart"/>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底</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盘</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参</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数</w:t>
            </w: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widowControl/>
              <w:ind w:firstLine="210" w:firstLineChars="100"/>
              <w:jc w:val="left"/>
              <w:rPr>
                <w:rFonts w:cs="ATC-5b8b*+times"/>
                <w:color w:val="000000"/>
                <w:kern w:val="0"/>
                <w:szCs w:val="21"/>
                <w:lang w:val="zh-CN"/>
              </w:rPr>
            </w:pPr>
            <w:r>
              <w:rPr>
                <w:rFonts w:hint="eastAsia" w:cs="ATC-5b8b*+times"/>
                <w:color w:val="000000"/>
                <w:kern w:val="0"/>
                <w:szCs w:val="21"/>
                <w:lang w:val="zh-CN"/>
              </w:rPr>
              <w:t>底盘型号、类别、生产企业</w:t>
            </w:r>
          </w:p>
        </w:tc>
        <w:tc>
          <w:tcPr>
            <w:tcW w:w="5910" w:type="dxa"/>
            <w:gridSpan w:val="2"/>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kern w:val="0"/>
                <w:szCs w:val="21"/>
                <w:lang w:val="zh-CN"/>
              </w:rPr>
            </w:pPr>
            <w:r>
              <w:rPr>
                <w:rFonts w:cs="ATC-5b8b*+times" w:asciiTheme="minorEastAsia" w:hAnsiTheme="minorEastAsia" w:eastAsiaTheme="minorEastAsia"/>
                <w:kern w:val="0"/>
                <w:szCs w:val="21"/>
                <w:lang w:val="zh-CN"/>
              </w:rPr>
              <w:t>HFC1042PW4K1B4ZS</w:t>
            </w:r>
            <w:r>
              <w:rPr>
                <w:rFonts w:hint="eastAsia" w:cs="ATC-5b8b*+times" w:asciiTheme="minorEastAsia" w:hAnsiTheme="minorEastAsia" w:eastAsiaTheme="minorEastAsia"/>
                <w:kern w:val="0"/>
                <w:szCs w:val="21"/>
                <w:lang w:val="zh-CN"/>
              </w:rPr>
              <w:t>、二类底盘、安徽江淮汽车集团股份有限公司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widowControl/>
              <w:ind w:firstLine="210" w:firstLineChars="100"/>
              <w:jc w:val="left"/>
              <w:rPr>
                <w:rFonts w:cs="ATC-5b8b*+times"/>
                <w:color w:val="000000"/>
                <w:kern w:val="0"/>
                <w:szCs w:val="21"/>
                <w:lang w:val="zh-CN"/>
              </w:rPr>
            </w:pPr>
            <w:r>
              <w:rPr>
                <w:rFonts w:hint="eastAsia" w:cs="ATC-5b8b*+times"/>
                <w:color w:val="000000"/>
                <w:kern w:val="0"/>
                <w:szCs w:val="21"/>
                <w:lang w:val="zh-CN"/>
              </w:rPr>
              <w:t>乘坐人数</w:t>
            </w:r>
          </w:p>
        </w:tc>
        <w:tc>
          <w:tcPr>
            <w:tcW w:w="5910" w:type="dxa"/>
            <w:gridSpan w:val="2"/>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kern w:val="0"/>
                <w:szCs w:val="21"/>
                <w:lang w:val="zh-CN"/>
              </w:rPr>
            </w:pPr>
            <w:r>
              <w:rPr>
                <w:rFonts w:cs="ATC-5b8b*+times" w:asciiTheme="minorEastAsia" w:hAnsiTheme="minorEastAsia" w:eastAsiaTheme="minorEastAsia"/>
                <w:kern w:val="0"/>
                <w:szCs w:val="21"/>
                <w:lang w:val="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widowControl/>
              <w:ind w:firstLine="210" w:firstLineChars="100"/>
              <w:jc w:val="left"/>
              <w:rPr>
                <w:rFonts w:cs="ATC-5b8b*+times"/>
                <w:color w:val="000000"/>
                <w:kern w:val="0"/>
                <w:szCs w:val="21"/>
                <w:lang w:val="zh-CN"/>
              </w:rPr>
            </w:pPr>
            <w:r>
              <w:rPr>
                <w:rFonts w:hint="eastAsia" w:cs="ATC-5b8b*+times"/>
                <w:color w:val="000000"/>
                <w:kern w:val="0"/>
                <w:szCs w:val="21"/>
                <w:lang w:val="zh-CN"/>
              </w:rPr>
              <w:t>轴距</w:t>
            </w:r>
          </w:p>
        </w:tc>
        <w:tc>
          <w:tcPr>
            <w:tcW w:w="3179" w:type="dxa"/>
            <w:tcBorders>
              <w:top w:val="single" w:color="000000" w:sz="6" w:space="0"/>
              <w:left w:val="single" w:color="000000" w:sz="6" w:space="0"/>
              <w:bottom w:val="single" w:color="000000" w:sz="6" w:space="0"/>
              <w:right w:val="single" w:color="auto" w:sz="4"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lang w:val="zh-CN"/>
              </w:rPr>
              <w:t>mm</w:t>
            </w:r>
          </w:p>
        </w:tc>
        <w:tc>
          <w:tcPr>
            <w:tcW w:w="2731" w:type="dxa"/>
            <w:tcBorders>
              <w:top w:val="single" w:color="000000" w:sz="6" w:space="0"/>
              <w:left w:val="single" w:color="auto" w:sz="4" w:space="0"/>
              <w:bottom w:val="single" w:color="000000" w:sz="6" w:space="0"/>
              <w:right w:val="single" w:color="000000" w:sz="6" w:space="0"/>
            </w:tcBorders>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lang w:val="zh-CN"/>
              </w:rPr>
              <w:t>28</w:t>
            </w:r>
            <w:r>
              <w:rPr>
                <w:rFonts w:hint="eastAsia" w:cs="ATC-5b8b*+times" w:asciiTheme="minorEastAsia" w:hAnsiTheme="minorEastAsia" w:eastAsiaTheme="minorEastAsia"/>
                <w:kern w:val="0"/>
                <w:szCs w:val="21"/>
              </w:rPr>
              <w:t>5</w:t>
            </w:r>
            <w:r>
              <w:rPr>
                <w:rFonts w:hint="eastAsia" w:cs="ATC-5b8b*+times" w:asciiTheme="minorEastAsia" w:hAnsiTheme="minorEastAsia" w:eastAsiaTheme="minorEastAsia"/>
                <w:kern w:val="0"/>
                <w:szCs w:val="21"/>
                <w:lang w:val="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widowControl/>
              <w:ind w:firstLine="210" w:firstLineChars="100"/>
              <w:jc w:val="left"/>
              <w:rPr>
                <w:rFonts w:cs="ATC-5b8b*+times"/>
                <w:color w:val="000000"/>
                <w:kern w:val="0"/>
                <w:szCs w:val="21"/>
                <w:lang w:val="zh-CN"/>
              </w:rPr>
            </w:pPr>
            <w:r>
              <w:rPr>
                <w:rFonts w:hint="eastAsia" w:cs="ATC-5b8b*+times"/>
                <w:color w:val="000000"/>
                <w:kern w:val="0"/>
                <w:szCs w:val="21"/>
                <w:lang w:val="zh-CN"/>
              </w:rPr>
              <w:t>发动机型号、生产企业</w:t>
            </w:r>
          </w:p>
        </w:tc>
        <w:tc>
          <w:tcPr>
            <w:tcW w:w="5910" w:type="dxa"/>
            <w:gridSpan w:val="2"/>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Q23-95E60</w:t>
            </w:r>
            <w:r>
              <w:rPr>
                <w:rFonts w:hint="eastAsia" w:cs="ATC-5b8b*+times" w:asciiTheme="minorEastAsia" w:hAnsiTheme="minorEastAsia" w:eastAsiaTheme="minorEastAsia"/>
                <w:kern w:val="0"/>
                <w:szCs w:val="21"/>
                <w:lang w:val="zh-CN"/>
              </w:rPr>
              <w:t>、安徽全柴动力股份有限公司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widowControl/>
              <w:ind w:firstLine="210" w:firstLineChars="100"/>
              <w:jc w:val="left"/>
              <w:rPr>
                <w:rFonts w:cs="ATC-5b8b*+times"/>
                <w:color w:val="000000"/>
                <w:kern w:val="0"/>
                <w:szCs w:val="21"/>
              </w:rPr>
            </w:pPr>
            <w:r>
              <w:rPr>
                <w:rFonts w:hint="eastAsia" w:cs="ATC-5b8b*+times"/>
                <w:color w:val="000000"/>
                <w:kern w:val="0"/>
                <w:szCs w:val="21"/>
                <w:lang w:val="zh-CN"/>
              </w:rPr>
              <w:t>发动机额定功率</w:t>
            </w:r>
          </w:p>
        </w:tc>
        <w:tc>
          <w:tcPr>
            <w:tcW w:w="3179" w:type="dxa"/>
            <w:tcBorders>
              <w:top w:val="single" w:color="000000" w:sz="6" w:space="0"/>
              <w:left w:val="single" w:color="000000" w:sz="6" w:space="0"/>
              <w:bottom w:val="single" w:color="000000" w:sz="6" w:space="0"/>
              <w:right w:val="single" w:color="auto" w:sz="4"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kW/(r/min)</w:t>
            </w:r>
          </w:p>
        </w:tc>
        <w:tc>
          <w:tcPr>
            <w:tcW w:w="2731" w:type="dxa"/>
            <w:tcBorders>
              <w:top w:val="single" w:color="000000" w:sz="6" w:space="0"/>
              <w:left w:val="single" w:color="auto" w:sz="4" w:space="0"/>
              <w:bottom w:val="single" w:color="000000" w:sz="6" w:space="0"/>
              <w:right w:val="single" w:color="auto" w:sz="4" w:space="0"/>
            </w:tcBorders>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70/3000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widowControl/>
              <w:ind w:firstLine="210" w:firstLineChars="100"/>
              <w:jc w:val="left"/>
              <w:rPr>
                <w:rFonts w:cs="ATC-5b8b*+times"/>
                <w:color w:val="000000"/>
                <w:kern w:val="0"/>
                <w:szCs w:val="21"/>
              </w:rPr>
            </w:pPr>
            <w:r>
              <w:rPr>
                <w:rFonts w:hint="eastAsia" w:cs="ATC-5b8b*+times"/>
                <w:color w:val="000000"/>
                <w:kern w:val="0"/>
                <w:szCs w:val="21"/>
                <w:lang w:val="zh-CN"/>
              </w:rPr>
              <w:t>发动机最大扭矩/转速</w:t>
            </w:r>
          </w:p>
        </w:tc>
        <w:tc>
          <w:tcPr>
            <w:tcW w:w="3179" w:type="dxa"/>
            <w:tcBorders>
              <w:top w:val="single" w:color="000000" w:sz="6" w:space="0"/>
              <w:left w:val="single" w:color="000000" w:sz="6" w:space="0"/>
              <w:bottom w:val="single" w:color="000000" w:sz="6" w:space="0"/>
              <w:right w:val="single" w:color="auto" w:sz="4"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lang w:val="zh-CN"/>
              </w:rPr>
              <w:t>N.m/（r/min）</w:t>
            </w:r>
          </w:p>
        </w:tc>
        <w:tc>
          <w:tcPr>
            <w:tcW w:w="2731" w:type="dxa"/>
            <w:tcBorders>
              <w:top w:val="single" w:color="000000" w:sz="6" w:space="0"/>
              <w:left w:val="single" w:color="auto" w:sz="4" w:space="0"/>
              <w:bottom w:val="single" w:color="000000" w:sz="6" w:space="0"/>
              <w:right w:val="single" w:color="auto" w:sz="4" w:space="0"/>
            </w:tcBorders>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240/2000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restart"/>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作</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业</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性</w:t>
            </w:r>
          </w:p>
          <w:p>
            <w:pPr>
              <w:autoSpaceDE w:val="0"/>
              <w:autoSpaceDN w:val="0"/>
              <w:adjustRightInd w:val="0"/>
              <w:jc w:val="center"/>
              <w:textAlignment w:val="center"/>
              <w:rPr>
                <w:rFonts w:cs="ATC-5b8b*+times"/>
                <w:color w:val="000000"/>
                <w:kern w:val="0"/>
                <w:szCs w:val="21"/>
                <w:lang w:val="zh-CN"/>
              </w:rPr>
            </w:pPr>
            <w:r>
              <w:rPr>
                <w:rFonts w:hint="eastAsia" w:cs="ATC-5b8b*+times"/>
                <w:color w:val="000000"/>
                <w:kern w:val="0"/>
                <w:szCs w:val="21"/>
                <w:lang w:val="zh-CN"/>
              </w:rPr>
              <w:t>能</w:t>
            </w: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上料循环时间</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s</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lang w:val="zh-CN"/>
              </w:rPr>
              <w:t>≤18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卸料循环时间</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s</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rPr>
            </w:pPr>
            <w:r>
              <w:rPr>
                <w:rFonts w:hint="eastAsia" w:cs="ATC-5b8b*+times" w:asciiTheme="minorEastAsia" w:hAnsiTheme="minorEastAsia" w:eastAsiaTheme="minorEastAsia"/>
                <w:kern w:val="0"/>
                <w:szCs w:val="21"/>
                <w:lang w:val="zh-CN"/>
              </w:rPr>
              <w:t>≤</w:t>
            </w:r>
            <w:r>
              <w:rPr>
                <w:rFonts w:hint="eastAsia" w:cs="ATC-5b8b*+times" w:asciiTheme="minorEastAsia" w:hAnsiTheme="minorEastAsia" w:eastAsiaTheme="minorEastAsia"/>
                <w:kern w:val="0"/>
                <w:szCs w:val="21"/>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压填循环时间</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s</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lang w:val="zh-CN"/>
              </w:rPr>
              <w:t>≤18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配套使用垃圾桶</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 xml:space="preserve"> L</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hint="eastAsia" w:cs="ATC-5b8b*+times" w:asciiTheme="minorEastAsia" w:hAnsiTheme="minorEastAsia" w:eastAsiaTheme="minorEastAsia"/>
                <w:kern w:val="0"/>
                <w:szCs w:val="21"/>
              </w:rPr>
              <w:t>120，</w:t>
            </w:r>
            <w:r>
              <w:rPr>
                <w:rFonts w:cs="ATC-5b8b*+times" w:asciiTheme="minorEastAsia" w:hAnsiTheme="minorEastAsia" w:eastAsiaTheme="minorEastAsia"/>
                <w:kern w:val="0"/>
                <w:szCs w:val="21"/>
                <w:lang w:val="zh-CN"/>
              </w:rPr>
              <w:t>240,660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ATC-5b8b*+times"/>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垃圾箱容积</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m</w:t>
            </w:r>
            <w:r>
              <w:rPr>
                <w:rFonts w:cs="ATC-5b8b*+times"/>
                <w:kern w:val="0"/>
                <w:szCs w:val="21"/>
                <w:vertAlign w:val="superscript"/>
                <w:lang w:val="zh-CN"/>
              </w:rPr>
              <w:t>3</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lang w:val="zh-CN"/>
              </w:rPr>
            </w:pPr>
            <w:r>
              <w:rPr>
                <w:rFonts w:cs="ATC-5b8b*+times" w:asciiTheme="minorEastAsia" w:hAnsiTheme="minorEastAsia" w:eastAsiaTheme="minorEastAsia"/>
                <w:kern w:val="0"/>
                <w:szCs w:val="21"/>
                <w:lang w:val="zh-CN"/>
              </w:rPr>
              <w:t>4.</w:t>
            </w:r>
            <w:r>
              <w:rPr>
                <w:rFonts w:hint="eastAsia" w:cs="ATC-5b8b*+times" w:asciiTheme="minorEastAsia" w:hAnsiTheme="minorEastAsia" w:eastAsiaTheme="minorEastAsia"/>
                <w:kern w:val="0"/>
                <w:szCs w:val="21"/>
                <w:lang w:val="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restart"/>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jc w:val="center"/>
              <w:textAlignment w:val="center"/>
              <w:rPr>
                <w:rFonts w:cs="宋体"/>
                <w:color w:val="000000"/>
                <w:kern w:val="0"/>
                <w:szCs w:val="21"/>
                <w:lang w:val="zh-CN"/>
              </w:rPr>
            </w:pPr>
            <w:r>
              <w:rPr>
                <w:rFonts w:hint="eastAsia" w:cs="宋体"/>
                <w:color w:val="000000"/>
                <w:kern w:val="0"/>
                <w:szCs w:val="21"/>
                <w:lang w:val="zh-CN"/>
              </w:rPr>
              <w:t>行驶</w:t>
            </w:r>
          </w:p>
          <w:p>
            <w:pPr>
              <w:autoSpaceDE w:val="0"/>
              <w:autoSpaceDN w:val="0"/>
              <w:adjustRightInd w:val="0"/>
              <w:jc w:val="center"/>
              <w:textAlignment w:val="center"/>
              <w:rPr>
                <w:rFonts w:cs="宋体"/>
                <w:color w:val="000000"/>
                <w:kern w:val="0"/>
                <w:szCs w:val="21"/>
                <w:lang w:val="zh-CN"/>
              </w:rPr>
            </w:pPr>
            <w:r>
              <w:rPr>
                <w:rFonts w:hint="eastAsia" w:cs="宋体"/>
                <w:color w:val="000000"/>
                <w:kern w:val="0"/>
                <w:szCs w:val="21"/>
                <w:lang w:val="zh-CN"/>
              </w:rPr>
              <w:t>性能</w:t>
            </w: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最高车速</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lang w:val="zh-CN"/>
              </w:rPr>
            </w:pPr>
            <w:r>
              <w:rPr>
                <w:rFonts w:cs="ATC-5b8b*+times" w:asciiTheme="minorEastAsia" w:hAnsiTheme="minorEastAsia" w:eastAsiaTheme="minorEastAsia"/>
                <w:color w:val="000000"/>
                <w:kern w:val="0"/>
                <w:szCs w:val="21"/>
                <w:lang w:val="zh-CN"/>
              </w:rPr>
              <w:t>km/h</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rPr>
            </w:pPr>
            <w:r>
              <w:rPr>
                <w:rFonts w:hint="eastAsia" w:cs="ATC-5b8b*+times" w:asciiTheme="minorEastAsia" w:hAnsiTheme="minorEastAsia" w:eastAsiaTheme="minorEastAsia"/>
                <w:kern w:val="0"/>
                <w:szCs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宋体"/>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最大爬坡度</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lang w:val="zh-CN"/>
              </w:rPr>
            </w:pPr>
            <w:r>
              <w:rPr>
                <w:rFonts w:cs="ATC-5b8b*+times" w:asciiTheme="minorEastAsia" w:hAnsiTheme="minorEastAsia" w:eastAsiaTheme="minorEastAsia"/>
                <w:color w:val="000000"/>
                <w:kern w:val="0"/>
                <w:szCs w:val="21"/>
                <w:lang w:val="zh-CN"/>
              </w:rPr>
              <w:t>%</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rPr>
            </w:pPr>
            <w:r>
              <w:rPr>
                <w:rFonts w:hint="eastAsia" w:cs="ATC-5b8b*+times" w:asciiTheme="minorEastAsia" w:hAnsiTheme="minorEastAsia" w:eastAsiaTheme="minorEastAsia"/>
                <w:kern w:val="0"/>
                <w:szCs w:val="21"/>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43"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cs="宋体"/>
                <w:color w:val="000000"/>
                <w:kern w:val="0"/>
                <w:szCs w:val="21"/>
                <w:lang w:val="zh-CN"/>
              </w:rPr>
            </w:pPr>
          </w:p>
        </w:tc>
        <w:tc>
          <w:tcPr>
            <w:tcW w:w="2878"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autoSpaceDE w:val="0"/>
              <w:autoSpaceDN w:val="0"/>
              <w:adjustRightInd w:val="0"/>
              <w:ind w:firstLine="210" w:firstLineChars="100"/>
              <w:jc w:val="left"/>
              <w:textAlignment w:val="center"/>
              <w:rPr>
                <w:rFonts w:cs="ATC-5b8b*+times"/>
                <w:color w:val="000000"/>
                <w:kern w:val="0"/>
                <w:szCs w:val="21"/>
                <w:lang w:val="zh-CN"/>
              </w:rPr>
            </w:pPr>
            <w:r>
              <w:rPr>
                <w:rFonts w:hint="eastAsia" w:cs="ATC-5b8b*+times"/>
                <w:color w:val="000000"/>
                <w:kern w:val="0"/>
                <w:szCs w:val="21"/>
                <w:lang w:val="zh-CN"/>
              </w:rPr>
              <w:t>最小转弯直径</w:t>
            </w:r>
          </w:p>
        </w:tc>
        <w:tc>
          <w:tcPr>
            <w:tcW w:w="3179"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color w:val="000000"/>
                <w:kern w:val="0"/>
                <w:szCs w:val="21"/>
                <w:lang w:val="zh-CN"/>
              </w:rPr>
            </w:pPr>
            <w:r>
              <w:rPr>
                <w:rFonts w:cs="ATC-5b8b*+times" w:asciiTheme="minorEastAsia" w:hAnsiTheme="minorEastAsia" w:eastAsiaTheme="minorEastAsia"/>
                <w:color w:val="000000"/>
                <w:kern w:val="0"/>
                <w:szCs w:val="21"/>
                <w:lang w:val="zh-CN"/>
              </w:rPr>
              <w:t>m</w:t>
            </w:r>
          </w:p>
        </w:tc>
        <w:tc>
          <w:tcPr>
            <w:tcW w:w="2731" w:type="dxa"/>
            <w:tcBorders>
              <w:top w:val="single" w:color="000000" w:sz="6" w:space="0"/>
              <w:left w:val="single" w:color="000000" w:sz="6" w:space="0"/>
              <w:bottom w:val="single" w:color="000000" w:sz="6" w:space="0"/>
              <w:right w:val="single" w:color="000000" w:sz="6" w:space="0"/>
            </w:tcBorders>
            <w:tcMar>
              <w:top w:w="0" w:type="dxa"/>
              <w:left w:w="28" w:type="dxa"/>
              <w:bottom w:w="28" w:type="dxa"/>
              <w:right w:w="28" w:type="dxa"/>
            </w:tcMar>
            <w:vAlign w:val="center"/>
          </w:tcPr>
          <w:p>
            <w:pPr>
              <w:jc w:val="center"/>
              <w:rPr>
                <w:rFonts w:cs="ATC-5b8b*+times" w:asciiTheme="minorEastAsia" w:hAnsiTheme="minorEastAsia" w:eastAsiaTheme="minorEastAsia"/>
                <w:kern w:val="0"/>
                <w:szCs w:val="21"/>
              </w:rPr>
            </w:pPr>
            <w:r>
              <w:rPr>
                <w:rFonts w:hint="eastAsia" w:cs="ATC-5b8b*+times" w:asciiTheme="minorEastAsia" w:hAnsiTheme="minorEastAsia" w:eastAsiaTheme="minorEastAsia"/>
                <w:kern w:val="0"/>
                <w:szCs w:val="21"/>
              </w:rPr>
              <w:t>9.5</w:t>
            </w:r>
          </w:p>
        </w:tc>
      </w:tr>
    </w:tbl>
    <w:p>
      <w:pPr>
        <w:tabs>
          <w:tab w:val="left" w:pos="2127"/>
        </w:tabs>
        <w:spacing w:line="360" w:lineRule="auto"/>
        <w:jc w:val="left"/>
        <w:rPr>
          <w:rFonts w:ascii="宋体" w:hAnsi="宋体"/>
          <w:b/>
          <w:sz w:val="24"/>
          <w:szCs w:val="24"/>
        </w:rPr>
      </w:pPr>
    </w:p>
    <w:p>
      <w:pPr>
        <w:tabs>
          <w:tab w:val="left" w:pos="2127"/>
        </w:tabs>
        <w:spacing w:line="360" w:lineRule="auto"/>
        <w:jc w:val="left"/>
        <w:rPr>
          <w:rFonts w:ascii="宋体" w:hAnsi="宋体"/>
          <w:b/>
          <w:sz w:val="24"/>
          <w:szCs w:val="24"/>
        </w:rPr>
      </w:pPr>
      <w:r>
        <w:rPr>
          <w:rFonts w:hint="eastAsia" w:ascii="宋体" w:hAnsi="宋体"/>
          <w:b/>
          <w:sz w:val="24"/>
          <w:szCs w:val="24"/>
        </w:rPr>
        <w:t>产品主要优势</w:t>
      </w:r>
    </w:p>
    <w:p>
      <w:pPr>
        <w:tabs>
          <w:tab w:val="left" w:pos="2127"/>
        </w:tabs>
        <w:spacing w:line="360" w:lineRule="auto"/>
        <w:jc w:val="left"/>
        <w:rPr>
          <w:rFonts w:ascii="宋体" w:hAnsi="宋体"/>
          <w:b/>
          <w:sz w:val="24"/>
          <w:szCs w:val="24"/>
        </w:rPr>
      </w:pPr>
      <w:r>
        <w:rPr>
          <w:rFonts w:hint="eastAsia" w:ascii="宋体" w:hAnsi="宋体"/>
          <w:b/>
          <w:sz w:val="24"/>
          <w:szCs w:val="24"/>
        </w:rPr>
        <w:t>1.性能优越</w:t>
      </w:r>
    </w:p>
    <w:p>
      <w:pPr>
        <w:spacing w:line="360" w:lineRule="auto"/>
        <w:ind w:firstLine="482" w:firstLineChars="200"/>
        <w:rPr>
          <w:rFonts w:ascii="宋体" w:hAnsi="宋体"/>
          <w:sz w:val="24"/>
          <w:szCs w:val="24"/>
        </w:rPr>
      </w:pPr>
      <w:r>
        <w:rPr>
          <w:rFonts w:hint="eastAsia" w:ascii="宋体" w:hAnsi="宋体"/>
          <w:b/>
          <w:sz w:val="24"/>
          <w:szCs w:val="24"/>
        </w:rPr>
        <w:t>1）垃圾箱。</w:t>
      </w:r>
      <w:r>
        <w:rPr>
          <w:rFonts w:hint="eastAsia" w:ascii="宋体" w:hAnsi="宋体"/>
          <w:sz w:val="24"/>
          <w:szCs w:val="24"/>
        </w:rPr>
        <w:t>垃圾箱采用船型结构。整体受力结构件设计可靠，各机构牢固可靠，底板及侧板采用高强度优质钢材一次折弯成形，底板采用无大梁设计，刚性匹配合理，倾倒垃圾方便，便于清洗。垃圾箱采用无泄漏船形设计，确保无污水滴漏。</w:t>
      </w:r>
    </w:p>
    <w:p>
      <w:pPr>
        <w:tabs>
          <w:tab w:val="left" w:pos="2127"/>
        </w:tabs>
        <w:spacing w:line="360" w:lineRule="auto"/>
        <w:jc w:val="center"/>
        <w:rPr>
          <w:rFonts w:ascii="宋体" w:hAnsi="宋体"/>
          <w:b/>
          <w:sz w:val="24"/>
          <w:szCs w:val="24"/>
        </w:rPr>
      </w:pPr>
      <w:r>
        <w:drawing>
          <wp:inline distT="0" distB="0" distL="0" distR="0">
            <wp:extent cx="3919220" cy="204406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944037" cy="2057383"/>
                    </a:xfrm>
                    <a:prstGeom prst="rect">
                      <a:avLst/>
                    </a:prstGeom>
                  </pic:spPr>
                </pic:pic>
              </a:graphicData>
            </a:graphic>
          </wp:inline>
        </w:drawing>
      </w:r>
    </w:p>
    <w:p>
      <w:pPr>
        <w:tabs>
          <w:tab w:val="left" w:pos="2127"/>
        </w:tabs>
        <w:spacing w:line="360" w:lineRule="auto"/>
        <w:ind w:firstLine="590" w:firstLineChars="245"/>
        <w:jc w:val="left"/>
        <w:rPr>
          <w:rFonts w:ascii="宋体" w:hAnsi="宋体"/>
          <w:sz w:val="24"/>
          <w:szCs w:val="24"/>
        </w:rPr>
      </w:pPr>
      <w:r>
        <w:rPr>
          <w:rFonts w:hint="eastAsia" w:ascii="宋体" w:hAnsi="宋体"/>
          <w:b/>
          <w:sz w:val="24"/>
          <w:szCs w:val="24"/>
        </w:rPr>
        <w:t>2）压填机构。</w:t>
      </w:r>
      <w:r>
        <w:rPr>
          <w:rFonts w:hint="eastAsia" w:ascii="宋体" w:hAnsi="宋体"/>
          <w:sz w:val="24"/>
          <w:szCs w:val="24"/>
        </w:rPr>
        <w:t>压填机构可对松散垃圾进行压缩，净载率和转运效率高，运营成本低；滑板刮板能对垃圾进行遮盖，杜绝行车时垃圾飘洒，减少二次污染。</w:t>
      </w:r>
    </w:p>
    <w:p>
      <w:pPr>
        <w:tabs>
          <w:tab w:val="left" w:pos="2127"/>
        </w:tabs>
        <w:spacing w:line="360" w:lineRule="auto"/>
        <w:jc w:val="center"/>
        <w:rPr>
          <w:rFonts w:ascii="Times New Roman" w:hAnsi="Times New Roman"/>
        </w:rPr>
      </w:pPr>
      <w:r>
        <w:drawing>
          <wp:inline distT="0" distB="0" distL="114300" distR="114300">
            <wp:extent cx="4053840" cy="922020"/>
            <wp:effectExtent l="0" t="0" r="381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053840" cy="922020"/>
                    </a:xfrm>
                    <a:prstGeom prst="rect">
                      <a:avLst/>
                    </a:prstGeom>
                    <a:noFill/>
                    <a:ln>
                      <a:noFill/>
                    </a:ln>
                  </pic:spPr>
                </pic:pic>
              </a:graphicData>
            </a:graphic>
          </wp:inline>
        </w:drawing>
      </w:r>
    </w:p>
    <w:p>
      <w:pPr>
        <w:tabs>
          <w:tab w:val="left" w:pos="2127"/>
        </w:tabs>
        <w:spacing w:line="360" w:lineRule="auto"/>
        <w:ind w:firstLine="472" w:firstLineChars="196"/>
        <w:rPr>
          <w:rFonts w:ascii="宋体" w:hAnsi="宋体"/>
          <w:sz w:val="24"/>
          <w:szCs w:val="24"/>
        </w:rPr>
      </w:pPr>
      <w:r>
        <w:rPr>
          <w:rFonts w:hint="eastAsia" w:ascii="宋体" w:hAnsi="宋体"/>
          <w:b/>
          <w:sz w:val="24"/>
          <w:szCs w:val="24"/>
        </w:rPr>
        <w:t>3）上料机构。</w:t>
      </w:r>
      <w:r>
        <w:rPr>
          <w:rFonts w:hint="eastAsia" w:ascii="宋体" w:hAnsi="宋体"/>
          <w:sz w:val="24"/>
          <w:szCs w:val="24"/>
        </w:rPr>
        <w:t>上料机构设置于垃圾箱尾部，是将桶装垃圾收入垃圾箱的装置。上料过程包括挂桶、提桶和翻桶三个步骤，机构稳定可靠，作业效率高；可匹配120L/240L/660L塑料垃圾桶，适用性极高；采用高位上料方式，减少了污水撒漏，上料快捷、干净，减少了二次污染。</w:t>
      </w:r>
    </w:p>
    <w:p>
      <w:pPr>
        <w:tabs>
          <w:tab w:val="left" w:pos="2127"/>
        </w:tabs>
        <w:spacing w:line="360" w:lineRule="auto"/>
        <w:ind w:firstLine="411" w:firstLineChars="196"/>
        <w:jc w:val="center"/>
        <w:rPr>
          <w:rFonts w:ascii="宋体" w:hAnsi="宋体"/>
          <w:b/>
          <w:sz w:val="24"/>
          <w:szCs w:val="24"/>
        </w:rPr>
      </w:pPr>
      <w:r>
        <w:drawing>
          <wp:inline distT="0" distB="0" distL="0" distR="0">
            <wp:extent cx="2535555" cy="19107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2536166" cy="1910931"/>
                    </a:xfrm>
                    <a:prstGeom prst="rect">
                      <a:avLst/>
                    </a:prstGeom>
                  </pic:spPr>
                </pic:pic>
              </a:graphicData>
            </a:graphic>
          </wp:inline>
        </w:drawing>
      </w:r>
      <w:r>
        <w:rPr>
          <w:rFonts w:hint="eastAsia" w:ascii="宋体" w:hAnsi="宋体"/>
          <w:b/>
          <w:sz w:val="24"/>
          <w:szCs w:val="24"/>
        </w:rPr>
        <w:t xml:space="preserve">      </w:t>
      </w:r>
      <w:r>
        <w:drawing>
          <wp:inline distT="0" distB="0" distL="0" distR="0">
            <wp:extent cx="1043940" cy="190627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1046518" cy="1910504"/>
                    </a:xfrm>
                    <a:prstGeom prst="rect">
                      <a:avLst/>
                    </a:prstGeom>
                  </pic:spPr>
                </pic:pic>
              </a:graphicData>
            </a:graphic>
          </wp:inline>
        </w:drawing>
      </w:r>
    </w:p>
    <w:p>
      <w:pPr>
        <w:spacing w:line="360" w:lineRule="auto"/>
        <w:rPr>
          <w:rFonts w:ascii="宋体" w:hAnsi="宋体"/>
          <w:b/>
          <w:sz w:val="24"/>
        </w:rPr>
      </w:pPr>
      <w:r>
        <w:rPr>
          <w:rFonts w:hint="eastAsia" w:ascii="宋体" w:hAnsi="宋体"/>
          <w:b/>
          <w:sz w:val="24"/>
        </w:rPr>
        <w:t>2.质量优良</w:t>
      </w:r>
    </w:p>
    <w:p>
      <w:pPr>
        <w:spacing w:line="360" w:lineRule="auto"/>
        <w:ind w:firstLine="472" w:firstLineChars="196"/>
        <w:rPr>
          <w:rFonts w:ascii="Times New Roman" w:hAnsi="Times New Roman"/>
          <w:sz w:val="24"/>
        </w:rPr>
      </w:pPr>
      <w:r>
        <w:rPr>
          <w:rFonts w:hint="eastAsia"/>
          <w:b/>
          <w:sz w:val="24"/>
        </w:rPr>
        <w:t>配件配置高。</w:t>
      </w:r>
      <w:r>
        <w:rPr>
          <w:rFonts w:hint="eastAsia"/>
          <w:sz w:val="24"/>
        </w:rPr>
        <w:t>液压、电气控制元件等为国际或国内知名品牌，质量优良，可靠度高。</w:t>
      </w:r>
    </w:p>
    <w:p>
      <w:pPr>
        <w:spacing w:line="360" w:lineRule="auto"/>
        <w:rPr>
          <w:rFonts w:ascii="宋体" w:hAnsi="宋体"/>
          <w:b/>
          <w:color w:val="FF0000"/>
          <w:sz w:val="24"/>
          <w:szCs w:val="24"/>
        </w:rPr>
      </w:pPr>
      <w:r>
        <w:rPr>
          <w:rFonts w:hint="eastAsia" w:ascii="宋体" w:hAnsi="宋体"/>
          <w:b/>
          <w:sz w:val="24"/>
          <w:szCs w:val="24"/>
        </w:rPr>
        <w:t>3.安全可靠</w:t>
      </w:r>
    </w:p>
    <w:p>
      <w:pPr>
        <w:spacing w:line="360" w:lineRule="auto"/>
        <w:ind w:firstLine="482" w:firstLineChars="200"/>
        <w:rPr>
          <w:rFonts w:ascii="宋体" w:hAnsi="宋体"/>
          <w:sz w:val="24"/>
          <w:szCs w:val="24"/>
        </w:rPr>
      </w:pPr>
      <w:r>
        <w:rPr>
          <w:rFonts w:hint="eastAsia" w:ascii="宋体" w:hAnsi="宋体"/>
          <w:b/>
          <w:sz w:val="24"/>
          <w:szCs w:val="24"/>
        </w:rPr>
        <w:t>配备蜂鸣器报警系统</w:t>
      </w:r>
      <w:r>
        <w:rPr>
          <w:rFonts w:hint="eastAsia" w:ascii="宋体" w:hAnsi="宋体"/>
          <w:sz w:val="24"/>
          <w:szCs w:val="24"/>
        </w:rPr>
        <w:t>。能在卸料作业时，蜂鸣器发出报警声音。</w:t>
      </w:r>
    </w:p>
    <w:p>
      <w:pPr>
        <w:spacing w:line="360" w:lineRule="auto"/>
        <w:ind w:firstLine="472" w:firstLineChars="196"/>
        <w:rPr>
          <w:rFonts w:ascii="宋体" w:hAnsi="宋体"/>
          <w:sz w:val="24"/>
          <w:szCs w:val="24"/>
        </w:rPr>
      </w:pPr>
      <w:r>
        <w:rPr>
          <w:rFonts w:hint="eastAsia" w:ascii="宋体" w:hAnsi="宋体"/>
          <w:b/>
          <w:sz w:val="24"/>
          <w:szCs w:val="24"/>
        </w:rPr>
        <w:t>配备垃圾箱安全撑杆</w:t>
      </w:r>
      <w:r>
        <w:rPr>
          <w:rFonts w:hint="eastAsia" w:ascii="宋体" w:hAnsi="宋体"/>
          <w:sz w:val="24"/>
          <w:szCs w:val="24"/>
        </w:rPr>
        <w:t>。能在维护作业时提供可靠安全防护。</w:t>
      </w:r>
    </w:p>
    <w:p>
      <w:pPr>
        <w:spacing w:line="360" w:lineRule="auto"/>
        <w:ind w:firstLine="472" w:firstLineChars="196"/>
        <w:rPr>
          <w:rFonts w:ascii="宋体" w:hAnsi="宋体"/>
          <w:sz w:val="24"/>
          <w:szCs w:val="24"/>
        </w:rPr>
      </w:pPr>
      <w:r>
        <w:rPr>
          <w:rFonts w:hint="eastAsia" w:ascii="宋体" w:hAnsi="宋体"/>
          <w:b/>
          <w:bCs/>
          <w:sz w:val="24"/>
          <w:szCs w:val="24"/>
        </w:rPr>
        <w:t>操作盒设有停止按钮</w:t>
      </w:r>
      <w:r>
        <w:rPr>
          <w:rFonts w:hint="eastAsia" w:ascii="宋体" w:hAnsi="宋体"/>
          <w:sz w:val="24"/>
          <w:szCs w:val="24"/>
        </w:rPr>
        <w:t>。压填循环作业出现危险情况时可紧急停止操作，确保安全。</w:t>
      </w:r>
    </w:p>
    <w:p>
      <w:pPr>
        <w:spacing w:line="360" w:lineRule="auto"/>
        <w:ind w:firstLine="472" w:firstLineChars="196"/>
        <w:rPr>
          <w:rFonts w:ascii="宋体" w:hAnsi="宋体"/>
          <w:sz w:val="24"/>
          <w:szCs w:val="24"/>
        </w:rPr>
      </w:pPr>
      <w:r>
        <w:rPr>
          <w:rFonts w:hint="eastAsia" w:ascii="宋体" w:hAnsi="宋体"/>
          <w:b/>
          <w:bCs/>
          <w:sz w:val="24"/>
          <w:szCs w:val="24"/>
        </w:rPr>
        <w:t>车辆后部设有安全支腿。</w:t>
      </w:r>
      <w:r>
        <w:rPr>
          <w:rFonts w:hint="eastAsia" w:ascii="宋体" w:hAnsi="宋体"/>
          <w:sz w:val="24"/>
          <w:szCs w:val="24"/>
        </w:rPr>
        <w:t>垃圾箱卸料时安全支腿打开，确保卸料时整车稳定性。</w:t>
      </w:r>
    </w:p>
    <w:p>
      <w:pPr>
        <w:spacing w:line="360" w:lineRule="auto"/>
        <w:ind w:firstLine="472" w:firstLineChars="196"/>
        <w:rPr>
          <w:rFonts w:ascii="宋体" w:hAnsi="宋体"/>
          <w:b/>
          <w:bCs/>
          <w:sz w:val="24"/>
          <w:szCs w:val="24"/>
        </w:rPr>
      </w:pPr>
      <w:r>
        <w:rPr>
          <w:rFonts w:hint="eastAsia" w:ascii="宋体" w:hAnsi="宋体"/>
          <w:b/>
          <w:bCs/>
          <w:sz w:val="24"/>
          <w:szCs w:val="24"/>
        </w:rPr>
        <w:t>车身设有多个安全警示标贴。</w:t>
      </w:r>
      <w:r>
        <w:rPr>
          <w:rFonts w:hint="eastAsia" w:ascii="宋体" w:hAnsi="宋体"/>
          <w:sz w:val="24"/>
          <w:szCs w:val="24"/>
        </w:rPr>
        <w:t>提示操作人员，注意安全。</w:t>
      </w:r>
    </w:p>
    <w:p>
      <w:pPr>
        <w:jc w:val="center"/>
        <w:rPr>
          <w:rFonts w:ascii="Times New Roman" w:hAnsi="Times New Roman"/>
        </w:rPr>
      </w:pPr>
    </w:p>
    <w:p>
      <w:pPr>
        <w:spacing w:line="360" w:lineRule="auto"/>
        <w:ind w:firstLine="525" w:firstLineChars="250"/>
      </w:pPr>
    </w:p>
    <w:p>
      <w:pPr>
        <w:spacing w:line="360" w:lineRule="auto"/>
        <w:ind w:firstLine="525" w:firstLineChars="250"/>
      </w:pPr>
      <w:r>
        <w:t xml:space="preserve">                  </w:t>
      </w:r>
      <w:r>
        <w:rPr>
          <w:u w:val="single"/>
        </w:rPr>
        <w:t xml:space="preserve">                                               </w:t>
      </w:r>
      <w:r>
        <w:t xml:space="preserve">                 </w:t>
      </w:r>
      <w:bookmarkStart w:id="0" w:name="_GoBack"/>
      <w:bookmarkEnd w:id="0"/>
    </w:p>
    <w:p>
      <w:pPr>
        <w:tabs>
          <w:tab w:val="left" w:pos="2127"/>
        </w:tabs>
        <w:spacing w:line="360" w:lineRule="auto"/>
        <w:ind w:firstLine="492"/>
        <w:jc w:val="left"/>
        <w:rPr>
          <w:rFonts w:ascii="宋体" w:hAnsi="宋体"/>
          <w:sz w:val="24"/>
          <w:szCs w:val="24"/>
        </w:rPr>
      </w:pPr>
    </w:p>
    <w:sectPr>
      <w:headerReference r:id="rId3" w:type="first"/>
      <w:pgSz w:w="11906" w:h="16838"/>
      <w:pgMar w:top="1440" w:right="1080" w:bottom="1958" w:left="1080" w:header="851" w:footer="992" w:gutter="0"/>
      <w:pgNumType w:start="2"/>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TC-5b8b*+times">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wNDE4NzViZmU3ZWM4MzM0NzU3MWNlZjBmMzdhOTQifQ=="/>
  </w:docVars>
  <w:rsids>
    <w:rsidRoot w:val="00FA415E"/>
    <w:rsid w:val="00002708"/>
    <w:rsid w:val="00004057"/>
    <w:rsid w:val="00007318"/>
    <w:rsid w:val="00010066"/>
    <w:rsid w:val="00020270"/>
    <w:rsid w:val="00025C72"/>
    <w:rsid w:val="0004536D"/>
    <w:rsid w:val="000545C7"/>
    <w:rsid w:val="000A04FE"/>
    <w:rsid w:val="000A2E2E"/>
    <w:rsid w:val="000B5165"/>
    <w:rsid w:val="0013211B"/>
    <w:rsid w:val="00142014"/>
    <w:rsid w:val="00170D29"/>
    <w:rsid w:val="00181736"/>
    <w:rsid w:val="001922D2"/>
    <w:rsid w:val="001C1A9C"/>
    <w:rsid w:val="001E412C"/>
    <w:rsid w:val="00287B04"/>
    <w:rsid w:val="002B5592"/>
    <w:rsid w:val="002C2FD3"/>
    <w:rsid w:val="002E25C8"/>
    <w:rsid w:val="002F06AC"/>
    <w:rsid w:val="00320194"/>
    <w:rsid w:val="00332A84"/>
    <w:rsid w:val="00343C42"/>
    <w:rsid w:val="00370CE9"/>
    <w:rsid w:val="00377005"/>
    <w:rsid w:val="003945A7"/>
    <w:rsid w:val="003C280C"/>
    <w:rsid w:val="003C339F"/>
    <w:rsid w:val="003C7F38"/>
    <w:rsid w:val="003D7224"/>
    <w:rsid w:val="003E7296"/>
    <w:rsid w:val="003F165E"/>
    <w:rsid w:val="003F27A4"/>
    <w:rsid w:val="003F52EF"/>
    <w:rsid w:val="004017EC"/>
    <w:rsid w:val="0044421D"/>
    <w:rsid w:val="00444399"/>
    <w:rsid w:val="004558B4"/>
    <w:rsid w:val="004838EA"/>
    <w:rsid w:val="0048533B"/>
    <w:rsid w:val="004B1E41"/>
    <w:rsid w:val="004F6F89"/>
    <w:rsid w:val="0051168A"/>
    <w:rsid w:val="00524535"/>
    <w:rsid w:val="005256EE"/>
    <w:rsid w:val="00536628"/>
    <w:rsid w:val="005C3D2F"/>
    <w:rsid w:val="005F6936"/>
    <w:rsid w:val="006644CD"/>
    <w:rsid w:val="00666190"/>
    <w:rsid w:val="00684414"/>
    <w:rsid w:val="00697D72"/>
    <w:rsid w:val="006A01BC"/>
    <w:rsid w:val="006A264F"/>
    <w:rsid w:val="006A7106"/>
    <w:rsid w:val="006B587B"/>
    <w:rsid w:val="006E0437"/>
    <w:rsid w:val="006E165D"/>
    <w:rsid w:val="006E1D2E"/>
    <w:rsid w:val="00706332"/>
    <w:rsid w:val="00771377"/>
    <w:rsid w:val="00785AB1"/>
    <w:rsid w:val="007F6596"/>
    <w:rsid w:val="008320EA"/>
    <w:rsid w:val="008615A0"/>
    <w:rsid w:val="00866A25"/>
    <w:rsid w:val="00871C06"/>
    <w:rsid w:val="00871DCE"/>
    <w:rsid w:val="00890B6B"/>
    <w:rsid w:val="008B52FF"/>
    <w:rsid w:val="008C3CA2"/>
    <w:rsid w:val="008D4BA4"/>
    <w:rsid w:val="008F6093"/>
    <w:rsid w:val="00912384"/>
    <w:rsid w:val="00926BBA"/>
    <w:rsid w:val="0093430E"/>
    <w:rsid w:val="00962661"/>
    <w:rsid w:val="00964BA4"/>
    <w:rsid w:val="00965D67"/>
    <w:rsid w:val="00993E50"/>
    <w:rsid w:val="009A2223"/>
    <w:rsid w:val="009A507A"/>
    <w:rsid w:val="009C5C6F"/>
    <w:rsid w:val="009E42EC"/>
    <w:rsid w:val="00A15360"/>
    <w:rsid w:val="00A678D1"/>
    <w:rsid w:val="00A72438"/>
    <w:rsid w:val="00A870A1"/>
    <w:rsid w:val="00A87734"/>
    <w:rsid w:val="00A87DD4"/>
    <w:rsid w:val="00A96680"/>
    <w:rsid w:val="00AB6CFE"/>
    <w:rsid w:val="00AC296B"/>
    <w:rsid w:val="00AC6FFE"/>
    <w:rsid w:val="00AE2BF0"/>
    <w:rsid w:val="00AE3976"/>
    <w:rsid w:val="00AE49FF"/>
    <w:rsid w:val="00AE618C"/>
    <w:rsid w:val="00B0458B"/>
    <w:rsid w:val="00B16B64"/>
    <w:rsid w:val="00B22B76"/>
    <w:rsid w:val="00B36AD2"/>
    <w:rsid w:val="00B54F8B"/>
    <w:rsid w:val="00B60BC5"/>
    <w:rsid w:val="00B70B75"/>
    <w:rsid w:val="00B76E77"/>
    <w:rsid w:val="00B95A22"/>
    <w:rsid w:val="00B97A32"/>
    <w:rsid w:val="00BA6E8B"/>
    <w:rsid w:val="00CC1B11"/>
    <w:rsid w:val="00CD1F0E"/>
    <w:rsid w:val="00D2213A"/>
    <w:rsid w:val="00D267C7"/>
    <w:rsid w:val="00D56A8C"/>
    <w:rsid w:val="00D64A97"/>
    <w:rsid w:val="00DA2C7A"/>
    <w:rsid w:val="00DD28AB"/>
    <w:rsid w:val="00DD4A1B"/>
    <w:rsid w:val="00DE2ED4"/>
    <w:rsid w:val="00E0492C"/>
    <w:rsid w:val="00E33208"/>
    <w:rsid w:val="00E341B5"/>
    <w:rsid w:val="00E720A8"/>
    <w:rsid w:val="00E7374C"/>
    <w:rsid w:val="00E77212"/>
    <w:rsid w:val="00EB670B"/>
    <w:rsid w:val="00EB7EB9"/>
    <w:rsid w:val="00EC4115"/>
    <w:rsid w:val="00ED5F0C"/>
    <w:rsid w:val="00F060F2"/>
    <w:rsid w:val="00F33716"/>
    <w:rsid w:val="00F35597"/>
    <w:rsid w:val="00F81193"/>
    <w:rsid w:val="00FA415E"/>
    <w:rsid w:val="00FB65F4"/>
    <w:rsid w:val="00FC4BF2"/>
    <w:rsid w:val="00FD5433"/>
    <w:rsid w:val="016B579E"/>
    <w:rsid w:val="0527012E"/>
    <w:rsid w:val="06D36EC1"/>
    <w:rsid w:val="0AAD0704"/>
    <w:rsid w:val="0D931D72"/>
    <w:rsid w:val="0ED10EEA"/>
    <w:rsid w:val="10B441B9"/>
    <w:rsid w:val="216B74B0"/>
    <w:rsid w:val="24C70725"/>
    <w:rsid w:val="24F03697"/>
    <w:rsid w:val="2D5556DC"/>
    <w:rsid w:val="34893669"/>
    <w:rsid w:val="35DE32E7"/>
    <w:rsid w:val="39A22874"/>
    <w:rsid w:val="41106976"/>
    <w:rsid w:val="456F0B86"/>
    <w:rsid w:val="4DD21B41"/>
    <w:rsid w:val="4F477F05"/>
    <w:rsid w:val="50C62F6F"/>
    <w:rsid w:val="5B892740"/>
    <w:rsid w:val="5E06150B"/>
    <w:rsid w:val="61505F3A"/>
    <w:rsid w:val="65E22935"/>
    <w:rsid w:val="68BB3A13"/>
    <w:rsid w:val="6A876474"/>
    <w:rsid w:val="6E990222"/>
    <w:rsid w:val="76B71755"/>
    <w:rsid w:val="789E0803"/>
    <w:rsid w:val="7AC92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kern w:val="0"/>
      <w:sz w:val="18"/>
      <w:szCs w:val="18"/>
      <w:lang w:val="zh-CN"/>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kern w:val="0"/>
      <w:sz w:val="18"/>
      <w:szCs w:val="18"/>
      <w:lang w:val="zh-CN"/>
    </w:rPr>
  </w:style>
  <w:style w:type="table" w:styleId="6">
    <w:name w:val="Table Grid"/>
    <w:basedOn w:val="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8">
    <w:name w:val="页脚 Char"/>
    <w:link w:val="3"/>
    <w:qFormat/>
    <w:uiPriority w:val="99"/>
    <w:rPr>
      <w:sz w:val="18"/>
      <w:szCs w:val="18"/>
    </w:rPr>
  </w:style>
  <w:style w:type="character" w:customStyle="1" w:styleId="9">
    <w:name w:val="页眉 Char"/>
    <w:link w:val="4"/>
    <w:qFormat/>
    <w:uiPriority w:val="99"/>
    <w:rPr>
      <w:sz w:val="18"/>
      <w:szCs w:val="18"/>
    </w:rPr>
  </w:style>
  <w:style w:type="paragraph" w:customStyle="1" w:styleId="10">
    <w:name w:val="[基本段落]"/>
    <w:basedOn w:val="1"/>
    <w:qFormat/>
    <w:uiPriority w:val="99"/>
    <w:pPr>
      <w:autoSpaceDE w:val="0"/>
      <w:autoSpaceDN w:val="0"/>
      <w:adjustRightInd w:val="0"/>
      <w:spacing w:line="288" w:lineRule="auto"/>
    </w:pPr>
    <w:rPr>
      <w:rFonts w:ascii="宋体" w:cs="宋体"/>
      <w:color w:val="000000"/>
      <w:kern w:val="0"/>
      <w:sz w:val="24"/>
      <w:szCs w:val="24"/>
      <w:lang w:val="zh-CN"/>
    </w:rPr>
  </w:style>
  <w:style w:type="paragraph" w:customStyle="1" w:styleId="1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
    <w:name w:val="正文1"/>
    <w:basedOn w:val="1"/>
    <w:qFormat/>
    <w:uiPriority w:val="0"/>
    <w:pPr>
      <w:tabs>
        <w:tab w:val="left" w:pos="420"/>
      </w:tabs>
      <w:spacing w:line="360" w:lineRule="auto"/>
      <w:ind w:firstLine="432"/>
    </w:pPr>
    <w:rPr>
      <w:rFonts w:ascii="宋体" w:hAnsi="宋体"/>
      <w:b/>
      <w:sz w:val="24"/>
      <w:szCs w:val="24"/>
    </w:rPr>
  </w:style>
  <w:style w:type="paragraph" w:styleId="13">
    <w:name w:val="List Paragraph"/>
    <w:basedOn w:val="1"/>
    <w:qFormat/>
    <w:uiPriority w:val="34"/>
    <w:pPr>
      <w:ind w:firstLine="420" w:firstLineChars="200"/>
    </w:pPr>
  </w:style>
  <w:style w:type="character" w:customStyle="1" w:styleId="14">
    <w:name w:val="批注框文本 Char"/>
    <w:basedOn w:val="7"/>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ZOOMLION</Company>
  <Pages>6</Pages>
  <Words>1839</Words>
  <Characters>2132</Characters>
  <Lines>19</Lines>
  <Paragraphs>5</Paragraphs>
  <TotalTime>0</TotalTime>
  <ScaleCrop>false</ScaleCrop>
  <LinksUpToDate>false</LinksUpToDate>
  <CharactersWithSpaces>2511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2020-11-20T09:22:00Z</dcterms:created>
  <dc:creator>卓乐</dc:creator>
  <cp:lastModifiedBy>Admin</cp:lastModifiedBy>
  <cp:lastPrinted>2013-03-28T07:26:00Z</cp:lastPrinted>
  <dcterms:modified xsi:type="dcterms:W3CDTF">2024-06-17T02:28:23Z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B6DA7A070560434EBE9DB126A57DA442_12</vt:lpwstr>
  </property>
</Properties>
</file>