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897EC">
      <w:pPr>
        <w:spacing w:line="360" w:lineRule="auto"/>
        <w:jc w:val="center"/>
        <w:rPr>
          <w:rFonts w:hint="eastAsia" w:ascii="宋体" w:hAnsi="宋体" w:cs="宋体"/>
          <w:sz w:val="44"/>
          <w:szCs w:val="44"/>
          <w:u w:val="single"/>
        </w:rPr>
      </w:pPr>
      <w:bookmarkStart w:id="0" w:name="_Toc20384570"/>
      <w:r>
        <w:rPr>
          <w:rFonts w:hint="eastAsia" w:ascii="宋体" w:hAnsi="宋体" w:cs="宋体"/>
          <w:sz w:val="32"/>
          <w:szCs w:val="32"/>
        </w:rPr>
        <w:t xml:space="preserve"> </w:t>
      </w:r>
    </w:p>
    <w:p w14:paraId="269917AC">
      <w:pPr>
        <w:spacing w:line="360" w:lineRule="auto"/>
        <w:jc w:val="center"/>
        <w:rPr>
          <w:rFonts w:hint="eastAsia" w:ascii="宋体" w:hAnsi="宋体" w:cs="宋体"/>
          <w:sz w:val="48"/>
          <w:szCs w:val="48"/>
        </w:rPr>
      </w:pPr>
    </w:p>
    <w:p w14:paraId="5A2DDA5B">
      <w:pPr>
        <w:spacing w:line="360" w:lineRule="auto"/>
        <w:jc w:val="center"/>
        <w:rPr>
          <w:rFonts w:hint="eastAsia" w:ascii="宋体" w:hAnsi="宋体" w:cs="宋体"/>
          <w:sz w:val="48"/>
          <w:szCs w:val="48"/>
        </w:rPr>
      </w:pPr>
    </w:p>
    <w:p w14:paraId="76AD15FB">
      <w:pPr>
        <w:spacing w:line="360" w:lineRule="auto"/>
        <w:jc w:val="center"/>
        <w:outlineLvl w:val="0"/>
        <w:rPr>
          <w:rFonts w:ascii="方正小标宋简体" w:hAnsi="方正小标宋简体" w:eastAsia="方正小标宋简体" w:cs="宋体"/>
          <w:color w:val="auto"/>
          <w:sz w:val="52"/>
          <w:szCs w:val="52"/>
        </w:rPr>
      </w:pPr>
      <w:r>
        <w:rPr>
          <w:rFonts w:hint="eastAsia" w:ascii="方正小标宋简体" w:hAnsi="方正小标宋简体" w:eastAsia="方正小标宋简体" w:cs="宋体"/>
          <w:color w:val="auto"/>
          <w:sz w:val="52"/>
          <w:szCs w:val="52"/>
        </w:rPr>
        <w:t>项目采购需求</w:t>
      </w:r>
    </w:p>
    <w:p w14:paraId="020501D9">
      <w:pPr>
        <w:spacing w:line="360" w:lineRule="auto"/>
        <w:ind w:firstLine="2600" w:firstLineChars="500"/>
        <w:jc w:val="left"/>
        <w:rPr>
          <w:rFonts w:hint="eastAsia" w:ascii="宋体" w:hAnsi="宋体" w:cs="宋体"/>
          <w:b/>
          <w:bCs/>
          <w:color w:val="auto"/>
          <w:sz w:val="52"/>
          <w:szCs w:val="52"/>
        </w:rPr>
      </w:pPr>
      <w:r>
        <w:rPr>
          <w:rFonts w:hint="eastAsia" w:ascii="宋体" w:hAnsi="宋体" w:cs="宋体"/>
          <w:color w:val="auto"/>
          <w:sz w:val="52"/>
          <w:szCs w:val="52"/>
        </w:rPr>
        <w:t>（非政府采购）</w:t>
      </w:r>
    </w:p>
    <w:p w14:paraId="52C25A80">
      <w:pPr>
        <w:spacing w:line="360" w:lineRule="auto"/>
        <w:jc w:val="center"/>
        <w:rPr>
          <w:rFonts w:hint="eastAsia" w:ascii="宋体" w:hAnsi="宋体" w:cs="宋体"/>
          <w:sz w:val="32"/>
          <w:szCs w:val="32"/>
        </w:rPr>
      </w:pPr>
    </w:p>
    <w:p w14:paraId="376AB81A">
      <w:pPr>
        <w:spacing w:line="360" w:lineRule="auto"/>
        <w:jc w:val="center"/>
        <w:rPr>
          <w:rFonts w:hint="eastAsia" w:ascii="宋体" w:hAnsi="宋体" w:cs="宋体"/>
          <w:sz w:val="44"/>
          <w:szCs w:val="44"/>
        </w:rPr>
      </w:pPr>
    </w:p>
    <w:p w14:paraId="14259603">
      <w:pPr>
        <w:spacing w:line="360" w:lineRule="auto"/>
        <w:jc w:val="center"/>
        <w:rPr>
          <w:rFonts w:hint="eastAsia" w:ascii="宋体" w:hAnsi="宋体" w:cs="宋体"/>
          <w:sz w:val="44"/>
          <w:szCs w:val="44"/>
        </w:rPr>
      </w:pPr>
    </w:p>
    <w:p w14:paraId="00F8BF65">
      <w:pPr>
        <w:spacing w:line="360" w:lineRule="auto"/>
        <w:jc w:val="center"/>
        <w:rPr>
          <w:rFonts w:hint="eastAsia" w:ascii="宋体" w:hAnsi="宋体" w:cs="宋体"/>
          <w:sz w:val="44"/>
          <w:szCs w:val="44"/>
        </w:rPr>
      </w:pPr>
    </w:p>
    <w:p w14:paraId="61D3320C">
      <w:pPr>
        <w:spacing w:line="360" w:lineRule="auto"/>
        <w:ind w:left="420" w:leftChars="200" w:firstLine="1260" w:firstLineChars="450"/>
        <w:rPr>
          <w:rFonts w:hint="default" w:ascii="宋体" w:hAnsi="宋体" w:eastAsia="宋体" w:cs="宋体"/>
          <w:sz w:val="28"/>
          <w:szCs w:val="28"/>
          <w:u w:val="single"/>
          <w:lang w:val="en-US" w:eastAsia="zh-CN"/>
        </w:rPr>
      </w:pPr>
      <w:r>
        <w:rPr>
          <w:rFonts w:hint="eastAsia" w:ascii="宋体" w:hAnsi="宋体" w:cs="宋体"/>
          <w:sz w:val="28"/>
          <w:szCs w:val="28"/>
        </w:rPr>
        <w:t>采购单位：</w:t>
      </w:r>
      <w:r>
        <w:rPr>
          <w:rFonts w:hint="eastAsia" w:ascii="宋体" w:hAnsi="宋体" w:cs="宋体"/>
          <w:sz w:val="28"/>
          <w:szCs w:val="28"/>
          <w:u w:val="single"/>
        </w:rPr>
        <w:t xml:space="preserve">杭州市公安局刑事侦查支队    </w:t>
      </w:r>
      <w:r>
        <w:rPr>
          <w:rFonts w:hint="eastAsia" w:ascii="宋体" w:hAnsi="宋体" w:cs="宋体"/>
          <w:sz w:val="28"/>
          <w:szCs w:val="28"/>
          <w:u w:val="single"/>
          <w:lang w:val="en-US" w:eastAsia="zh-CN"/>
        </w:rPr>
        <w:t xml:space="preserve">          </w:t>
      </w:r>
    </w:p>
    <w:p w14:paraId="7E33E494">
      <w:pPr>
        <w:spacing w:line="360" w:lineRule="auto"/>
        <w:ind w:left="420" w:leftChars="200" w:firstLine="1260" w:firstLineChars="450"/>
        <w:rPr>
          <w:rFonts w:hint="eastAsia" w:ascii="宋体" w:hAnsi="宋体" w:cs="宋体"/>
          <w:sz w:val="28"/>
          <w:szCs w:val="28"/>
          <w:u w:val="single"/>
        </w:rPr>
      </w:pPr>
      <w:r>
        <w:rPr>
          <w:rFonts w:hint="eastAsia" w:ascii="宋体" w:hAnsi="宋体" w:cs="宋体"/>
          <w:sz w:val="28"/>
          <w:szCs w:val="28"/>
        </w:rPr>
        <w:t xml:space="preserve">项目名称： </w:t>
      </w:r>
      <w:r>
        <w:rPr>
          <w:rFonts w:hint="eastAsia" w:ascii="宋体" w:hAnsi="宋体" w:cs="宋体"/>
          <w:sz w:val="28"/>
          <w:szCs w:val="28"/>
          <w:u w:val="single"/>
        </w:rPr>
        <w:t>设备维修维护费</w:t>
      </w:r>
      <w:r>
        <w:rPr>
          <w:rFonts w:hint="eastAsia" w:ascii="宋体" w:hAnsi="宋体" w:cs="宋体"/>
          <w:sz w:val="28"/>
          <w:szCs w:val="28"/>
          <w:u w:val="single"/>
          <w:lang w:eastAsia="zh-CN"/>
        </w:rPr>
        <w:t>（理化仪器设备维修维护）</w:t>
      </w:r>
    </w:p>
    <w:p w14:paraId="27D4EE7D">
      <w:pPr>
        <w:spacing w:line="360" w:lineRule="auto"/>
        <w:ind w:left="420" w:leftChars="200" w:firstLine="1260" w:firstLineChars="450"/>
        <w:rPr>
          <w:rFonts w:hint="default" w:ascii="宋体" w:hAnsi="宋体" w:eastAsia="宋体" w:cs="宋体"/>
          <w:sz w:val="28"/>
          <w:szCs w:val="28"/>
          <w:u w:val="single"/>
          <w:lang w:val="en-US" w:eastAsia="zh-CN"/>
        </w:rPr>
      </w:pPr>
      <w:r>
        <w:rPr>
          <w:rFonts w:hint="eastAsia" w:ascii="宋体" w:hAnsi="宋体" w:cs="宋体"/>
          <w:sz w:val="28"/>
          <w:szCs w:val="28"/>
        </w:rPr>
        <w:t>编制单位：</w:t>
      </w:r>
      <w:r>
        <w:rPr>
          <w:rFonts w:hint="eastAsia" w:ascii="宋体" w:hAnsi="宋体" w:cs="宋体"/>
          <w:sz w:val="28"/>
          <w:szCs w:val="28"/>
          <w:u w:val="single"/>
        </w:rPr>
        <w:t xml:space="preserve">杭州市公安局刑事侦查支队    </w:t>
      </w:r>
      <w:r>
        <w:rPr>
          <w:rFonts w:hint="eastAsia" w:ascii="宋体" w:hAnsi="宋体" w:cs="宋体"/>
          <w:sz w:val="28"/>
          <w:szCs w:val="28"/>
          <w:u w:val="single"/>
          <w:lang w:val="en-US" w:eastAsia="zh-CN"/>
        </w:rPr>
        <w:t xml:space="preserve">           </w:t>
      </w:r>
    </w:p>
    <w:p w14:paraId="2ECDFA77">
      <w:pPr>
        <w:spacing w:line="360" w:lineRule="auto"/>
        <w:ind w:left="420" w:leftChars="200" w:firstLine="1260" w:firstLineChars="450"/>
        <w:rPr>
          <w:rFonts w:hint="default" w:ascii="宋体" w:hAnsi="宋体" w:eastAsia="宋体" w:cs="宋体"/>
          <w:sz w:val="28"/>
          <w:szCs w:val="28"/>
          <w:u w:val="single"/>
          <w:lang w:val="en-US" w:eastAsia="zh-CN"/>
        </w:rPr>
      </w:pPr>
      <w:r>
        <w:rPr>
          <w:rFonts w:hint="eastAsia" w:ascii="宋体" w:hAnsi="宋体" w:cs="宋体"/>
          <w:sz w:val="28"/>
          <w:szCs w:val="28"/>
        </w:rPr>
        <w:t>编制时间：</w:t>
      </w:r>
      <w:r>
        <w:rPr>
          <w:rFonts w:hint="eastAsia" w:ascii="宋体" w:hAnsi="宋体" w:cs="宋体"/>
          <w:sz w:val="28"/>
          <w:szCs w:val="28"/>
          <w:u w:val="single"/>
        </w:rPr>
        <w:t xml:space="preserve">2025年6月            </w:t>
      </w:r>
      <w:r>
        <w:rPr>
          <w:rFonts w:hint="eastAsia" w:ascii="宋体" w:hAnsi="宋体" w:cs="宋体"/>
          <w:sz w:val="28"/>
          <w:szCs w:val="28"/>
          <w:u w:val="single"/>
          <w:lang w:val="en-US" w:eastAsia="zh-CN"/>
        </w:rPr>
        <w:t xml:space="preserve">                </w:t>
      </w:r>
    </w:p>
    <w:p w14:paraId="2F0E84E4">
      <w:pPr>
        <w:spacing w:line="360" w:lineRule="auto"/>
        <w:jc w:val="left"/>
        <w:rPr>
          <w:rFonts w:hint="eastAsia" w:ascii="宋体" w:hAnsi="宋体" w:cs="宋体"/>
          <w:b/>
          <w:sz w:val="28"/>
          <w:szCs w:val="28"/>
        </w:rPr>
      </w:pPr>
      <w:r>
        <w:rPr>
          <w:rFonts w:hint="eastAsia" w:ascii="宋体" w:hAnsi="宋体" w:cs="宋体"/>
          <w:sz w:val="32"/>
          <w:szCs w:val="32"/>
        </w:rPr>
        <w:br w:type="page"/>
      </w:r>
      <w:r>
        <w:rPr>
          <w:rFonts w:hint="eastAsia" w:ascii="宋体" w:hAnsi="宋体" w:cs="宋体"/>
          <w:b/>
          <w:sz w:val="28"/>
          <w:szCs w:val="28"/>
        </w:rPr>
        <w:t>一、需求调查情况</w:t>
      </w:r>
    </w:p>
    <w:p w14:paraId="5B0CFA9D">
      <w:pPr>
        <w:spacing w:line="360" w:lineRule="auto"/>
        <w:jc w:val="left"/>
        <w:rPr>
          <w:rFonts w:hint="eastAsia" w:ascii="宋体" w:hAnsi="宋体" w:cs="宋体"/>
          <w:sz w:val="24"/>
        </w:rPr>
      </w:pPr>
      <w:r>
        <w:rPr>
          <w:rFonts w:hint="eastAsia" w:ascii="宋体" w:hAnsi="宋体" w:cs="宋体"/>
          <w:sz w:val="24"/>
        </w:rPr>
        <w:t>（一）本项目是否需要开展需求调查：</w:t>
      </w:r>
      <w:r>
        <w:rPr>
          <w:rFonts w:hint="eastAsia" w:ascii="宋体" w:hAnsi="宋体" w:cs="宋体"/>
          <w:sz w:val="24"/>
        </w:rPr>
        <w:sym w:font="Wingdings 2" w:char="00A3"/>
      </w:r>
      <w:r>
        <w:rPr>
          <w:rFonts w:hint="eastAsia" w:ascii="宋体" w:hAnsi="宋体" w:cs="宋体"/>
          <w:sz w:val="24"/>
        </w:rPr>
        <w:t xml:space="preserve">是  </w:t>
      </w:r>
      <w:r>
        <w:rPr>
          <w:rFonts w:hint="eastAsia" w:ascii="宋体" w:hAnsi="宋体" w:cs="宋体"/>
          <w:sz w:val="24"/>
        </w:rPr>
        <w:sym w:font="Wingdings 2" w:char="F052"/>
      </w:r>
      <w:r>
        <w:rPr>
          <w:rFonts w:hint="eastAsia" w:ascii="宋体" w:hAnsi="宋体" w:cs="宋体"/>
          <w:sz w:val="24"/>
        </w:rPr>
        <w:t>否</w:t>
      </w:r>
    </w:p>
    <w:p w14:paraId="1BF7466F">
      <w:pPr>
        <w:spacing w:before="312" w:beforeLines="100" w:line="360" w:lineRule="auto"/>
        <w:jc w:val="left"/>
        <w:rPr>
          <w:rFonts w:hint="eastAsia" w:ascii="宋体" w:hAnsi="宋体" w:cs="宋体"/>
          <w:b/>
          <w:sz w:val="28"/>
          <w:szCs w:val="28"/>
        </w:rPr>
      </w:pPr>
      <w:r>
        <w:rPr>
          <w:rFonts w:hint="eastAsia" w:ascii="宋体" w:hAnsi="宋体" w:cs="宋体"/>
          <w:b/>
          <w:sz w:val="28"/>
          <w:szCs w:val="28"/>
        </w:rPr>
        <w:t>二、采购需求内容</w:t>
      </w:r>
    </w:p>
    <w:p w14:paraId="7855CB4A">
      <w:pPr>
        <w:spacing w:line="360" w:lineRule="auto"/>
        <w:jc w:val="left"/>
        <w:rPr>
          <w:rFonts w:hint="eastAsia" w:ascii="宋体" w:hAnsi="宋体" w:cs="宋体"/>
          <w:sz w:val="24"/>
        </w:rPr>
      </w:pPr>
      <w:r>
        <w:rPr>
          <w:rFonts w:hint="eastAsia" w:ascii="宋体" w:hAnsi="宋体" w:cs="宋体"/>
          <w:sz w:val="24"/>
        </w:rPr>
        <w:t>（一）项目概况</w:t>
      </w:r>
    </w:p>
    <w:p w14:paraId="0E64D437">
      <w:pPr>
        <w:spacing w:line="360" w:lineRule="auto"/>
        <w:ind w:firstLine="420"/>
        <w:jc w:val="left"/>
        <w:rPr>
          <w:rFonts w:hint="eastAsia" w:ascii="宋体" w:hAnsi="宋体" w:cs="宋体"/>
          <w:sz w:val="24"/>
          <w:u w:val="single"/>
        </w:rPr>
      </w:pPr>
      <w:r>
        <w:rPr>
          <w:rFonts w:hint="eastAsia" w:ascii="宋体" w:hAnsi="宋体" w:cs="宋体"/>
          <w:sz w:val="24"/>
          <w:u w:val="single"/>
        </w:rPr>
        <w:t xml:space="preserve">采购人对刑侦支队理化室所有仪器设备维护的采购服务。 </w:t>
      </w:r>
    </w:p>
    <w:p w14:paraId="4D2DFF0C">
      <w:pPr>
        <w:numPr>
          <w:ilvl w:val="0"/>
          <w:numId w:val="2"/>
        </w:numPr>
        <w:spacing w:line="360" w:lineRule="auto"/>
        <w:jc w:val="left"/>
      </w:pPr>
      <w:r>
        <w:rPr>
          <w:rFonts w:hint="eastAsia" w:ascii="宋体" w:hAnsi="宋体" w:cs="宋体"/>
          <w:sz w:val="24"/>
        </w:rPr>
        <w:t>预算金额（万元）：</w:t>
      </w:r>
      <w:r>
        <w:rPr>
          <w:rFonts w:hint="eastAsia" w:ascii="宋体" w:hAnsi="宋体" w:cs="宋体"/>
          <w:sz w:val="24"/>
          <w:u w:val="single"/>
        </w:rPr>
        <w:t xml:space="preserve"> </w:t>
      </w:r>
      <w:r>
        <w:rPr>
          <w:rFonts w:ascii="宋体" w:hAnsi="宋体" w:cs="宋体"/>
          <w:sz w:val="24"/>
          <w:u w:val="single"/>
        </w:rPr>
        <w:t>29</w:t>
      </w:r>
      <w:r>
        <w:rPr>
          <w:rFonts w:hint="eastAsia" w:ascii="宋体" w:hAnsi="宋体" w:cs="宋体"/>
          <w:sz w:val="24"/>
          <w:u w:val="single"/>
        </w:rPr>
        <w:t>万元（当年安排14.5万元）</w:t>
      </w:r>
    </w:p>
    <w:p w14:paraId="789E4A9E">
      <w:pPr>
        <w:spacing w:line="360" w:lineRule="auto"/>
        <w:jc w:val="left"/>
        <w:rPr>
          <w:rFonts w:hint="eastAsia" w:ascii="宋体" w:hAnsi="宋体" w:cs="宋体"/>
          <w:sz w:val="24"/>
          <w:u w:val="single"/>
        </w:rPr>
      </w:pPr>
      <w:r>
        <w:rPr>
          <w:rFonts w:hint="eastAsia" w:ascii="宋体" w:hAnsi="宋体" w:cs="宋体"/>
          <w:sz w:val="24"/>
        </w:rPr>
        <w:t xml:space="preserve">     </w:t>
      </w:r>
      <w:r>
        <w:rPr>
          <w:rFonts w:hint="eastAsia" w:ascii="宋体" w:hAnsi="宋体" w:cs="宋体"/>
          <w:color w:val="FF0000"/>
          <w:sz w:val="24"/>
        </w:rPr>
        <w:t>采购最高限价</w:t>
      </w:r>
      <w:r>
        <w:rPr>
          <w:rFonts w:hint="eastAsia" w:ascii="宋体" w:hAnsi="宋体" w:cs="宋体"/>
          <w:color w:val="FF0000"/>
          <w:sz w:val="24"/>
          <w:u w:val="single"/>
        </w:rPr>
        <w:t>：</w:t>
      </w:r>
      <w:r>
        <w:rPr>
          <w:rFonts w:hint="eastAsia" w:ascii="宋体" w:hAnsi="宋体" w:cs="宋体"/>
          <w:color w:val="FF0000"/>
          <w:sz w:val="24"/>
          <w:u w:val="single"/>
          <w:lang w:val="en-US" w:eastAsia="zh-CN"/>
        </w:rPr>
        <w:t>/</w:t>
      </w:r>
      <w:r>
        <w:rPr>
          <w:rFonts w:hint="eastAsia" w:ascii="宋体" w:hAnsi="宋体" w:cs="宋体"/>
          <w:color w:val="FF0000"/>
          <w:sz w:val="24"/>
          <w:u w:val="single"/>
        </w:rPr>
        <w:t xml:space="preserve">  </w:t>
      </w:r>
    </w:p>
    <w:p w14:paraId="6BA198BD">
      <w:pPr>
        <w:spacing w:line="360" w:lineRule="auto"/>
        <w:jc w:val="left"/>
        <w:rPr>
          <w:rFonts w:hint="eastAsia" w:ascii="宋体" w:hAnsi="宋体" w:cs="宋体"/>
          <w:sz w:val="24"/>
        </w:rPr>
      </w:pPr>
      <w:r>
        <w:rPr>
          <w:rFonts w:hint="eastAsia" w:ascii="宋体" w:hAnsi="宋体" w:cs="宋体"/>
          <w:sz w:val="24"/>
        </w:rPr>
        <w:t>（三）需满足的政府采购政策目标和具体支持对象</w:t>
      </w:r>
    </w:p>
    <w:p w14:paraId="316D88EA">
      <w:pPr>
        <w:spacing w:line="360" w:lineRule="auto"/>
        <w:ind w:firstLine="420"/>
        <w:jc w:val="left"/>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 xml:space="preserve">扶持中小企业 </w:t>
      </w:r>
      <w:r>
        <w:rPr>
          <w:rFonts w:hint="eastAsia" w:ascii="宋体" w:hAnsi="宋体" w:cs="宋体"/>
          <w:sz w:val="24"/>
        </w:rPr>
        <w:sym w:font="Wingdings 2" w:char="00A3"/>
      </w:r>
      <w:r>
        <w:rPr>
          <w:rFonts w:hint="eastAsia" w:ascii="宋体" w:hAnsi="宋体" w:cs="宋体"/>
          <w:sz w:val="24"/>
        </w:rPr>
        <w:t xml:space="preserve">节能环保 </w:t>
      </w:r>
      <w:r>
        <w:rPr>
          <w:rFonts w:hint="eastAsia" w:ascii="宋体" w:hAnsi="宋体" w:cs="宋体"/>
          <w:sz w:val="24"/>
        </w:rPr>
        <w:sym w:font="Wingdings 2" w:char="00A3"/>
      </w:r>
      <w:r>
        <w:rPr>
          <w:rFonts w:hint="eastAsia" w:ascii="宋体" w:hAnsi="宋体" w:cs="宋体"/>
          <w:sz w:val="24"/>
        </w:rPr>
        <w:t>其他（</w:t>
      </w:r>
      <w:r>
        <w:rPr>
          <w:rFonts w:hint="eastAsia" w:ascii="宋体" w:hAnsi="宋体" w:cs="宋体"/>
          <w:sz w:val="24"/>
          <w:u w:val="single"/>
        </w:rPr>
        <w:t xml:space="preserve"> 本项目支持中小微企业参与 </w:t>
      </w:r>
      <w:r>
        <w:rPr>
          <w:rFonts w:hint="eastAsia" w:ascii="宋体" w:hAnsi="宋体" w:cs="宋体"/>
          <w:sz w:val="24"/>
        </w:rPr>
        <w:t>）</w:t>
      </w:r>
    </w:p>
    <w:p w14:paraId="522A5565">
      <w:pPr>
        <w:spacing w:line="360" w:lineRule="auto"/>
        <w:jc w:val="left"/>
        <w:rPr>
          <w:rFonts w:hint="eastAsia" w:ascii="宋体" w:hAnsi="宋体" w:cs="宋体"/>
          <w:sz w:val="24"/>
        </w:rPr>
      </w:pPr>
      <w:r>
        <w:rPr>
          <w:rFonts w:hint="eastAsia" w:ascii="宋体" w:hAnsi="宋体" w:cs="宋体"/>
          <w:sz w:val="24"/>
        </w:rPr>
        <w:t xml:space="preserve">（四）采购标的是否进口产品： </w:t>
      </w:r>
      <w:r>
        <w:rPr>
          <w:rFonts w:hint="eastAsia" w:ascii="宋体" w:hAnsi="宋体" w:cs="宋体"/>
          <w:sz w:val="24"/>
        </w:rPr>
        <w:sym w:font="Wingdings 2" w:char="00A3"/>
      </w:r>
      <w:r>
        <w:rPr>
          <w:rFonts w:hint="eastAsia" w:ascii="宋体" w:hAnsi="宋体" w:cs="宋体"/>
          <w:sz w:val="24"/>
        </w:rPr>
        <w:t xml:space="preserve">进口 </w:t>
      </w:r>
      <w:r>
        <w:rPr>
          <w:rFonts w:hint="eastAsia" w:ascii="宋体" w:hAnsi="宋体" w:cs="宋体"/>
          <w:sz w:val="24"/>
        </w:rPr>
        <w:sym w:font="Wingdings 2" w:char="0052"/>
      </w:r>
      <w:r>
        <w:rPr>
          <w:rFonts w:hint="eastAsia" w:ascii="宋体" w:hAnsi="宋体" w:cs="宋体"/>
          <w:sz w:val="24"/>
        </w:rPr>
        <w:t>国产（本项目为采购服务）</w:t>
      </w:r>
    </w:p>
    <w:p w14:paraId="3D1ADC1B">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cs="宋体"/>
          <w:sz w:val="24"/>
        </w:rPr>
      </w:pPr>
      <w:r>
        <w:rPr>
          <w:rFonts w:hint="eastAsia" w:ascii="宋体" w:hAnsi="宋体" w:cs="宋体"/>
          <w:sz w:val="24"/>
        </w:rPr>
        <w:t>（五）拟采购标的的技术要求</w:t>
      </w:r>
    </w:p>
    <w:p w14:paraId="4D8FECE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jc w:val="left"/>
        <w:textAlignment w:val="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项目采购需求内容是否已履行保密审查责任并进行脱密脱敏处理</w:t>
      </w:r>
      <w:r>
        <w:rPr>
          <w:rFonts w:hint="eastAsia" w:ascii="宋体" w:hAnsi="宋体" w:eastAsia="宋体" w:cs="宋体"/>
          <w:color w:val="auto"/>
          <w:sz w:val="24"/>
          <w:highlight w:val="none"/>
          <w:lang w:val="en-US" w:bidi="zh-CN"/>
        </w:rPr>
        <w:t xml:space="preserve">  </w:t>
      </w:r>
      <w:r>
        <w:rPr>
          <w:rFonts w:hint="eastAsia" w:ascii="宋体" w:hAnsi="宋体" w:eastAsia="宋体" w:cs="宋体"/>
          <w:color w:val="auto"/>
          <w:spacing w:val="0"/>
          <w:sz w:val="24"/>
          <w:highlight w:val="none"/>
        </w:rPr>
        <w:sym w:font="Wingdings" w:char="00FE"/>
      </w:r>
      <w:r>
        <w:rPr>
          <w:rFonts w:hint="eastAsia" w:ascii="宋体" w:hAnsi="宋体" w:eastAsia="宋体" w:cs="宋体"/>
          <w:color w:val="auto"/>
          <w:sz w:val="24"/>
          <w:highlight w:val="none"/>
          <w:lang w:bidi="zh-CN"/>
        </w:rPr>
        <w:t>是</w:t>
      </w:r>
      <w:r>
        <w:rPr>
          <w:rFonts w:hint="eastAsia" w:ascii="宋体" w:hAnsi="宋体" w:eastAsia="宋体" w:cs="宋体"/>
          <w:color w:val="auto"/>
          <w:sz w:val="24"/>
          <w:highlight w:val="none"/>
          <w:lang w:val="en-US" w:bidi="zh-CN"/>
        </w:rPr>
        <w:t xml:space="preserve"> </w:t>
      </w:r>
      <w:r>
        <w:rPr>
          <w:rFonts w:hint="eastAsia" w:ascii="宋体" w:hAnsi="宋体" w:eastAsia="宋体" w:cs="宋体"/>
          <w:color w:val="auto"/>
          <w:sz w:val="24"/>
          <w:highlight w:val="none"/>
          <w:lang w:bidi="zh-CN"/>
        </w:rPr>
        <w:sym w:font="Wingdings" w:char="00A8"/>
      </w:r>
      <w:r>
        <w:rPr>
          <w:rFonts w:hint="eastAsia" w:ascii="宋体" w:hAnsi="宋体" w:eastAsia="宋体" w:cs="宋体"/>
          <w:color w:val="auto"/>
          <w:sz w:val="24"/>
          <w:highlight w:val="none"/>
          <w:lang w:bidi="zh-CN"/>
        </w:rPr>
        <w:t>否</w:t>
      </w:r>
    </w:p>
    <w:p w14:paraId="46E39F4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rPr>
      </w:pPr>
      <w:r>
        <w:rPr>
          <w:rFonts w:hint="eastAsia" w:ascii="宋体" w:hAnsi="宋体" w:eastAsia="宋体" w:cs="宋体"/>
          <w:color w:val="auto"/>
          <w:sz w:val="24"/>
          <w:highlight w:val="none"/>
          <w:lang w:bidi="zh-CN"/>
        </w:rPr>
        <w:t>项目是否同意公开发布</w:t>
      </w:r>
      <w:r>
        <w:rPr>
          <w:rFonts w:hint="eastAsia" w:ascii="宋体" w:hAnsi="宋体" w:eastAsia="宋体" w:cs="宋体"/>
          <w:color w:val="auto"/>
          <w:sz w:val="24"/>
          <w:highlight w:val="none"/>
          <w:lang w:val="en-US" w:bidi="zh-CN"/>
        </w:rPr>
        <w:t xml:space="preserve">  </w:t>
      </w:r>
      <w:r>
        <w:rPr>
          <w:rFonts w:hint="eastAsia" w:ascii="宋体" w:hAnsi="宋体" w:eastAsia="宋体" w:cs="宋体"/>
          <w:color w:val="auto"/>
          <w:sz w:val="24"/>
          <w:highlight w:val="none"/>
          <w:lang w:bidi="zh-CN"/>
        </w:rPr>
        <w:sym w:font="Wingdings" w:char="00FE"/>
      </w:r>
      <w:r>
        <w:rPr>
          <w:rFonts w:hint="eastAsia" w:ascii="宋体" w:hAnsi="宋体" w:eastAsia="宋体" w:cs="宋体"/>
          <w:color w:val="auto"/>
          <w:sz w:val="24"/>
          <w:highlight w:val="none"/>
          <w:lang w:bidi="zh-CN"/>
        </w:rPr>
        <w:t>是</w:t>
      </w:r>
      <w:r>
        <w:rPr>
          <w:rFonts w:hint="eastAsia" w:ascii="宋体" w:hAnsi="宋体" w:eastAsia="宋体" w:cs="宋体"/>
          <w:color w:val="auto"/>
          <w:sz w:val="24"/>
          <w:highlight w:val="none"/>
          <w:lang w:val="en-US" w:bidi="zh-CN"/>
        </w:rPr>
        <w:t xml:space="preserve">  </w:t>
      </w:r>
      <w:r>
        <w:rPr>
          <w:rFonts w:hint="eastAsia" w:ascii="宋体" w:hAnsi="宋体" w:eastAsia="宋体" w:cs="宋体"/>
          <w:color w:val="auto"/>
          <w:sz w:val="24"/>
          <w:highlight w:val="none"/>
          <w:lang w:bidi="zh-CN"/>
        </w:rPr>
        <w:sym w:font="Wingdings" w:char="00A8"/>
      </w:r>
      <w:r>
        <w:rPr>
          <w:rFonts w:hint="eastAsia" w:ascii="宋体" w:hAnsi="宋体" w:eastAsia="宋体" w:cs="宋体"/>
          <w:color w:val="auto"/>
          <w:sz w:val="24"/>
          <w:highlight w:val="none"/>
          <w:lang w:bidi="zh-CN"/>
        </w:rPr>
        <w:t>否</w:t>
      </w:r>
    </w:p>
    <w:p w14:paraId="4A7ADE89">
      <w:pPr>
        <w:spacing w:before="124" w:after="124" w:line="360" w:lineRule="auto"/>
        <w:rPr>
          <w:rFonts w:hint="eastAsia" w:ascii="宋体" w:hAnsi="宋体" w:cs="宋体"/>
          <w:b/>
          <w:bCs/>
          <w:sz w:val="24"/>
        </w:rPr>
      </w:pPr>
      <w:r>
        <w:rPr>
          <w:rFonts w:hint="eastAsia" w:ascii="宋体" w:hAnsi="宋体" w:cs="宋体"/>
          <w:b/>
          <w:bCs/>
          <w:sz w:val="24"/>
        </w:rPr>
        <w:t>一、维护服务内容及要求</w:t>
      </w:r>
    </w:p>
    <w:p w14:paraId="66B808BB">
      <w:pPr>
        <w:pStyle w:val="3"/>
        <w:numPr>
          <w:ilvl w:val="0"/>
          <w:numId w:val="0"/>
        </w:numPr>
        <w:tabs>
          <w:tab w:val="left" w:pos="432"/>
          <w:tab w:val="clear" w:pos="706"/>
        </w:tabs>
      </w:pPr>
      <w:r>
        <w:rPr>
          <w:rFonts w:hint="eastAsia" w:ascii="宋体" w:hAnsi="宋体" w:eastAsia="宋体" w:cs="宋体"/>
          <w:sz w:val="24"/>
          <w:szCs w:val="24"/>
        </w:rPr>
        <w:t>1、</w:t>
      </w:r>
      <w:r>
        <w:rPr>
          <w:rFonts w:hint="eastAsia" w:ascii="宋体" w:hAnsi="宋体" w:eastAsia="宋体" w:cs="宋体"/>
          <w:sz w:val="24"/>
        </w:rPr>
        <w:t>仪器</w:t>
      </w:r>
      <w:r>
        <w:rPr>
          <w:rFonts w:hint="eastAsia" w:ascii="宋体" w:hAnsi="宋体" w:cs="宋体"/>
          <w:sz w:val="24"/>
        </w:rPr>
        <w:t>维护</w:t>
      </w:r>
      <w:r>
        <w:rPr>
          <w:rFonts w:hint="eastAsia" w:ascii="宋体" w:hAnsi="宋体" w:eastAsia="宋体" w:cs="宋体"/>
          <w:sz w:val="24"/>
        </w:rPr>
        <w:t>服务具体如下：</w:t>
      </w:r>
    </w:p>
    <w:tbl>
      <w:tblPr>
        <w:tblStyle w:val="14"/>
        <w:tblW w:w="8785"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17"/>
        <w:gridCol w:w="6517"/>
      </w:tblGrid>
      <w:tr w14:paraId="4C8EE7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51" w:type="dxa"/>
            <w:vAlign w:val="center"/>
          </w:tcPr>
          <w:p w14:paraId="3D33DB68">
            <w:pPr>
              <w:jc w:val="left"/>
              <w:rPr>
                <w:rFonts w:hint="eastAsia" w:ascii="宋体" w:hAnsi="宋体" w:cs="宋体"/>
                <w:sz w:val="24"/>
              </w:rPr>
            </w:pPr>
            <w:r>
              <w:rPr>
                <w:rFonts w:hint="eastAsia" w:ascii="宋体" w:hAnsi="宋体" w:cs="宋体"/>
                <w:sz w:val="24"/>
              </w:rPr>
              <w:t>序号</w:t>
            </w:r>
          </w:p>
        </w:tc>
        <w:tc>
          <w:tcPr>
            <w:tcW w:w="1417" w:type="dxa"/>
            <w:vAlign w:val="center"/>
          </w:tcPr>
          <w:p w14:paraId="0974E6B9">
            <w:pPr>
              <w:jc w:val="left"/>
              <w:rPr>
                <w:rFonts w:hint="eastAsia" w:ascii="宋体" w:hAnsi="宋体" w:cs="宋体"/>
                <w:sz w:val="24"/>
              </w:rPr>
            </w:pPr>
            <w:r>
              <w:rPr>
                <w:rFonts w:hint="eastAsia" w:ascii="宋体" w:hAnsi="宋体" w:cs="宋体"/>
                <w:sz w:val="24"/>
              </w:rPr>
              <w:t>服务名称</w:t>
            </w:r>
          </w:p>
        </w:tc>
        <w:tc>
          <w:tcPr>
            <w:tcW w:w="6517" w:type="dxa"/>
            <w:vAlign w:val="center"/>
          </w:tcPr>
          <w:p w14:paraId="64C3F4B0">
            <w:pPr>
              <w:jc w:val="left"/>
              <w:rPr>
                <w:rFonts w:hint="eastAsia" w:ascii="宋体" w:hAnsi="宋体" w:cs="宋体"/>
                <w:sz w:val="24"/>
              </w:rPr>
            </w:pPr>
            <w:r>
              <w:rPr>
                <w:rFonts w:hint="eastAsia" w:ascii="宋体" w:hAnsi="宋体" w:cs="宋体"/>
                <w:sz w:val="24"/>
              </w:rPr>
              <w:t>维护内容和要求</w:t>
            </w:r>
          </w:p>
        </w:tc>
      </w:tr>
      <w:tr w14:paraId="44E0A4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51" w:type="dxa"/>
            <w:vAlign w:val="center"/>
          </w:tcPr>
          <w:p w14:paraId="21577C06">
            <w:pPr>
              <w:jc w:val="left"/>
              <w:rPr>
                <w:rFonts w:hint="eastAsia" w:ascii="宋体" w:hAnsi="宋体" w:cs="宋体"/>
                <w:sz w:val="24"/>
              </w:rPr>
            </w:pPr>
            <w:r>
              <w:rPr>
                <w:rFonts w:hint="eastAsia" w:ascii="宋体" w:hAnsi="宋体" w:cs="宋体"/>
                <w:sz w:val="24"/>
              </w:rPr>
              <w:t>1</w:t>
            </w:r>
          </w:p>
        </w:tc>
        <w:tc>
          <w:tcPr>
            <w:tcW w:w="1417" w:type="dxa"/>
            <w:vAlign w:val="center"/>
          </w:tcPr>
          <w:p w14:paraId="343DC8CC">
            <w:pPr>
              <w:jc w:val="left"/>
              <w:rPr>
                <w:rFonts w:hint="eastAsia" w:ascii="宋体" w:hAnsi="宋体" w:cs="宋体"/>
                <w:sz w:val="24"/>
              </w:rPr>
            </w:pPr>
            <w:r>
              <w:rPr>
                <w:rFonts w:hint="eastAsia" w:ascii="宋体" w:hAnsi="宋体" w:cs="宋体"/>
                <w:sz w:val="24"/>
              </w:rPr>
              <w:t>对理化室的各类大型设备进行维护、维修</w:t>
            </w:r>
          </w:p>
        </w:tc>
        <w:tc>
          <w:tcPr>
            <w:tcW w:w="6517" w:type="dxa"/>
            <w:vAlign w:val="center"/>
          </w:tcPr>
          <w:p w14:paraId="414D130D">
            <w:pPr>
              <w:spacing w:line="500" w:lineRule="exact"/>
              <w:jc w:val="left"/>
              <w:rPr>
                <w:rFonts w:ascii="Calibri" w:hAnsi="Calibri"/>
                <w:lang w:eastAsia="zh-Hans"/>
              </w:rPr>
            </w:pPr>
            <w:r>
              <w:rPr>
                <w:rFonts w:hint="eastAsia" w:ascii="宋体" w:hAnsi="宋体" w:cs="宋体"/>
                <w:sz w:val="24"/>
              </w:rPr>
              <w:t>理化室现有各类进口大型设备25台左右，总价值约2000万元。其中90%的仪器设备10年以上，仪器设备的部件和电路均已经严重老化。因仪器设备均为进口产品，对仪器进行常规的维护和保养，价格都比较高，为继续保障仪器的性能处于良好状态，延长仪器使用寿命，不影响办案检验的时效性，提高案件检验的准确性，避免因仪器性能下降，导致仪器灵敏度下降，造成案件漏检，故继续申请下年度对理化室的主要仪器设备以及仪器配套电脑、软件进行维护和保养</w:t>
            </w:r>
            <w:r>
              <w:rPr>
                <w:rFonts w:hint="eastAsia" w:ascii="微软雅黑" w:hAnsi="微软雅黑" w:eastAsia="微软雅黑"/>
                <w:color w:val="171A1D"/>
                <w:szCs w:val="21"/>
                <w:shd w:val="clear" w:color="auto" w:fill="FFFFFF"/>
              </w:rPr>
              <w:t>。</w:t>
            </w:r>
          </w:p>
        </w:tc>
      </w:tr>
    </w:tbl>
    <w:p w14:paraId="7913A6FA">
      <w:pPr>
        <w:spacing w:before="124" w:after="124" w:line="360" w:lineRule="auto"/>
        <w:rPr>
          <w:rFonts w:hint="eastAsia" w:ascii="宋体" w:hAnsi="宋体"/>
          <w:sz w:val="24"/>
        </w:rPr>
      </w:pPr>
      <w:r>
        <w:rPr>
          <w:rFonts w:hint="eastAsia" w:ascii="宋体" w:hAnsi="宋体"/>
          <w:sz w:val="24"/>
        </w:rPr>
        <w:t>需维保仪器设备一览表：</w:t>
      </w:r>
    </w:p>
    <w:tbl>
      <w:tblPr>
        <w:tblStyle w:val="13"/>
        <w:tblW w:w="8880" w:type="dxa"/>
        <w:tblInd w:w="72" w:type="dxa"/>
        <w:tblLayout w:type="fixed"/>
        <w:tblCellMar>
          <w:top w:w="0" w:type="dxa"/>
          <w:left w:w="108" w:type="dxa"/>
          <w:bottom w:w="0" w:type="dxa"/>
          <w:right w:w="108" w:type="dxa"/>
        </w:tblCellMar>
      </w:tblPr>
      <w:tblGrid>
        <w:gridCol w:w="1029"/>
        <w:gridCol w:w="2409"/>
        <w:gridCol w:w="1843"/>
        <w:gridCol w:w="1985"/>
        <w:gridCol w:w="1614"/>
      </w:tblGrid>
      <w:tr w14:paraId="7EEA8F1B">
        <w:tblPrEx>
          <w:tblCellMar>
            <w:top w:w="0" w:type="dxa"/>
            <w:left w:w="108" w:type="dxa"/>
            <w:bottom w:w="0" w:type="dxa"/>
            <w:right w:w="108" w:type="dxa"/>
          </w:tblCellMar>
        </w:tblPrEx>
        <w:trPr>
          <w:trHeight w:val="280" w:hRule="atLeast"/>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9B4EB">
            <w:pPr>
              <w:spacing w:line="500" w:lineRule="exact"/>
              <w:jc w:val="left"/>
              <w:rPr>
                <w:rFonts w:hint="eastAsia" w:ascii="宋体" w:hAnsi="宋体" w:eastAsia="宋体" w:cs="宋体"/>
                <w:sz w:val="24"/>
              </w:rPr>
            </w:pPr>
            <w:r>
              <w:rPr>
                <w:rFonts w:hint="eastAsia" w:ascii="宋体" w:hAnsi="宋体" w:eastAsia="宋体" w:cs="宋体"/>
                <w:sz w:val="24"/>
              </w:rPr>
              <w:t>序号</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639E44A8">
            <w:pPr>
              <w:spacing w:line="500" w:lineRule="exact"/>
              <w:jc w:val="left"/>
              <w:rPr>
                <w:rFonts w:hint="eastAsia" w:ascii="宋体" w:hAnsi="宋体" w:eastAsia="宋体" w:cs="宋体"/>
                <w:sz w:val="24"/>
              </w:rPr>
            </w:pPr>
            <w:r>
              <w:rPr>
                <w:rFonts w:hint="eastAsia" w:ascii="宋体" w:hAnsi="宋体" w:eastAsia="宋体" w:cs="宋体"/>
                <w:sz w:val="24"/>
              </w:rPr>
              <w:t>仪器名称</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9BCBE18">
            <w:pPr>
              <w:spacing w:line="500" w:lineRule="exact"/>
              <w:jc w:val="left"/>
              <w:rPr>
                <w:rFonts w:hint="eastAsia" w:ascii="宋体" w:hAnsi="宋体" w:eastAsia="宋体" w:cs="宋体"/>
                <w:sz w:val="24"/>
              </w:rPr>
            </w:pPr>
            <w:r>
              <w:rPr>
                <w:rFonts w:hint="eastAsia" w:ascii="宋体" w:hAnsi="宋体" w:eastAsia="宋体" w:cs="宋体"/>
                <w:sz w:val="24"/>
              </w:rPr>
              <w:t>型号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8D58020">
            <w:pPr>
              <w:spacing w:line="500" w:lineRule="exact"/>
              <w:jc w:val="left"/>
              <w:rPr>
                <w:rFonts w:hint="eastAsia" w:ascii="宋体" w:hAnsi="宋体" w:eastAsia="宋体" w:cs="宋体"/>
                <w:sz w:val="24"/>
              </w:rPr>
            </w:pPr>
            <w:r>
              <w:rPr>
                <w:rFonts w:hint="eastAsia" w:ascii="宋体" w:hAnsi="宋体" w:eastAsia="宋体" w:cs="宋体"/>
                <w:sz w:val="24"/>
              </w:rPr>
              <w:t>品牌</w:t>
            </w:r>
          </w:p>
        </w:tc>
        <w:tc>
          <w:tcPr>
            <w:tcW w:w="1614" w:type="dxa"/>
            <w:tcBorders>
              <w:top w:val="single" w:color="auto" w:sz="4" w:space="0"/>
              <w:left w:val="nil"/>
              <w:bottom w:val="single" w:color="auto" w:sz="4" w:space="0"/>
              <w:right w:val="single" w:color="auto" w:sz="4" w:space="0"/>
            </w:tcBorders>
            <w:shd w:val="clear" w:color="auto" w:fill="auto"/>
            <w:noWrap/>
            <w:vAlign w:val="center"/>
          </w:tcPr>
          <w:p w14:paraId="61A12A8F">
            <w:pPr>
              <w:spacing w:line="500" w:lineRule="exact"/>
              <w:jc w:val="left"/>
              <w:rPr>
                <w:rFonts w:hint="eastAsia" w:ascii="宋体" w:hAnsi="宋体" w:eastAsia="宋体" w:cs="宋体"/>
                <w:sz w:val="24"/>
              </w:rPr>
            </w:pPr>
            <w:r>
              <w:rPr>
                <w:rFonts w:hint="eastAsia" w:ascii="宋体" w:hAnsi="宋体" w:eastAsia="宋体" w:cs="宋体"/>
                <w:sz w:val="24"/>
              </w:rPr>
              <w:t>数量</w:t>
            </w:r>
          </w:p>
        </w:tc>
      </w:tr>
      <w:tr w14:paraId="5802CD18">
        <w:tblPrEx>
          <w:tblCellMar>
            <w:top w:w="0" w:type="dxa"/>
            <w:left w:w="108" w:type="dxa"/>
            <w:bottom w:w="0" w:type="dxa"/>
            <w:right w:w="108" w:type="dxa"/>
          </w:tblCellMar>
        </w:tblPrEx>
        <w:trPr>
          <w:trHeight w:val="280" w:hRule="atLeast"/>
        </w:trPr>
        <w:tc>
          <w:tcPr>
            <w:tcW w:w="1029" w:type="dxa"/>
            <w:vMerge w:val="restart"/>
            <w:tcBorders>
              <w:top w:val="nil"/>
              <w:left w:val="single" w:color="auto" w:sz="4" w:space="0"/>
              <w:bottom w:val="single" w:color="auto" w:sz="4" w:space="0"/>
              <w:right w:val="single" w:color="auto" w:sz="4" w:space="0"/>
            </w:tcBorders>
            <w:shd w:val="clear" w:color="auto" w:fill="auto"/>
            <w:noWrap/>
            <w:vAlign w:val="center"/>
          </w:tcPr>
          <w:p w14:paraId="0780F2E0">
            <w:pPr>
              <w:spacing w:line="500" w:lineRule="exact"/>
              <w:jc w:val="left"/>
              <w:rPr>
                <w:rFonts w:hint="eastAsia" w:ascii="宋体" w:hAnsi="宋体" w:eastAsia="宋体" w:cs="宋体"/>
                <w:sz w:val="24"/>
              </w:rPr>
            </w:pPr>
            <w:r>
              <w:rPr>
                <w:rFonts w:hint="eastAsia" w:ascii="宋体" w:hAnsi="宋体" w:eastAsia="宋体" w:cs="宋体"/>
                <w:sz w:val="24"/>
              </w:rPr>
              <w:t>1</w:t>
            </w:r>
          </w:p>
        </w:tc>
        <w:tc>
          <w:tcPr>
            <w:tcW w:w="2409" w:type="dxa"/>
            <w:vMerge w:val="restart"/>
            <w:tcBorders>
              <w:top w:val="nil"/>
              <w:left w:val="single" w:color="auto" w:sz="4" w:space="0"/>
              <w:bottom w:val="single" w:color="auto" w:sz="4" w:space="0"/>
              <w:right w:val="single" w:color="auto" w:sz="4" w:space="0"/>
            </w:tcBorders>
            <w:shd w:val="clear" w:color="auto" w:fill="auto"/>
            <w:noWrap/>
            <w:vAlign w:val="center"/>
          </w:tcPr>
          <w:p w14:paraId="78F23CC9">
            <w:pPr>
              <w:spacing w:line="500" w:lineRule="exact"/>
              <w:jc w:val="left"/>
              <w:rPr>
                <w:rFonts w:hint="eastAsia" w:ascii="宋体" w:hAnsi="宋体" w:eastAsia="宋体" w:cs="宋体"/>
                <w:sz w:val="24"/>
              </w:rPr>
            </w:pPr>
            <w:r>
              <w:rPr>
                <w:rFonts w:hint="eastAsia" w:ascii="宋体" w:hAnsi="宋体" w:eastAsia="宋体" w:cs="宋体"/>
                <w:sz w:val="24"/>
              </w:rPr>
              <w:t>液相质谱联用仪</w:t>
            </w:r>
          </w:p>
        </w:tc>
        <w:tc>
          <w:tcPr>
            <w:tcW w:w="1843" w:type="dxa"/>
            <w:tcBorders>
              <w:top w:val="nil"/>
              <w:left w:val="nil"/>
              <w:bottom w:val="single" w:color="auto" w:sz="4" w:space="0"/>
              <w:right w:val="single" w:color="auto" w:sz="4" w:space="0"/>
            </w:tcBorders>
            <w:shd w:val="clear" w:color="auto" w:fill="auto"/>
            <w:noWrap/>
            <w:vAlign w:val="center"/>
          </w:tcPr>
          <w:p w14:paraId="0012DAD1">
            <w:pPr>
              <w:spacing w:line="500" w:lineRule="exact"/>
              <w:jc w:val="left"/>
              <w:rPr>
                <w:rFonts w:hint="eastAsia" w:ascii="宋体" w:hAnsi="宋体" w:eastAsia="宋体" w:cs="宋体"/>
                <w:sz w:val="24"/>
              </w:rPr>
            </w:pPr>
            <w:r>
              <w:rPr>
                <w:rFonts w:hint="eastAsia" w:ascii="宋体" w:hAnsi="宋体" w:eastAsia="宋体" w:cs="宋体"/>
                <w:sz w:val="24"/>
              </w:rPr>
              <w:t>LC-30AD</w:t>
            </w:r>
          </w:p>
        </w:tc>
        <w:tc>
          <w:tcPr>
            <w:tcW w:w="1985" w:type="dxa"/>
            <w:tcBorders>
              <w:top w:val="nil"/>
              <w:left w:val="nil"/>
              <w:bottom w:val="single" w:color="auto" w:sz="4" w:space="0"/>
              <w:right w:val="single" w:color="auto" w:sz="4" w:space="0"/>
            </w:tcBorders>
            <w:shd w:val="clear" w:color="auto" w:fill="auto"/>
            <w:noWrap/>
            <w:vAlign w:val="center"/>
          </w:tcPr>
          <w:p w14:paraId="6E6137B3">
            <w:pPr>
              <w:spacing w:line="500" w:lineRule="exact"/>
              <w:jc w:val="left"/>
              <w:rPr>
                <w:rFonts w:hint="eastAsia" w:ascii="宋体" w:hAnsi="宋体" w:eastAsia="宋体" w:cs="宋体"/>
                <w:sz w:val="24"/>
              </w:rPr>
            </w:pPr>
            <w:r>
              <w:rPr>
                <w:rFonts w:hint="eastAsia" w:ascii="宋体" w:hAnsi="宋体" w:eastAsia="宋体" w:cs="宋体"/>
                <w:sz w:val="24"/>
              </w:rPr>
              <w:t>Shmadzu</w:t>
            </w:r>
          </w:p>
        </w:tc>
        <w:tc>
          <w:tcPr>
            <w:tcW w:w="1614" w:type="dxa"/>
            <w:tcBorders>
              <w:top w:val="nil"/>
              <w:left w:val="nil"/>
              <w:bottom w:val="single" w:color="auto" w:sz="4" w:space="0"/>
              <w:right w:val="single" w:color="auto" w:sz="4" w:space="0"/>
            </w:tcBorders>
            <w:shd w:val="clear" w:color="auto" w:fill="auto"/>
            <w:noWrap/>
            <w:vAlign w:val="center"/>
          </w:tcPr>
          <w:p w14:paraId="22A2BB93">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791E5460">
        <w:tblPrEx>
          <w:tblCellMar>
            <w:top w:w="0" w:type="dxa"/>
            <w:left w:w="108" w:type="dxa"/>
            <w:bottom w:w="0" w:type="dxa"/>
            <w:right w:w="108" w:type="dxa"/>
          </w:tblCellMar>
        </w:tblPrEx>
        <w:trPr>
          <w:trHeight w:val="280" w:hRule="atLeast"/>
        </w:trPr>
        <w:tc>
          <w:tcPr>
            <w:tcW w:w="1029" w:type="dxa"/>
            <w:vMerge w:val="continue"/>
            <w:tcBorders>
              <w:top w:val="nil"/>
              <w:left w:val="single" w:color="auto" w:sz="4" w:space="0"/>
              <w:bottom w:val="single" w:color="auto" w:sz="4" w:space="0"/>
              <w:right w:val="single" w:color="auto" w:sz="4" w:space="0"/>
            </w:tcBorders>
            <w:shd w:val="clear" w:color="auto" w:fill="auto"/>
            <w:vAlign w:val="center"/>
          </w:tcPr>
          <w:p w14:paraId="7E82F1A0">
            <w:pPr>
              <w:spacing w:line="500" w:lineRule="exact"/>
              <w:jc w:val="left"/>
              <w:rPr>
                <w:rFonts w:hint="eastAsia" w:ascii="宋体" w:hAnsi="宋体" w:eastAsia="宋体" w:cs="宋体"/>
                <w:sz w:val="24"/>
              </w:rPr>
            </w:pPr>
          </w:p>
        </w:tc>
        <w:tc>
          <w:tcPr>
            <w:tcW w:w="2409" w:type="dxa"/>
            <w:vMerge w:val="continue"/>
            <w:tcBorders>
              <w:top w:val="nil"/>
              <w:left w:val="single" w:color="auto" w:sz="4" w:space="0"/>
              <w:bottom w:val="single" w:color="auto" w:sz="4" w:space="0"/>
              <w:right w:val="single" w:color="auto" w:sz="4" w:space="0"/>
            </w:tcBorders>
            <w:shd w:val="clear" w:color="auto" w:fill="auto"/>
            <w:vAlign w:val="center"/>
          </w:tcPr>
          <w:p w14:paraId="007C7426">
            <w:pPr>
              <w:spacing w:line="500" w:lineRule="exact"/>
              <w:jc w:val="left"/>
              <w:rPr>
                <w:rFonts w:hint="eastAsia" w:ascii="宋体" w:hAnsi="宋体" w:eastAsia="宋体" w:cs="宋体"/>
                <w:sz w:val="24"/>
              </w:rPr>
            </w:pPr>
          </w:p>
        </w:tc>
        <w:tc>
          <w:tcPr>
            <w:tcW w:w="1843" w:type="dxa"/>
            <w:tcBorders>
              <w:top w:val="nil"/>
              <w:left w:val="nil"/>
              <w:bottom w:val="single" w:color="auto" w:sz="4" w:space="0"/>
              <w:right w:val="single" w:color="auto" w:sz="4" w:space="0"/>
            </w:tcBorders>
            <w:shd w:val="clear" w:color="auto" w:fill="auto"/>
            <w:noWrap/>
            <w:vAlign w:val="center"/>
          </w:tcPr>
          <w:p w14:paraId="4180945F">
            <w:pPr>
              <w:spacing w:line="500" w:lineRule="exact"/>
              <w:jc w:val="left"/>
              <w:rPr>
                <w:rFonts w:hint="eastAsia" w:ascii="宋体" w:hAnsi="宋体" w:eastAsia="宋体" w:cs="宋体"/>
                <w:sz w:val="24"/>
              </w:rPr>
            </w:pPr>
            <w:r>
              <w:rPr>
                <w:rFonts w:hint="eastAsia" w:ascii="宋体" w:hAnsi="宋体" w:eastAsia="宋体" w:cs="宋体"/>
                <w:sz w:val="24"/>
              </w:rPr>
              <w:t>QTRAP6500</w:t>
            </w:r>
          </w:p>
        </w:tc>
        <w:tc>
          <w:tcPr>
            <w:tcW w:w="1985" w:type="dxa"/>
            <w:tcBorders>
              <w:top w:val="nil"/>
              <w:left w:val="nil"/>
              <w:bottom w:val="single" w:color="auto" w:sz="4" w:space="0"/>
              <w:right w:val="single" w:color="auto" w:sz="4" w:space="0"/>
            </w:tcBorders>
            <w:shd w:val="clear" w:color="auto" w:fill="auto"/>
            <w:noWrap/>
            <w:vAlign w:val="center"/>
          </w:tcPr>
          <w:p w14:paraId="7CC8CDB0">
            <w:pPr>
              <w:spacing w:line="500" w:lineRule="exact"/>
              <w:jc w:val="left"/>
              <w:rPr>
                <w:rFonts w:hint="eastAsia" w:ascii="宋体" w:hAnsi="宋体" w:eastAsia="宋体" w:cs="宋体"/>
                <w:sz w:val="24"/>
              </w:rPr>
            </w:pPr>
            <w:r>
              <w:rPr>
                <w:rFonts w:hint="eastAsia" w:ascii="宋体" w:hAnsi="宋体" w:eastAsia="宋体" w:cs="宋体"/>
                <w:sz w:val="24"/>
              </w:rPr>
              <w:t>AB  SCIEX</w:t>
            </w:r>
          </w:p>
        </w:tc>
        <w:tc>
          <w:tcPr>
            <w:tcW w:w="1614" w:type="dxa"/>
            <w:tcBorders>
              <w:top w:val="nil"/>
              <w:left w:val="nil"/>
              <w:bottom w:val="single" w:color="auto" w:sz="4" w:space="0"/>
              <w:right w:val="single" w:color="auto" w:sz="4" w:space="0"/>
            </w:tcBorders>
            <w:shd w:val="clear" w:color="auto" w:fill="auto"/>
            <w:noWrap/>
            <w:vAlign w:val="center"/>
          </w:tcPr>
          <w:p w14:paraId="3E87C1B0">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7A57DB79">
        <w:tblPrEx>
          <w:tblCellMar>
            <w:top w:w="0" w:type="dxa"/>
            <w:left w:w="108" w:type="dxa"/>
            <w:bottom w:w="0" w:type="dxa"/>
            <w:right w:w="108" w:type="dxa"/>
          </w:tblCellMar>
        </w:tblPrEx>
        <w:trPr>
          <w:trHeight w:val="280" w:hRule="atLeast"/>
        </w:trPr>
        <w:tc>
          <w:tcPr>
            <w:tcW w:w="1029" w:type="dxa"/>
            <w:vMerge w:val="restart"/>
            <w:tcBorders>
              <w:top w:val="nil"/>
              <w:left w:val="single" w:color="auto" w:sz="4" w:space="0"/>
              <w:bottom w:val="single" w:color="auto" w:sz="4" w:space="0"/>
              <w:right w:val="single" w:color="auto" w:sz="4" w:space="0"/>
            </w:tcBorders>
            <w:shd w:val="clear" w:color="auto" w:fill="auto"/>
            <w:noWrap/>
            <w:vAlign w:val="center"/>
          </w:tcPr>
          <w:p w14:paraId="1B97E61B">
            <w:pPr>
              <w:spacing w:line="500" w:lineRule="exact"/>
              <w:jc w:val="left"/>
              <w:rPr>
                <w:rFonts w:hint="eastAsia" w:ascii="宋体" w:hAnsi="宋体" w:eastAsia="宋体" w:cs="宋体"/>
                <w:sz w:val="24"/>
              </w:rPr>
            </w:pPr>
            <w:r>
              <w:rPr>
                <w:rFonts w:hint="eastAsia" w:ascii="宋体" w:hAnsi="宋体" w:eastAsia="宋体" w:cs="宋体"/>
                <w:sz w:val="24"/>
              </w:rPr>
              <w:t>2</w:t>
            </w:r>
          </w:p>
        </w:tc>
        <w:tc>
          <w:tcPr>
            <w:tcW w:w="2409" w:type="dxa"/>
            <w:vMerge w:val="restart"/>
            <w:tcBorders>
              <w:top w:val="nil"/>
              <w:left w:val="single" w:color="auto" w:sz="4" w:space="0"/>
              <w:bottom w:val="single" w:color="auto" w:sz="4" w:space="0"/>
              <w:right w:val="single" w:color="auto" w:sz="4" w:space="0"/>
            </w:tcBorders>
            <w:shd w:val="clear" w:color="auto" w:fill="auto"/>
            <w:noWrap/>
            <w:vAlign w:val="center"/>
          </w:tcPr>
          <w:p w14:paraId="2D635DC5">
            <w:pPr>
              <w:spacing w:line="500" w:lineRule="exact"/>
              <w:jc w:val="left"/>
              <w:rPr>
                <w:rFonts w:hint="eastAsia" w:ascii="宋体" w:hAnsi="宋体" w:eastAsia="宋体" w:cs="宋体"/>
                <w:sz w:val="24"/>
              </w:rPr>
            </w:pPr>
            <w:r>
              <w:rPr>
                <w:rFonts w:hint="eastAsia" w:ascii="宋体" w:hAnsi="宋体" w:eastAsia="宋体" w:cs="宋体"/>
                <w:sz w:val="24"/>
              </w:rPr>
              <w:t>液相质谱联用仪</w:t>
            </w:r>
          </w:p>
        </w:tc>
        <w:tc>
          <w:tcPr>
            <w:tcW w:w="1843" w:type="dxa"/>
            <w:tcBorders>
              <w:top w:val="nil"/>
              <w:left w:val="nil"/>
              <w:bottom w:val="single" w:color="auto" w:sz="4" w:space="0"/>
              <w:right w:val="single" w:color="auto" w:sz="4" w:space="0"/>
            </w:tcBorders>
            <w:shd w:val="clear" w:color="auto" w:fill="auto"/>
            <w:noWrap/>
            <w:vAlign w:val="center"/>
          </w:tcPr>
          <w:p w14:paraId="58111EBD">
            <w:pPr>
              <w:spacing w:line="500" w:lineRule="exact"/>
              <w:jc w:val="left"/>
              <w:rPr>
                <w:rFonts w:hint="eastAsia" w:ascii="宋体" w:hAnsi="宋体" w:eastAsia="宋体" w:cs="宋体"/>
                <w:sz w:val="24"/>
              </w:rPr>
            </w:pPr>
            <w:r>
              <w:rPr>
                <w:rFonts w:hint="eastAsia" w:ascii="宋体" w:hAnsi="宋体" w:eastAsia="宋体" w:cs="宋体"/>
                <w:sz w:val="24"/>
              </w:rPr>
              <w:t>U3000</w:t>
            </w:r>
          </w:p>
        </w:tc>
        <w:tc>
          <w:tcPr>
            <w:tcW w:w="1985" w:type="dxa"/>
            <w:tcBorders>
              <w:top w:val="nil"/>
              <w:left w:val="nil"/>
              <w:bottom w:val="single" w:color="auto" w:sz="4" w:space="0"/>
              <w:right w:val="single" w:color="auto" w:sz="4" w:space="0"/>
            </w:tcBorders>
            <w:shd w:val="clear" w:color="auto" w:fill="auto"/>
            <w:noWrap/>
            <w:vAlign w:val="center"/>
          </w:tcPr>
          <w:p w14:paraId="23D52023">
            <w:pPr>
              <w:spacing w:line="500" w:lineRule="exact"/>
              <w:jc w:val="left"/>
              <w:rPr>
                <w:rFonts w:hint="eastAsia" w:ascii="宋体" w:hAnsi="宋体" w:eastAsia="宋体" w:cs="宋体"/>
                <w:sz w:val="24"/>
              </w:rPr>
            </w:pPr>
            <w:r>
              <w:rPr>
                <w:rFonts w:hint="eastAsia" w:ascii="宋体" w:hAnsi="宋体" w:eastAsia="宋体" w:cs="宋体"/>
                <w:sz w:val="24"/>
              </w:rPr>
              <w:t>Thermo</w:t>
            </w:r>
          </w:p>
        </w:tc>
        <w:tc>
          <w:tcPr>
            <w:tcW w:w="1614" w:type="dxa"/>
            <w:tcBorders>
              <w:top w:val="nil"/>
              <w:left w:val="nil"/>
              <w:bottom w:val="single" w:color="auto" w:sz="4" w:space="0"/>
              <w:right w:val="single" w:color="auto" w:sz="4" w:space="0"/>
            </w:tcBorders>
            <w:shd w:val="clear" w:color="auto" w:fill="auto"/>
            <w:noWrap/>
            <w:vAlign w:val="center"/>
          </w:tcPr>
          <w:p w14:paraId="423EB2A2">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0C7474DF">
        <w:tblPrEx>
          <w:tblCellMar>
            <w:top w:w="0" w:type="dxa"/>
            <w:left w:w="108" w:type="dxa"/>
            <w:bottom w:w="0" w:type="dxa"/>
            <w:right w:w="108" w:type="dxa"/>
          </w:tblCellMar>
        </w:tblPrEx>
        <w:trPr>
          <w:trHeight w:val="280" w:hRule="atLeast"/>
        </w:trPr>
        <w:tc>
          <w:tcPr>
            <w:tcW w:w="1029" w:type="dxa"/>
            <w:vMerge w:val="continue"/>
            <w:tcBorders>
              <w:top w:val="nil"/>
              <w:left w:val="single" w:color="auto" w:sz="4" w:space="0"/>
              <w:bottom w:val="single" w:color="auto" w:sz="4" w:space="0"/>
              <w:right w:val="single" w:color="auto" w:sz="4" w:space="0"/>
            </w:tcBorders>
            <w:shd w:val="clear" w:color="auto" w:fill="auto"/>
            <w:vAlign w:val="center"/>
          </w:tcPr>
          <w:p w14:paraId="178B9D02">
            <w:pPr>
              <w:spacing w:line="500" w:lineRule="exact"/>
              <w:jc w:val="left"/>
              <w:rPr>
                <w:rFonts w:hint="eastAsia" w:ascii="宋体" w:hAnsi="宋体" w:eastAsia="宋体" w:cs="宋体"/>
                <w:sz w:val="24"/>
              </w:rPr>
            </w:pPr>
          </w:p>
        </w:tc>
        <w:tc>
          <w:tcPr>
            <w:tcW w:w="2409" w:type="dxa"/>
            <w:vMerge w:val="continue"/>
            <w:tcBorders>
              <w:top w:val="nil"/>
              <w:left w:val="single" w:color="auto" w:sz="4" w:space="0"/>
              <w:bottom w:val="single" w:color="auto" w:sz="4" w:space="0"/>
              <w:right w:val="single" w:color="auto" w:sz="4" w:space="0"/>
            </w:tcBorders>
            <w:shd w:val="clear" w:color="auto" w:fill="auto"/>
            <w:vAlign w:val="center"/>
          </w:tcPr>
          <w:p w14:paraId="62130681">
            <w:pPr>
              <w:spacing w:line="500" w:lineRule="exact"/>
              <w:jc w:val="left"/>
              <w:rPr>
                <w:rFonts w:hint="eastAsia" w:ascii="宋体" w:hAnsi="宋体" w:eastAsia="宋体" w:cs="宋体"/>
                <w:sz w:val="24"/>
              </w:rPr>
            </w:pPr>
          </w:p>
        </w:tc>
        <w:tc>
          <w:tcPr>
            <w:tcW w:w="1843" w:type="dxa"/>
            <w:tcBorders>
              <w:top w:val="nil"/>
              <w:left w:val="nil"/>
              <w:bottom w:val="single" w:color="auto" w:sz="4" w:space="0"/>
              <w:right w:val="single" w:color="auto" w:sz="4" w:space="0"/>
            </w:tcBorders>
            <w:shd w:val="clear" w:color="auto" w:fill="auto"/>
            <w:noWrap/>
            <w:vAlign w:val="center"/>
          </w:tcPr>
          <w:p w14:paraId="0EED6639">
            <w:pPr>
              <w:spacing w:line="500" w:lineRule="exact"/>
              <w:jc w:val="left"/>
              <w:rPr>
                <w:rFonts w:hint="eastAsia" w:ascii="宋体" w:hAnsi="宋体" w:eastAsia="宋体" w:cs="宋体"/>
                <w:sz w:val="24"/>
              </w:rPr>
            </w:pPr>
            <w:r>
              <w:rPr>
                <w:rFonts w:hint="eastAsia" w:ascii="宋体" w:hAnsi="宋体" w:eastAsia="宋体" w:cs="宋体"/>
                <w:sz w:val="24"/>
              </w:rPr>
              <w:t>Q Exactive</w:t>
            </w:r>
          </w:p>
        </w:tc>
        <w:tc>
          <w:tcPr>
            <w:tcW w:w="1985" w:type="dxa"/>
            <w:tcBorders>
              <w:top w:val="nil"/>
              <w:left w:val="nil"/>
              <w:bottom w:val="single" w:color="auto" w:sz="4" w:space="0"/>
              <w:right w:val="single" w:color="auto" w:sz="4" w:space="0"/>
            </w:tcBorders>
            <w:shd w:val="clear" w:color="auto" w:fill="auto"/>
            <w:noWrap/>
            <w:vAlign w:val="center"/>
          </w:tcPr>
          <w:p w14:paraId="447746A3">
            <w:pPr>
              <w:spacing w:line="500" w:lineRule="exact"/>
              <w:jc w:val="left"/>
              <w:rPr>
                <w:rFonts w:hint="eastAsia" w:ascii="宋体" w:hAnsi="宋体" w:eastAsia="宋体" w:cs="宋体"/>
                <w:sz w:val="24"/>
              </w:rPr>
            </w:pPr>
            <w:r>
              <w:rPr>
                <w:rFonts w:hint="eastAsia" w:ascii="宋体" w:hAnsi="宋体" w:eastAsia="宋体" w:cs="宋体"/>
                <w:sz w:val="24"/>
              </w:rPr>
              <w:t>Thermo</w:t>
            </w:r>
          </w:p>
        </w:tc>
        <w:tc>
          <w:tcPr>
            <w:tcW w:w="1614" w:type="dxa"/>
            <w:tcBorders>
              <w:top w:val="nil"/>
              <w:left w:val="nil"/>
              <w:bottom w:val="single" w:color="auto" w:sz="4" w:space="0"/>
              <w:right w:val="single" w:color="auto" w:sz="4" w:space="0"/>
            </w:tcBorders>
            <w:shd w:val="clear" w:color="auto" w:fill="auto"/>
            <w:noWrap/>
            <w:vAlign w:val="center"/>
          </w:tcPr>
          <w:p w14:paraId="2EDDC251">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47D5E8F2">
        <w:tblPrEx>
          <w:tblCellMar>
            <w:top w:w="0" w:type="dxa"/>
            <w:left w:w="108" w:type="dxa"/>
            <w:bottom w:w="0" w:type="dxa"/>
            <w:right w:w="108" w:type="dxa"/>
          </w:tblCellMar>
        </w:tblPrEx>
        <w:trPr>
          <w:trHeight w:val="280" w:hRule="atLeast"/>
        </w:trPr>
        <w:tc>
          <w:tcPr>
            <w:tcW w:w="1029" w:type="dxa"/>
            <w:vMerge w:val="restart"/>
            <w:tcBorders>
              <w:top w:val="nil"/>
              <w:left w:val="single" w:color="auto" w:sz="4" w:space="0"/>
              <w:bottom w:val="single" w:color="auto" w:sz="4" w:space="0"/>
              <w:right w:val="single" w:color="auto" w:sz="4" w:space="0"/>
            </w:tcBorders>
            <w:shd w:val="clear" w:color="auto" w:fill="auto"/>
            <w:noWrap/>
            <w:vAlign w:val="center"/>
          </w:tcPr>
          <w:p w14:paraId="6AB44183">
            <w:pPr>
              <w:spacing w:line="500" w:lineRule="exact"/>
              <w:jc w:val="left"/>
              <w:rPr>
                <w:rFonts w:hint="eastAsia" w:ascii="宋体" w:hAnsi="宋体" w:eastAsia="宋体" w:cs="宋体"/>
                <w:sz w:val="24"/>
              </w:rPr>
            </w:pPr>
            <w:r>
              <w:rPr>
                <w:rFonts w:hint="eastAsia" w:ascii="宋体" w:hAnsi="宋体" w:eastAsia="宋体" w:cs="宋体"/>
                <w:sz w:val="24"/>
              </w:rPr>
              <w:t>3</w:t>
            </w:r>
          </w:p>
        </w:tc>
        <w:tc>
          <w:tcPr>
            <w:tcW w:w="2409" w:type="dxa"/>
            <w:vMerge w:val="restart"/>
            <w:tcBorders>
              <w:top w:val="nil"/>
              <w:left w:val="single" w:color="auto" w:sz="4" w:space="0"/>
              <w:bottom w:val="single" w:color="auto" w:sz="4" w:space="0"/>
              <w:right w:val="single" w:color="auto" w:sz="4" w:space="0"/>
            </w:tcBorders>
            <w:shd w:val="clear" w:color="auto" w:fill="auto"/>
            <w:noWrap/>
            <w:vAlign w:val="center"/>
          </w:tcPr>
          <w:p w14:paraId="204228C4">
            <w:pPr>
              <w:spacing w:line="500" w:lineRule="exact"/>
              <w:jc w:val="left"/>
              <w:rPr>
                <w:rFonts w:hint="eastAsia" w:ascii="宋体" w:hAnsi="宋体" w:eastAsia="宋体" w:cs="宋体"/>
                <w:sz w:val="24"/>
              </w:rPr>
            </w:pPr>
            <w:r>
              <w:rPr>
                <w:rFonts w:hint="eastAsia" w:ascii="宋体" w:hAnsi="宋体" w:eastAsia="宋体" w:cs="宋体"/>
                <w:sz w:val="24"/>
              </w:rPr>
              <w:t>气相质谱联用仪</w:t>
            </w:r>
          </w:p>
        </w:tc>
        <w:tc>
          <w:tcPr>
            <w:tcW w:w="1843" w:type="dxa"/>
            <w:tcBorders>
              <w:top w:val="nil"/>
              <w:left w:val="nil"/>
              <w:bottom w:val="single" w:color="auto" w:sz="4" w:space="0"/>
              <w:right w:val="single" w:color="auto" w:sz="4" w:space="0"/>
            </w:tcBorders>
            <w:shd w:val="clear" w:color="auto" w:fill="auto"/>
            <w:noWrap/>
            <w:vAlign w:val="center"/>
          </w:tcPr>
          <w:p w14:paraId="2522A971">
            <w:pPr>
              <w:spacing w:line="500" w:lineRule="exact"/>
              <w:jc w:val="left"/>
              <w:rPr>
                <w:rFonts w:hint="eastAsia" w:ascii="宋体" w:hAnsi="宋体" w:eastAsia="宋体" w:cs="宋体"/>
                <w:sz w:val="24"/>
              </w:rPr>
            </w:pPr>
            <w:r>
              <w:rPr>
                <w:rFonts w:hint="eastAsia" w:ascii="宋体" w:hAnsi="宋体" w:eastAsia="宋体" w:cs="宋体"/>
                <w:sz w:val="24"/>
              </w:rPr>
              <w:t>7890B</w:t>
            </w:r>
          </w:p>
        </w:tc>
        <w:tc>
          <w:tcPr>
            <w:tcW w:w="1985" w:type="dxa"/>
            <w:tcBorders>
              <w:top w:val="nil"/>
              <w:left w:val="nil"/>
              <w:bottom w:val="single" w:color="auto" w:sz="4" w:space="0"/>
              <w:right w:val="single" w:color="auto" w:sz="4" w:space="0"/>
            </w:tcBorders>
            <w:shd w:val="clear" w:color="auto" w:fill="auto"/>
            <w:noWrap/>
            <w:vAlign w:val="center"/>
          </w:tcPr>
          <w:p w14:paraId="3DCB1D68">
            <w:pPr>
              <w:spacing w:line="500" w:lineRule="exact"/>
              <w:jc w:val="left"/>
              <w:rPr>
                <w:rFonts w:hint="eastAsia" w:ascii="宋体" w:hAnsi="宋体" w:eastAsia="宋体" w:cs="宋体"/>
                <w:sz w:val="24"/>
              </w:rPr>
            </w:pPr>
            <w:r>
              <w:rPr>
                <w:rFonts w:hint="eastAsia" w:ascii="宋体" w:hAnsi="宋体" w:eastAsia="宋体" w:cs="宋体"/>
                <w:sz w:val="24"/>
              </w:rPr>
              <w:t>Agilent</w:t>
            </w:r>
          </w:p>
        </w:tc>
        <w:tc>
          <w:tcPr>
            <w:tcW w:w="1614" w:type="dxa"/>
            <w:tcBorders>
              <w:top w:val="nil"/>
              <w:left w:val="nil"/>
              <w:bottom w:val="single" w:color="auto" w:sz="4" w:space="0"/>
              <w:right w:val="single" w:color="auto" w:sz="4" w:space="0"/>
            </w:tcBorders>
            <w:shd w:val="clear" w:color="auto" w:fill="auto"/>
            <w:noWrap/>
            <w:vAlign w:val="center"/>
          </w:tcPr>
          <w:p w14:paraId="3433F1F4">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5D45D57E">
        <w:tblPrEx>
          <w:tblCellMar>
            <w:top w:w="0" w:type="dxa"/>
            <w:left w:w="108" w:type="dxa"/>
            <w:bottom w:w="0" w:type="dxa"/>
            <w:right w:w="108" w:type="dxa"/>
          </w:tblCellMar>
        </w:tblPrEx>
        <w:trPr>
          <w:trHeight w:val="280" w:hRule="atLeast"/>
        </w:trPr>
        <w:tc>
          <w:tcPr>
            <w:tcW w:w="1029" w:type="dxa"/>
            <w:vMerge w:val="continue"/>
            <w:tcBorders>
              <w:top w:val="nil"/>
              <w:left w:val="single" w:color="auto" w:sz="4" w:space="0"/>
              <w:bottom w:val="single" w:color="auto" w:sz="4" w:space="0"/>
              <w:right w:val="single" w:color="auto" w:sz="4" w:space="0"/>
            </w:tcBorders>
            <w:shd w:val="clear" w:color="auto" w:fill="auto"/>
            <w:vAlign w:val="center"/>
          </w:tcPr>
          <w:p w14:paraId="74565471">
            <w:pPr>
              <w:spacing w:line="500" w:lineRule="exact"/>
              <w:jc w:val="left"/>
              <w:rPr>
                <w:rFonts w:hint="eastAsia" w:ascii="宋体" w:hAnsi="宋体" w:eastAsia="宋体" w:cs="宋体"/>
                <w:sz w:val="24"/>
              </w:rPr>
            </w:pPr>
          </w:p>
        </w:tc>
        <w:tc>
          <w:tcPr>
            <w:tcW w:w="2409" w:type="dxa"/>
            <w:vMerge w:val="continue"/>
            <w:tcBorders>
              <w:top w:val="nil"/>
              <w:left w:val="single" w:color="auto" w:sz="4" w:space="0"/>
              <w:bottom w:val="single" w:color="auto" w:sz="4" w:space="0"/>
              <w:right w:val="single" w:color="auto" w:sz="4" w:space="0"/>
            </w:tcBorders>
            <w:shd w:val="clear" w:color="auto" w:fill="auto"/>
            <w:vAlign w:val="center"/>
          </w:tcPr>
          <w:p w14:paraId="2EF26CA9">
            <w:pPr>
              <w:spacing w:line="500" w:lineRule="exact"/>
              <w:jc w:val="left"/>
              <w:rPr>
                <w:rFonts w:hint="eastAsia" w:ascii="宋体" w:hAnsi="宋体" w:eastAsia="宋体" w:cs="宋体"/>
                <w:sz w:val="24"/>
              </w:rPr>
            </w:pPr>
          </w:p>
        </w:tc>
        <w:tc>
          <w:tcPr>
            <w:tcW w:w="1843" w:type="dxa"/>
            <w:tcBorders>
              <w:top w:val="nil"/>
              <w:left w:val="nil"/>
              <w:bottom w:val="single" w:color="auto" w:sz="4" w:space="0"/>
              <w:right w:val="single" w:color="auto" w:sz="4" w:space="0"/>
            </w:tcBorders>
            <w:shd w:val="clear" w:color="auto" w:fill="auto"/>
            <w:noWrap/>
            <w:vAlign w:val="center"/>
          </w:tcPr>
          <w:p w14:paraId="253F61BE">
            <w:pPr>
              <w:spacing w:line="500" w:lineRule="exact"/>
              <w:jc w:val="left"/>
              <w:rPr>
                <w:rFonts w:hint="eastAsia" w:ascii="宋体" w:hAnsi="宋体" w:eastAsia="宋体" w:cs="宋体"/>
                <w:sz w:val="24"/>
              </w:rPr>
            </w:pPr>
            <w:r>
              <w:rPr>
                <w:rFonts w:hint="eastAsia" w:ascii="宋体" w:hAnsi="宋体" w:eastAsia="宋体" w:cs="宋体"/>
                <w:sz w:val="24"/>
              </w:rPr>
              <w:t>5977B</w:t>
            </w:r>
          </w:p>
        </w:tc>
        <w:tc>
          <w:tcPr>
            <w:tcW w:w="1985" w:type="dxa"/>
            <w:tcBorders>
              <w:top w:val="nil"/>
              <w:left w:val="nil"/>
              <w:bottom w:val="single" w:color="auto" w:sz="4" w:space="0"/>
              <w:right w:val="single" w:color="auto" w:sz="4" w:space="0"/>
            </w:tcBorders>
            <w:shd w:val="clear" w:color="auto" w:fill="auto"/>
            <w:noWrap/>
            <w:vAlign w:val="center"/>
          </w:tcPr>
          <w:p w14:paraId="0B958168">
            <w:pPr>
              <w:spacing w:line="500" w:lineRule="exact"/>
              <w:jc w:val="left"/>
              <w:rPr>
                <w:rFonts w:hint="eastAsia" w:ascii="宋体" w:hAnsi="宋体" w:eastAsia="宋体" w:cs="宋体"/>
                <w:sz w:val="24"/>
              </w:rPr>
            </w:pPr>
            <w:r>
              <w:rPr>
                <w:rFonts w:hint="eastAsia" w:ascii="宋体" w:hAnsi="宋体" w:eastAsia="宋体" w:cs="宋体"/>
                <w:sz w:val="24"/>
              </w:rPr>
              <w:t>Agilent</w:t>
            </w:r>
          </w:p>
        </w:tc>
        <w:tc>
          <w:tcPr>
            <w:tcW w:w="1614" w:type="dxa"/>
            <w:tcBorders>
              <w:top w:val="nil"/>
              <w:left w:val="nil"/>
              <w:bottom w:val="single" w:color="auto" w:sz="4" w:space="0"/>
              <w:right w:val="single" w:color="auto" w:sz="4" w:space="0"/>
            </w:tcBorders>
            <w:shd w:val="clear" w:color="auto" w:fill="auto"/>
            <w:noWrap/>
            <w:vAlign w:val="center"/>
          </w:tcPr>
          <w:p w14:paraId="01921BEC">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47692EE3">
        <w:tblPrEx>
          <w:tblCellMar>
            <w:top w:w="0" w:type="dxa"/>
            <w:left w:w="108" w:type="dxa"/>
            <w:bottom w:w="0" w:type="dxa"/>
            <w:right w:w="108" w:type="dxa"/>
          </w:tblCellMar>
        </w:tblPrEx>
        <w:trPr>
          <w:trHeight w:val="280" w:hRule="atLeast"/>
        </w:trPr>
        <w:tc>
          <w:tcPr>
            <w:tcW w:w="1029" w:type="dxa"/>
            <w:vMerge w:val="restart"/>
            <w:tcBorders>
              <w:top w:val="nil"/>
              <w:left w:val="single" w:color="auto" w:sz="4" w:space="0"/>
              <w:bottom w:val="single" w:color="auto" w:sz="4" w:space="0"/>
              <w:right w:val="single" w:color="auto" w:sz="4" w:space="0"/>
            </w:tcBorders>
            <w:shd w:val="clear" w:color="auto" w:fill="auto"/>
            <w:noWrap/>
            <w:vAlign w:val="center"/>
          </w:tcPr>
          <w:p w14:paraId="5B1C3BC8">
            <w:pPr>
              <w:spacing w:line="500" w:lineRule="exact"/>
              <w:jc w:val="left"/>
              <w:rPr>
                <w:rFonts w:hint="eastAsia" w:ascii="宋体" w:hAnsi="宋体" w:eastAsia="宋体" w:cs="宋体"/>
                <w:sz w:val="24"/>
              </w:rPr>
            </w:pPr>
            <w:r>
              <w:rPr>
                <w:rFonts w:hint="eastAsia" w:ascii="宋体" w:hAnsi="宋体" w:eastAsia="宋体" w:cs="宋体"/>
                <w:sz w:val="24"/>
              </w:rPr>
              <w:t>4</w:t>
            </w:r>
          </w:p>
        </w:tc>
        <w:tc>
          <w:tcPr>
            <w:tcW w:w="2409" w:type="dxa"/>
            <w:vMerge w:val="restart"/>
            <w:tcBorders>
              <w:top w:val="nil"/>
              <w:left w:val="single" w:color="auto" w:sz="4" w:space="0"/>
              <w:bottom w:val="single" w:color="auto" w:sz="4" w:space="0"/>
              <w:right w:val="single" w:color="auto" w:sz="4" w:space="0"/>
            </w:tcBorders>
            <w:shd w:val="clear" w:color="auto" w:fill="auto"/>
            <w:noWrap/>
            <w:vAlign w:val="center"/>
          </w:tcPr>
          <w:p w14:paraId="652E5A5F">
            <w:pPr>
              <w:spacing w:line="500" w:lineRule="exact"/>
              <w:jc w:val="left"/>
              <w:rPr>
                <w:rFonts w:hint="eastAsia" w:ascii="宋体" w:hAnsi="宋体" w:eastAsia="宋体" w:cs="宋体"/>
                <w:sz w:val="24"/>
              </w:rPr>
            </w:pPr>
            <w:r>
              <w:rPr>
                <w:rFonts w:hint="eastAsia" w:ascii="宋体" w:hAnsi="宋体" w:eastAsia="宋体" w:cs="宋体"/>
                <w:sz w:val="24"/>
              </w:rPr>
              <w:t>岛津9030TOF高分辨液质</w:t>
            </w:r>
          </w:p>
        </w:tc>
        <w:tc>
          <w:tcPr>
            <w:tcW w:w="1843" w:type="dxa"/>
            <w:tcBorders>
              <w:top w:val="nil"/>
              <w:left w:val="nil"/>
              <w:bottom w:val="single" w:color="auto" w:sz="4" w:space="0"/>
              <w:right w:val="single" w:color="auto" w:sz="4" w:space="0"/>
            </w:tcBorders>
            <w:shd w:val="clear" w:color="auto" w:fill="auto"/>
            <w:noWrap/>
            <w:vAlign w:val="center"/>
          </w:tcPr>
          <w:p w14:paraId="3E4DCBDF">
            <w:pPr>
              <w:spacing w:line="500" w:lineRule="exact"/>
              <w:jc w:val="left"/>
              <w:rPr>
                <w:rFonts w:hint="eastAsia" w:ascii="宋体" w:hAnsi="宋体" w:eastAsia="宋体" w:cs="宋体"/>
                <w:sz w:val="24"/>
              </w:rPr>
            </w:pPr>
            <w:r>
              <w:rPr>
                <w:rFonts w:hint="eastAsia" w:ascii="宋体" w:hAnsi="宋体" w:eastAsia="宋体" w:cs="宋体"/>
                <w:sz w:val="24"/>
              </w:rPr>
              <w:t>2030clam</w:t>
            </w:r>
          </w:p>
        </w:tc>
        <w:tc>
          <w:tcPr>
            <w:tcW w:w="1985" w:type="dxa"/>
            <w:tcBorders>
              <w:top w:val="nil"/>
              <w:left w:val="nil"/>
              <w:bottom w:val="single" w:color="auto" w:sz="4" w:space="0"/>
              <w:right w:val="single" w:color="auto" w:sz="4" w:space="0"/>
            </w:tcBorders>
            <w:shd w:val="clear" w:color="auto" w:fill="auto"/>
            <w:noWrap/>
            <w:vAlign w:val="center"/>
          </w:tcPr>
          <w:p w14:paraId="4993104A">
            <w:pPr>
              <w:spacing w:line="500" w:lineRule="exact"/>
              <w:jc w:val="left"/>
              <w:rPr>
                <w:rFonts w:hint="eastAsia" w:ascii="宋体" w:hAnsi="宋体" w:eastAsia="宋体" w:cs="宋体"/>
                <w:sz w:val="24"/>
              </w:rPr>
            </w:pPr>
            <w:r>
              <w:rPr>
                <w:rFonts w:hint="eastAsia" w:ascii="宋体" w:hAnsi="宋体" w:eastAsia="宋体" w:cs="宋体"/>
                <w:sz w:val="24"/>
              </w:rPr>
              <w:t>岛津</w:t>
            </w:r>
          </w:p>
        </w:tc>
        <w:tc>
          <w:tcPr>
            <w:tcW w:w="1614" w:type="dxa"/>
            <w:tcBorders>
              <w:top w:val="nil"/>
              <w:left w:val="nil"/>
              <w:bottom w:val="single" w:color="auto" w:sz="4" w:space="0"/>
              <w:right w:val="single" w:color="auto" w:sz="4" w:space="0"/>
            </w:tcBorders>
            <w:shd w:val="clear" w:color="auto" w:fill="auto"/>
            <w:noWrap/>
            <w:vAlign w:val="center"/>
          </w:tcPr>
          <w:p w14:paraId="29E4BE67">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47C722F7">
        <w:tblPrEx>
          <w:tblCellMar>
            <w:top w:w="0" w:type="dxa"/>
            <w:left w:w="108" w:type="dxa"/>
            <w:bottom w:w="0" w:type="dxa"/>
            <w:right w:w="108" w:type="dxa"/>
          </w:tblCellMar>
        </w:tblPrEx>
        <w:trPr>
          <w:trHeight w:val="280" w:hRule="atLeast"/>
        </w:trPr>
        <w:tc>
          <w:tcPr>
            <w:tcW w:w="1029" w:type="dxa"/>
            <w:vMerge w:val="continue"/>
            <w:tcBorders>
              <w:top w:val="nil"/>
              <w:left w:val="single" w:color="auto" w:sz="4" w:space="0"/>
              <w:bottom w:val="single" w:color="auto" w:sz="4" w:space="0"/>
              <w:right w:val="single" w:color="auto" w:sz="4" w:space="0"/>
            </w:tcBorders>
            <w:shd w:val="clear" w:color="auto" w:fill="auto"/>
            <w:vAlign w:val="center"/>
          </w:tcPr>
          <w:p w14:paraId="2938A085">
            <w:pPr>
              <w:spacing w:line="500" w:lineRule="exact"/>
              <w:jc w:val="left"/>
              <w:rPr>
                <w:rFonts w:hint="eastAsia" w:ascii="宋体" w:hAnsi="宋体" w:eastAsia="宋体" w:cs="宋体"/>
                <w:sz w:val="24"/>
              </w:rPr>
            </w:pPr>
          </w:p>
        </w:tc>
        <w:tc>
          <w:tcPr>
            <w:tcW w:w="2409" w:type="dxa"/>
            <w:vMerge w:val="continue"/>
            <w:tcBorders>
              <w:top w:val="nil"/>
              <w:left w:val="single" w:color="auto" w:sz="4" w:space="0"/>
              <w:bottom w:val="single" w:color="auto" w:sz="4" w:space="0"/>
              <w:right w:val="single" w:color="auto" w:sz="4" w:space="0"/>
            </w:tcBorders>
            <w:shd w:val="clear" w:color="auto" w:fill="auto"/>
            <w:vAlign w:val="center"/>
          </w:tcPr>
          <w:p w14:paraId="7C72D0ED">
            <w:pPr>
              <w:spacing w:line="500" w:lineRule="exact"/>
              <w:jc w:val="left"/>
              <w:rPr>
                <w:rFonts w:hint="eastAsia" w:ascii="宋体" w:hAnsi="宋体" w:eastAsia="宋体" w:cs="宋体"/>
                <w:sz w:val="24"/>
              </w:rPr>
            </w:pPr>
          </w:p>
        </w:tc>
        <w:tc>
          <w:tcPr>
            <w:tcW w:w="1843" w:type="dxa"/>
            <w:tcBorders>
              <w:top w:val="nil"/>
              <w:left w:val="nil"/>
              <w:bottom w:val="single" w:color="auto" w:sz="4" w:space="0"/>
              <w:right w:val="single" w:color="auto" w:sz="4" w:space="0"/>
            </w:tcBorders>
            <w:shd w:val="clear" w:color="auto" w:fill="auto"/>
            <w:noWrap/>
            <w:vAlign w:val="center"/>
          </w:tcPr>
          <w:p w14:paraId="5BC6004B">
            <w:pPr>
              <w:spacing w:line="500" w:lineRule="exact"/>
              <w:jc w:val="left"/>
              <w:rPr>
                <w:rFonts w:hint="eastAsia" w:ascii="宋体" w:hAnsi="宋体" w:eastAsia="宋体" w:cs="宋体"/>
                <w:sz w:val="24"/>
              </w:rPr>
            </w:pPr>
            <w:r>
              <w:rPr>
                <w:rFonts w:hint="eastAsia" w:ascii="宋体" w:hAnsi="宋体" w:eastAsia="宋体" w:cs="宋体"/>
                <w:sz w:val="24"/>
              </w:rPr>
              <w:t>9030 TOF</w:t>
            </w:r>
          </w:p>
        </w:tc>
        <w:tc>
          <w:tcPr>
            <w:tcW w:w="1985" w:type="dxa"/>
            <w:tcBorders>
              <w:top w:val="nil"/>
              <w:left w:val="nil"/>
              <w:bottom w:val="single" w:color="auto" w:sz="4" w:space="0"/>
              <w:right w:val="single" w:color="auto" w:sz="4" w:space="0"/>
            </w:tcBorders>
            <w:shd w:val="clear" w:color="auto" w:fill="auto"/>
            <w:noWrap/>
            <w:vAlign w:val="center"/>
          </w:tcPr>
          <w:p w14:paraId="5606222C">
            <w:pPr>
              <w:spacing w:line="500" w:lineRule="exact"/>
              <w:jc w:val="left"/>
              <w:rPr>
                <w:rFonts w:hint="eastAsia" w:ascii="宋体" w:hAnsi="宋体" w:eastAsia="宋体" w:cs="宋体"/>
                <w:sz w:val="24"/>
              </w:rPr>
            </w:pPr>
            <w:r>
              <w:rPr>
                <w:rFonts w:hint="eastAsia" w:ascii="宋体" w:hAnsi="宋体" w:eastAsia="宋体" w:cs="宋体"/>
                <w:sz w:val="24"/>
              </w:rPr>
              <w:t>岛津</w:t>
            </w:r>
          </w:p>
        </w:tc>
        <w:tc>
          <w:tcPr>
            <w:tcW w:w="1614" w:type="dxa"/>
            <w:tcBorders>
              <w:top w:val="nil"/>
              <w:left w:val="nil"/>
              <w:bottom w:val="single" w:color="auto" w:sz="4" w:space="0"/>
              <w:right w:val="single" w:color="auto" w:sz="4" w:space="0"/>
            </w:tcBorders>
            <w:shd w:val="clear" w:color="auto" w:fill="auto"/>
            <w:noWrap/>
            <w:vAlign w:val="center"/>
          </w:tcPr>
          <w:p w14:paraId="4459E586">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71B4B356">
        <w:tblPrEx>
          <w:tblCellMar>
            <w:top w:w="0" w:type="dxa"/>
            <w:left w:w="108" w:type="dxa"/>
            <w:bottom w:w="0" w:type="dxa"/>
            <w:right w:w="108" w:type="dxa"/>
          </w:tblCellMar>
        </w:tblPrEx>
        <w:trPr>
          <w:trHeight w:val="280" w:hRule="atLeast"/>
        </w:trPr>
        <w:tc>
          <w:tcPr>
            <w:tcW w:w="1029" w:type="dxa"/>
            <w:tcBorders>
              <w:top w:val="nil"/>
              <w:left w:val="single" w:color="auto" w:sz="4" w:space="0"/>
              <w:bottom w:val="single" w:color="auto" w:sz="4" w:space="0"/>
              <w:right w:val="single" w:color="auto" w:sz="4" w:space="0"/>
            </w:tcBorders>
            <w:shd w:val="clear" w:color="auto" w:fill="auto"/>
            <w:noWrap/>
            <w:vAlign w:val="center"/>
          </w:tcPr>
          <w:p w14:paraId="3D953D0A">
            <w:pPr>
              <w:spacing w:line="500" w:lineRule="exact"/>
              <w:jc w:val="left"/>
              <w:rPr>
                <w:rFonts w:hint="eastAsia" w:ascii="宋体" w:hAnsi="宋体" w:eastAsia="宋体" w:cs="宋体"/>
                <w:sz w:val="24"/>
              </w:rPr>
            </w:pPr>
            <w:r>
              <w:rPr>
                <w:rFonts w:hint="eastAsia" w:ascii="宋体" w:hAnsi="宋体" w:eastAsia="宋体" w:cs="宋体"/>
                <w:sz w:val="24"/>
              </w:rPr>
              <w:t>5</w:t>
            </w:r>
          </w:p>
        </w:tc>
        <w:tc>
          <w:tcPr>
            <w:tcW w:w="2409" w:type="dxa"/>
            <w:tcBorders>
              <w:top w:val="nil"/>
              <w:left w:val="nil"/>
              <w:bottom w:val="single" w:color="auto" w:sz="4" w:space="0"/>
              <w:right w:val="single" w:color="auto" w:sz="4" w:space="0"/>
            </w:tcBorders>
            <w:shd w:val="clear" w:color="auto" w:fill="auto"/>
            <w:noWrap/>
            <w:vAlign w:val="center"/>
          </w:tcPr>
          <w:p w14:paraId="21538446">
            <w:pPr>
              <w:spacing w:line="500" w:lineRule="exact"/>
              <w:jc w:val="left"/>
              <w:rPr>
                <w:rFonts w:hint="eastAsia" w:ascii="宋体" w:hAnsi="宋体" w:eastAsia="宋体" w:cs="宋体"/>
                <w:sz w:val="24"/>
              </w:rPr>
            </w:pPr>
            <w:r>
              <w:rPr>
                <w:rFonts w:hint="eastAsia" w:ascii="宋体" w:hAnsi="宋体" w:eastAsia="宋体" w:cs="宋体"/>
                <w:sz w:val="24"/>
              </w:rPr>
              <w:t>气相质谱联用仪</w:t>
            </w:r>
          </w:p>
        </w:tc>
        <w:tc>
          <w:tcPr>
            <w:tcW w:w="1843" w:type="dxa"/>
            <w:tcBorders>
              <w:top w:val="nil"/>
              <w:left w:val="nil"/>
              <w:bottom w:val="single" w:color="auto" w:sz="4" w:space="0"/>
              <w:right w:val="single" w:color="auto" w:sz="4" w:space="0"/>
            </w:tcBorders>
            <w:shd w:val="clear" w:color="auto" w:fill="auto"/>
            <w:noWrap/>
            <w:vAlign w:val="center"/>
          </w:tcPr>
          <w:p w14:paraId="1C062A87">
            <w:pPr>
              <w:spacing w:line="500" w:lineRule="exact"/>
              <w:jc w:val="left"/>
              <w:rPr>
                <w:rFonts w:hint="eastAsia" w:ascii="宋体" w:hAnsi="宋体" w:eastAsia="宋体" w:cs="宋体"/>
                <w:sz w:val="24"/>
              </w:rPr>
            </w:pPr>
            <w:r>
              <w:rPr>
                <w:rFonts w:hint="eastAsia" w:ascii="宋体" w:hAnsi="宋体" w:eastAsia="宋体" w:cs="宋体"/>
                <w:sz w:val="24"/>
              </w:rPr>
              <w:t>QP-2020</w:t>
            </w:r>
          </w:p>
        </w:tc>
        <w:tc>
          <w:tcPr>
            <w:tcW w:w="1985" w:type="dxa"/>
            <w:tcBorders>
              <w:top w:val="nil"/>
              <w:left w:val="nil"/>
              <w:bottom w:val="single" w:color="auto" w:sz="4" w:space="0"/>
              <w:right w:val="single" w:color="auto" w:sz="4" w:space="0"/>
            </w:tcBorders>
            <w:shd w:val="clear" w:color="auto" w:fill="auto"/>
            <w:noWrap/>
            <w:vAlign w:val="center"/>
          </w:tcPr>
          <w:p w14:paraId="339A4041">
            <w:pPr>
              <w:spacing w:line="500" w:lineRule="exact"/>
              <w:jc w:val="left"/>
              <w:rPr>
                <w:rFonts w:hint="eastAsia" w:ascii="宋体" w:hAnsi="宋体" w:eastAsia="宋体" w:cs="宋体"/>
                <w:sz w:val="24"/>
              </w:rPr>
            </w:pPr>
            <w:r>
              <w:rPr>
                <w:rFonts w:hint="eastAsia" w:ascii="宋体" w:hAnsi="宋体" w:eastAsia="宋体" w:cs="宋体"/>
                <w:sz w:val="24"/>
              </w:rPr>
              <w:t>Shmadzu</w:t>
            </w:r>
          </w:p>
        </w:tc>
        <w:tc>
          <w:tcPr>
            <w:tcW w:w="1614" w:type="dxa"/>
            <w:tcBorders>
              <w:top w:val="nil"/>
              <w:left w:val="nil"/>
              <w:bottom w:val="single" w:color="auto" w:sz="4" w:space="0"/>
              <w:right w:val="single" w:color="auto" w:sz="4" w:space="0"/>
            </w:tcBorders>
            <w:shd w:val="clear" w:color="auto" w:fill="auto"/>
            <w:noWrap/>
            <w:vAlign w:val="center"/>
          </w:tcPr>
          <w:p w14:paraId="3F9FD4D5">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7DA6C758">
        <w:tblPrEx>
          <w:tblCellMar>
            <w:top w:w="0" w:type="dxa"/>
            <w:left w:w="108" w:type="dxa"/>
            <w:bottom w:w="0" w:type="dxa"/>
            <w:right w:w="108" w:type="dxa"/>
          </w:tblCellMar>
        </w:tblPrEx>
        <w:trPr>
          <w:trHeight w:val="280" w:hRule="atLeast"/>
        </w:trPr>
        <w:tc>
          <w:tcPr>
            <w:tcW w:w="1029" w:type="dxa"/>
            <w:tcBorders>
              <w:top w:val="nil"/>
              <w:left w:val="single" w:color="auto" w:sz="4" w:space="0"/>
              <w:bottom w:val="single" w:color="auto" w:sz="4" w:space="0"/>
              <w:right w:val="single" w:color="auto" w:sz="4" w:space="0"/>
            </w:tcBorders>
            <w:shd w:val="clear" w:color="auto" w:fill="auto"/>
            <w:noWrap/>
            <w:vAlign w:val="center"/>
          </w:tcPr>
          <w:p w14:paraId="3C50E0C8">
            <w:pPr>
              <w:spacing w:line="500" w:lineRule="exact"/>
              <w:jc w:val="left"/>
              <w:rPr>
                <w:rFonts w:hint="eastAsia" w:ascii="宋体" w:hAnsi="宋体" w:eastAsia="宋体" w:cs="宋体"/>
                <w:sz w:val="24"/>
              </w:rPr>
            </w:pPr>
            <w:r>
              <w:rPr>
                <w:rFonts w:hint="eastAsia" w:ascii="宋体" w:hAnsi="宋体" w:eastAsia="宋体" w:cs="宋体"/>
                <w:sz w:val="24"/>
              </w:rPr>
              <w:t>6</w:t>
            </w:r>
          </w:p>
        </w:tc>
        <w:tc>
          <w:tcPr>
            <w:tcW w:w="2409" w:type="dxa"/>
            <w:tcBorders>
              <w:top w:val="nil"/>
              <w:left w:val="nil"/>
              <w:bottom w:val="single" w:color="auto" w:sz="4" w:space="0"/>
              <w:right w:val="single" w:color="auto" w:sz="4" w:space="0"/>
            </w:tcBorders>
            <w:shd w:val="clear" w:color="auto" w:fill="auto"/>
            <w:noWrap/>
            <w:vAlign w:val="center"/>
          </w:tcPr>
          <w:p w14:paraId="05CC19EC">
            <w:pPr>
              <w:spacing w:line="500" w:lineRule="exact"/>
              <w:jc w:val="left"/>
              <w:rPr>
                <w:rFonts w:hint="eastAsia" w:ascii="宋体" w:hAnsi="宋体" w:eastAsia="宋体" w:cs="宋体"/>
                <w:sz w:val="24"/>
              </w:rPr>
            </w:pPr>
            <w:r>
              <w:rPr>
                <w:rFonts w:hint="eastAsia" w:ascii="宋体" w:hAnsi="宋体" w:eastAsia="宋体" w:cs="宋体"/>
                <w:sz w:val="24"/>
              </w:rPr>
              <w:t>气质联用仪</w:t>
            </w:r>
          </w:p>
        </w:tc>
        <w:tc>
          <w:tcPr>
            <w:tcW w:w="1843" w:type="dxa"/>
            <w:tcBorders>
              <w:top w:val="nil"/>
              <w:left w:val="nil"/>
              <w:bottom w:val="single" w:color="auto" w:sz="4" w:space="0"/>
              <w:right w:val="single" w:color="auto" w:sz="4" w:space="0"/>
            </w:tcBorders>
            <w:shd w:val="clear" w:color="auto" w:fill="auto"/>
            <w:noWrap/>
            <w:vAlign w:val="center"/>
          </w:tcPr>
          <w:p w14:paraId="020B2E3B">
            <w:pPr>
              <w:spacing w:line="500" w:lineRule="exact"/>
              <w:jc w:val="left"/>
              <w:rPr>
                <w:rFonts w:hint="eastAsia" w:ascii="宋体" w:hAnsi="宋体" w:eastAsia="宋体" w:cs="宋体"/>
                <w:sz w:val="24"/>
              </w:rPr>
            </w:pPr>
            <w:r>
              <w:rPr>
                <w:rFonts w:hint="eastAsia" w:ascii="宋体" w:hAnsi="宋体" w:eastAsia="宋体" w:cs="宋体"/>
                <w:sz w:val="24"/>
              </w:rPr>
              <w:t>TQ8040</w:t>
            </w:r>
          </w:p>
        </w:tc>
        <w:tc>
          <w:tcPr>
            <w:tcW w:w="1985" w:type="dxa"/>
            <w:tcBorders>
              <w:top w:val="nil"/>
              <w:left w:val="nil"/>
              <w:bottom w:val="single" w:color="auto" w:sz="4" w:space="0"/>
              <w:right w:val="single" w:color="auto" w:sz="4" w:space="0"/>
            </w:tcBorders>
            <w:shd w:val="clear" w:color="auto" w:fill="auto"/>
            <w:noWrap/>
            <w:vAlign w:val="center"/>
          </w:tcPr>
          <w:p w14:paraId="01F94975">
            <w:pPr>
              <w:spacing w:line="500" w:lineRule="exact"/>
              <w:jc w:val="left"/>
              <w:rPr>
                <w:rFonts w:hint="eastAsia" w:ascii="宋体" w:hAnsi="宋体" w:eastAsia="宋体" w:cs="宋体"/>
                <w:sz w:val="24"/>
              </w:rPr>
            </w:pPr>
            <w:r>
              <w:rPr>
                <w:rFonts w:hint="eastAsia" w:ascii="宋体" w:hAnsi="宋体" w:eastAsia="宋体" w:cs="宋体"/>
                <w:sz w:val="24"/>
              </w:rPr>
              <w:t>Shmadzu</w:t>
            </w:r>
          </w:p>
        </w:tc>
        <w:tc>
          <w:tcPr>
            <w:tcW w:w="1614" w:type="dxa"/>
            <w:tcBorders>
              <w:top w:val="nil"/>
              <w:left w:val="nil"/>
              <w:bottom w:val="single" w:color="auto" w:sz="4" w:space="0"/>
              <w:right w:val="single" w:color="auto" w:sz="4" w:space="0"/>
            </w:tcBorders>
            <w:shd w:val="clear" w:color="auto" w:fill="auto"/>
            <w:noWrap/>
            <w:vAlign w:val="center"/>
          </w:tcPr>
          <w:p w14:paraId="5383AD93">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55A04E94">
        <w:tblPrEx>
          <w:tblCellMar>
            <w:top w:w="0" w:type="dxa"/>
            <w:left w:w="108" w:type="dxa"/>
            <w:bottom w:w="0" w:type="dxa"/>
            <w:right w:w="108" w:type="dxa"/>
          </w:tblCellMar>
        </w:tblPrEx>
        <w:trPr>
          <w:trHeight w:val="280" w:hRule="atLeast"/>
        </w:trPr>
        <w:tc>
          <w:tcPr>
            <w:tcW w:w="1029" w:type="dxa"/>
            <w:tcBorders>
              <w:top w:val="nil"/>
              <w:left w:val="single" w:color="auto" w:sz="4" w:space="0"/>
              <w:bottom w:val="single" w:color="auto" w:sz="4" w:space="0"/>
              <w:right w:val="single" w:color="auto" w:sz="4" w:space="0"/>
            </w:tcBorders>
            <w:shd w:val="clear" w:color="auto" w:fill="auto"/>
            <w:noWrap/>
            <w:vAlign w:val="center"/>
          </w:tcPr>
          <w:p w14:paraId="023A8990">
            <w:pPr>
              <w:spacing w:line="500" w:lineRule="exact"/>
              <w:jc w:val="left"/>
              <w:rPr>
                <w:rFonts w:hint="eastAsia" w:ascii="宋体" w:hAnsi="宋体" w:eastAsia="宋体" w:cs="宋体"/>
                <w:sz w:val="24"/>
              </w:rPr>
            </w:pPr>
            <w:r>
              <w:rPr>
                <w:rFonts w:hint="eastAsia" w:ascii="宋体" w:hAnsi="宋体" w:eastAsia="宋体" w:cs="宋体"/>
                <w:sz w:val="24"/>
              </w:rPr>
              <w:t>7</w:t>
            </w:r>
          </w:p>
        </w:tc>
        <w:tc>
          <w:tcPr>
            <w:tcW w:w="2409" w:type="dxa"/>
            <w:tcBorders>
              <w:top w:val="nil"/>
              <w:left w:val="nil"/>
              <w:bottom w:val="single" w:color="auto" w:sz="4" w:space="0"/>
              <w:right w:val="single" w:color="auto" w:sz="4" w:space="0"/>
            </w:tcBorders>
            <w:shd w:val="clear" w:color="auto" w:fill="auto"/>
            <w:noWrap/>
            <w:vAlign w:val="center"/>
          </w:tcPr>
          <w:p w14:paraId="1ABBFFE7">
            <w:pPr>
              <w:spacing w:line="500" w:lineRule="exact"/>
              <w:jc w:val="left"/>
              <w:rPr>
                <w:rFonts w:hint="eastAsia" w:ascii="宋体" w:hAnsi="宋体" w:eastAsia="宋体" w:cs="宋体"/>
                <w:sz w:val="24"/>
              </w:rPr>
            </w:pPr>
            <w:r>
              <w:rPr>
                <w:rFonts w:hint="eastAsia" w:ascii="宋体" w:hAnsi="宋体" w:eastAsia="宋体" w:cs="宋体"/>
                <w:sz w:val="24"/>
              </w:rPr>
              <w:t>Waters高分辨液质</w:t>
            </w:r>
          </w:p>
        </w:tc>
        <w:tc>
          <w:tcPr>
            <w:tcW w:w="1843" w:type="dxa"/>
            <w:tcBorders>
              <w:top w:val="nil"/>
              <w:left w:val="nil"/>
              <w:bottom w:val="single" w:color="auto" w:sz="4" w:space="0"/>
              <w:right w:val="single" w:color="auto" w:sz="4" w:space="0"/>
            </w:tcBorders>
            <w:shd w:val="clear" w:color="auto" w:fill="auto"/>
            <w:noWrap/>
            <w:vAlign w:val="center"/>
          </w:tcPr>
          <w:p w14:paraId="3955094D">
            <w:pPr>
              <w:spacing w:line="500" w:lineRule="exact"/>
              <w:jc w:val="left"/>
              <w:rPr>
                <w:rFonts w:hint="eastAsia" w:ascii="宋体" w:hAnsi="宋体" w:eastAsia="宋体" w:cs="宋体"/>
                <w:sz w:val="24"/>
              </w:rPr>
            </w:pPr>
            <w:r>
              <w:rPr>
                <w:rFonts w:hint="eastAsia" w:ascii="宋体" w:hAnsi="宋体" w:eastAsia="宋体" w:cs="宋体"/>
                <w:sz w:val="24"/>
              </w:rPr>
              <w:t>Waters Xevo G2-XS QTof/Tof</w:t>
            </w:r>
          </w:p>
        </w:tc>
        <w:tc>
          <w:tcPr>
            <w:tcW w:w="1985" w:type="dxa"/>
            <w:tcBorders>
              <w:top w:val="nil"/>
              <w:left w:val="nil"/>
              <w:bottom w:val="single" w:color="auto" w:sz="4" w:space="0"/>
              <w:right w:val="single" w:color="auto" w:sz="4" w:space="0"/>
            </w:tcBorders>
            <w:shd w:val="clear" w:color="auto" w:fill="auto"/>
            <w:noWrap/>
            <w:vAlign w:val="center"/>
          </w:tcPr>
          <w:p w14:paraId="0E52AB4A">
            <w:pPr>
              <w:spacing w:line="500" w:lineRule="exact"/>
              <w:jc w:val="left"/>
              <w:rPr>
                <w:rFonts w:hint="eastAsia" w:ascii="宋体" w:hAnsi="宋体" w:eastAsia="宋体" w:cs="宋体"/>
                <w:sz w:val="24"/>
              </w:rPr>
            </w:pPr>
            <w:r>
              <w:rPr>
                <w:rFonts w:hint="eastAsia" w:ascii="宋体" w:hAnsi="宋体" w:eastAsia="宋体" w:cs="宋体"/>
                <w:sz w:val="24"/>
              </w:rPr>
              <w:t>Waters</w:t>
            </w:r>
          </w:p>
        </w:tc>
        <w:tc>
          <w:tcPr>
            <w:tcW w:w="1614" w:type="dxa"/>
            <w:tcBorders>
              <w:top w:val="nil"/>
              <w:left w:val="nil"/>
              <w:bottom w:val="single" w:color="auto" w:sz="4" w:space="0"/>
              <w:right w:val="single" w:color="auto" w:sz="4" w:space="0"/>
            </w:tcBorders>
            <w:shd w:val="clear" w:color="auto" w:fill="auto"/>
            <w:noWrap/>
            <w:vAlign w:val="center"/>
          </w:tcPr>
          <w:p w14:paraId="1481E0F8">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71310AFF">
        <w:tblPrEx>
          <w:tblCellMar>
            <w:top w:w="0" w:type="dxa"/>
            <w:left w:w="108" w:type="dxa"/>
            <w:bottom w:w="0" w:type="dxa"/>
            <w:right w:w="108" w:type="dxa"/>
          </w:tblCellMar>
        </w:tblPrEx>
        <w:trPr>
          <w:trHeight w:val="280" w:hRule="atLeast"/>
        </w:trPr>
        <w:tc>
          <w:tcPr>
            <w:tcW w:w="1029" w:type="dxa"/>
            <w:tcBorders>
              <w:top w:val="nil"/>
              <w:left w:val="single" w:color="auto" w:sz="4" w:space="0"/>
              <w:bottom w:val="single" w:color="auto" w:sz="4" w:space="0"/>
              <w:right w:val="single" w:color="auto" w:sz="4" w:space="0"/>
            </w:tcBorders>
            <w:shd w:val="clear" w:color="auto" w:fill="auto"/>
            <w:noWrap/>
            <w:vAlign w:val="center"/>
          </w:tcPr>
          <w:p w14:paraId="01F35E5C">
            <w:pPr>
              <w:spacing w:line="500" w:lineRule="exact"/>
              <w:jc w:val="left"/>
              <w:rPr>
                <w:rFonts w:hint="eastAsia" w:ascii="宋体" w:hAnsi="宋体" w:eastAsia="宋体" w:cs="宋体"/>
                <w:sz w:val="24"/>
              </w:rPr>
            </w:pPr>
            <w:r>
              <w:rPr>
                <w:rFonts w:hint="eastAsia" w:ascii="宋体" w:hAnsi="宋体" w:eastAsia="宋体" w:cs="宋体"/>
                <w:sz w:val="24"/>
              </w:rPr>
              <w:t>8</w:t>
            </w:r>
          </w:p>
        </w:tc>
        <w:tc>
          <w:tcPr>
            <w:tcW w:w="2409" w:type="dxa"/>
            <w:tcBorders>
              <w:top w:val="nil"/>
              <w:left w:val="nil"/>
              <w:bottom w:val="single" w:color="auto" w:sz="4" w:space="0"/>
              <w:right w:val="single" w:color="auto" w:sz="4" w:space="0"/>
            </w:tcBorders>
            <w:shd w:val="clear" w:color="auto" w:fill="auto"/>
            <w:noWrap/>
            <w:vAlign w:val="center"/>
          </w:tcPr>
          <w:p w14:paraId="707793AF">
            <w:pPr>
              <w:spacing w:line="500" w:lineRule="exact"/>
              <w:jc w:val="left"/>
              <w:rPr>
                <w:rFonts w:hint="eastAsia" w:ascii="宋体" w:hAnsi="宋体" w:eastAsia="宋体" w:cs="宋体"/>
                <w:sz w:val="24"/>
              </w:rPr>
            </w:pPr>
            <w:r>
              <w:rPr>
                <w:rFonts w:hint="eastAsia" w:ascii="宋体" w:hAnsi="宋体" w:eastAsia="宋体" w:cs="宋体"/>
                <w:sz w:val="24"/>
              </w:rPr>
              <w:t>气相色谱仪</w:t>
            </w:r>
          </w:p>
        </w:tc>
        <w:tc>
          <w:tcPr>
            <w:tcW w:w="1843" w:type="dxa"/>
            <w:tcBorders>
              <w:top w:val="nil"/>
              <w:left w:val="nil"/>
              <w:bottom w:val="single" w:color="auto" w:sz="4" w:space="0"/>
              <w:right w:val="single" w:color="auto" w:sz="4" w:space="0"/>
            </w:tcBorders>
            <w:shd w:val="clear" w:color="auto" w:fill="auto"/>
            <w:noWrap/>
            <w:vAlign w:val="center"/>
          </w:tcPr>
          <w:p w14:paraId="36699D7C">
            <w:pPr>
              <w:spacing w:line="500" w:lineRule="exact"/>
              <w:jc w:val="left"/>
              <w:rPr>
                <w:rFonts w:hint="eastAsia" w:ascii="宋体" w:hAnsi="宋体" w:eastAsia="宋体" w:cs="宋体"/>
                <w:sz w:val="24"/>
              </w:rPr>
            </w:pPr>
            <w:r>
              <w:rPr>
                <w:rFonts w:hint="eastAsia" w:ascii="宋体" w:hAnsi="宋体" w:eastAsia="宋体" w:cs="宋体"/>
                <w:sz w:val="24"/>
              </w:rPr>
              <w:t>GC-2010PLUS</w:t>
            </w:r>
          </w:p>
        </w:tc>
        <w:tc>
          <w:tcPr>
            <w:tcW w:w="1985" w:type="dxa"/>
            <w:tcBorders>
              <w:top w:val="nil"/>
              <w:left w:val="nil"/>
              <w:bottom w:val="single" w:color="auto" w:sz="4" w:space="0"/>
              <w:right w:val="single" w:color="auto" w:sz="4" w:space="0"/>
            </w:tcBorders>
            <w:shd w:val="clear" w:color="auto" w:fill="auto"/>
            <w:noWrap/>
            <w:vAlign w:val="center"/>
          </w:tcPr>
          <w:p w14:paraId="0CCB60A9">
            <w:pPr>
              <w:spacing w:line="500" w:lineRule="exact"/>
              <w:jc w:val="left"/>
              <w:rPr>
                <w:rFonts w:hint="eastAsia" w:ascii="宋体" w:hAnsi="宋体" w:eastAsia="宋体" w:cs="宋体"/>
                <w:sz w:val="24"/>
              </w:rPr>
            </w:pPr>
            <w:r>
              <w:rPr>
                <w:rFonts w:hint="eastAsia" w:ascii="宋体" w:hAnsi="宋体" w:eastAsia="宋体" w:cs="宋体"/>
                <w:sz w:val="24"/>
              </w:rPr>
              <w:t>Shmadzu</w:t>
            </w:r>
          </w:p>
        </w:tc>
        <w:tc>
          <w:tcPr>
            <w:tcW w:w="1614" w:type="dxa"/>
            <w:tcBorders>
              <w:top w:val="nil"/>
              <w:left w:val="nil"/>
              <w:bottom w:val="single" w:color="auto" w:sz="4" w:space="0"/>
              <w:right w:val="single" w:color="auto" w:sz="4" w:space="0"/>
            </w:tcBorders>
            <w:shd w:val="clear" w:color="auto" w:fill="auto"/>
            <w:noWrap/>
            <w:vAlign w:val="center"/>
          </w:tcPr>
          <w:p w14:paraId="7147F93A">
            <w:pPr>
              <w:spacing w:line="500" w:lineRule="exact"/>
              <w:jc w:val="left"/>
              <w:rPr>
                <w:rFonts w:hint="eastAsia" w:ascii="宋体" w:hAnsi="宋体" w:eastAsia="宋体" w:cs="宋体"/>
                <w:sz w:val="24"/>
              </w:rPr>
            </w:pPr>
            <w:r>
              <w:rPr>
                <w:rFonts w:hint="eastAsia" w:ascii="宋体" w:hAnsi="宋体" w:eastAsia="宋体" w:cs="宋体"/>
                <w:sz w:val="24"/>
              </w:rPr>
              <w:t>1套</w:t>
            </w:r>
          </w:p>
        </w:tc>
      </w:tr>
      <w:tr w14:paraId="3FD50550">
        <w:tblPrEx>
          <w:tblCellMar>
            <w:top w:w="0" w:type="dxa"/>
            <w:left w:w="108" w:type="dxa"/>
            <w:bottom w:w="0" w:type="dxa"/>
            <w:right w:w="108" w:type="dxa"/>
          </w:tblCellMar>
        </w:tblPrEx>
        <w:trPr>
          <w:trHeight w:val="280" w:hRule="atLeast"/>
        </w:trPr>
        <w:tc>
          <w:tcPr>
            <w:tcW w:w="1029" w:type="dxa"/>
            <w:tcBorders>
              <w:top w:val="nil"/>
              <w:left w:val="single" w:color="auto" w:sz="4" w:space="0"/>
              <w:bottom w:val="single" w:color="auto" w:sz="4" w:space="0"/>
              <w:right w:val="single" w:color="auto" w:sz="4" w:space="0"/>
            </w:tcBorders>
            <w:shd w:val="clear" w:color="auto" w:fill="auto"/>
            <w:noWrap/>
            <w:vAlign w:val="center"/>
          </w:tcPr>
          <w:p w14:paraId="017FCC41">
            <w:pPr>
              <w:spacing w:line="500" w:lineRule="exact"/>
              <w:jc w:val="left"/>
              <w:rPr>
                <w:rFonts w:hint="eastAsia" w:ascii="宋体" w:hAnsi="宋体" w:eastAsia="宋体" w:cs="宋体"/>
                <w:sz w:val="24"/>
              </w:rPr>
            </w:pPr>
            <w:r>
              <w:rPr>
                <w:rFonts w:hint="eastAsia" w:ascii="宋体" w:hAnsi="宋体" w:eastAsia="宋体" w:cs="宋体"/>
                <w:sz w:val="24"/>
              </w:rPr>
              <w:t>9</w:t>
            </w:r>
          </w:p>
        </w:tc>
        <w:tc>
          <w:tcPr>
            <w:tcW w:w="2409" w:type="dxa"/>
            <w:tcBorders>
              <w:top w:val="nil"/>
              <w:left w:val="nil"/>
              <w:bottom w:val="single" w:color="auto" w:sz="4" w:space="0"/>
              <w:right w:val="single" w:color="auto" w:sz="4" w:space="0"/>
            </w:tcBorders>
            <w:shd w:val="clear" w:color="auto" w:fill="auto"/>
            <w:noWrap/>
            <w:vAlign w:val="center"/>
          </w:tcPr>
          <w:p w14:paraId="1ECB9795">
            <w:pPr>
              <w:spacing w:line="500" w:lineRule="exact"/>
              <w:jc w:val="left"/>
              <w:rPr>
                <w:rFonts w:hint="eastAsia" w:ascii="宋体" w:hAnsi="宋体" w:eastAsia="宋体" w:cs="宋体"/>
                <w:sz w:val="24"/>
              </w:rPr>
            </w:pPr>
            <w:r>
              <w:rPr>
                <w:rFonts w:hint="eastAsia" w:ascii="宋体" w:hAnsi="宋体" w:eastAsia="宋体" w:cs="宋体"/>
                <w:sz w:val="24"/>
              </w:rPr>
              <w:t>顶空分析仪</w:t>
            </w:r>
          </w:p>
        </w:tc>
        <w:tc>
          <w:tcPr>
            <w:tcW w:w="1843" w:type="dxa"/>
            <w:tcBorders>
              <w:top w:val="nil"/>
              <w:left w:val="nil"/>
              <w:bottom w:val="single" w:color="auto" w:sz="4" w:space="0"/>
              <w:right w:val="single" w:color="auto" w:sz="4" w:space="0"/>
            </w:tcBorders>
            <w:shd w:val="clear" w:color="auto" w:fill="auto"/>
            <w:noWrap/>
            <w:vAlign w:val="center"/>
          </w:tcPr>
          <w:p w14:paraId="0382EAED">
            <w:pPr>
              <w:spacing w:line="500" w:lineRule="exact"/>
              <w:jc w:val="left"/>
              <w:rPr>
                <w:rFonts w:hint="eastAsia" w:ascii="宋体" w:hAnsi="宋体" w:eastAsia="宋体" w:cs="宋体"/>
                <w:sz w:val="24"/>
              </w:rPr>
            </w:pPr>
            <w:r>
              <w:rPr>
                <w:rFonts w:hint="eastAsia" w:ascii="宋体" w:hAnsi="宋体" w:eastAsia="宋体" w:cs="宋体"/>
                <w:sz w:val="24"/>
              </w:rPr>
              <w:t>HS-20 LOOP</w:t>
            </w:r>
          </w:p>
        </w:tc>
        <w:tc>
          <w:tcPr>
            <w:tcW w:w="1985" w:type="dxa"/>
            <w:tcBorders>
              <w:top w:val="nil"/>
              <w:left w:val="nil"/>
              <w:bottom w:val="single" w:color="auto" w:sz="4" w:space="0"/>
              <w:right w:val="single" w:color="auto" w:sz="4" w:space="0"/>
            </w:tcBorders>
            <w:shd w:val="clear" w:color="auto" w:fill="auto"/>
            <w:noWrap/>
            <w:vAlign w:val="center"/>
          </w:tcPr>
          <w:p w14:paraId="507B4320">
            <w:pPr>
              <w:spacing w:line="500" w:lineRule="exact"/>
              <w:jc w:val="left"/>
              <w:rPr>
                <w:rFonts w:hint="eastAsia" w:ascii="宋体" w:hAnsi="宋体" w:eastAsia="宋体" w:cs="宋体"/>
                <w:sz w:val="24"/>
              </w:rPr>
            </w:pPr>
            <w:r>
              <w:rPr>
                <w:rFonts w:hint="eastAsia" w:ascii="宋体" w:hAnsi="宋体" w:eastAsia="宋体" w:cs="宋体"/>
                <w:sz w:val="24"/>
              </w:rPr>
              <w:t>Shmadzu</w:t>
            </w:r>
          </w:p>
        </w:tc>
        <w:tc>
          <w:tcPr>
            <w:tcW w:w="1614" w:type="dxa"/>
            <w:tcBorders>
              <w:top w:val="nil"/>
              <w:left w:val="nil"/>
              <w:bottom w:val="single" w:color="auto" w:sz="4" w:space="0"/>
              <w:right w:val="single" w:color="auto" w:sz="4" w:space="0"/>
            </w:tcBorders>
            <w:shd w:val="clear" w:color="auto" w:fill="auto"/>
            <w:noWrap/>
            <w:vAlign w:val="center"/>
          </w:tcPr>
          <w:p w14:paraId="23CB0D96">
            <w:pPr>
              <w:spacing w:line="500" w:lineRule="exact"/>
              <w:jc w:val="left"/>
              <w:rPr>
                <w:rFonts w:hint="eastAsia" w:ascii="宋体" w:hAnsi="宋体" w:eastAsia="宋体" w:cs="宋体"/>
                <w:sz w:val="24"/>
              </w:rPr>
            </w:pPr>
            <w:r>
              <w:rPr>
                <w:rFonts w:hint="eastAsia" w:ascii="宋体" w:hAnsi="宋体" w:eastAsia="宋体" w:cs="宋体"/>
                <w:sz w:val="24"/>
              </w:rPr>
              <w:t>1套</w:t>
            </w:r>
          </w:p>
        </w:tc>
      </w:tr>
    </w:tbl>
    <w:p w14:paraId="6A39B563">
      <w:pPr>
        <w:spacing w:before="124" w:after="124" w:line="360" w:lineRule="auto"/>
        <w:ind w:firstLine="480" w:firstLineChars="200"/>
      </w:pPr>
      <w:r>
        <w:rPr>
          <w:rFonts w:hint="eastAsia" w:ascii="宋体" w:hAnsi="宋体" w:cs="宋体"/>
          <w:sz w:val="24"/>
        </w:rPr>
        <w:t>注：本项目为跨年度项目。</w:t>
      </w:r>
    </w:p>
    <w:p w14:paraId="42F08350">
      <w:pPr>
        <w:pStyle w:val="7"/>
        <w:spacing w:line="360" w:lineRule="auto"/>
        <w:outlineLvl w:val="1"/>
        <w:rPr>
          <w:rFonts w:hint="eastAsia" w:hAnsi="宋体" w:cs="宋体"/>
          <w:b/>
          <w:sz w:val="24"/>
          <w:szCs w:val="24"/>
        </w:rPr>
      </w:pPr>
      <w:r>
        <w:rPr>
          <w:rFonts w:hint="eastAsia" w:hAnsi="宋体" w:cs="宋体"/>
          <w:b/>
          <w:sz w:val="24"/>
          <w:szCs w:val="24"/>
        </w:rPr>
        <w:t xml:space="preserve">2、服务响应时间及方式 </w:t>
      </w:r>
    </w:p>
    <w:p w14:paraId="1FEA6091">
      <w:pPr>
        <w:tabs>
          <w:tab w:val="left" w:pos="1080"/>
          <w:tab w:val="left" w:pos="1440"/>
        </w:tabs>
        <w:snapToGrid w:val="0"/>
        <w:spacing w:line="360" w:lineRule="auto"/>
        <w:ind w:firstLine="482" w:firstLineChars="200"/>
        <w:rPr>
          <w:rFonts w:hint="eastAsia" w:ascii="宋体" w:hAnsi="宋体" w:cs="宋体"/>
          <w:sz w:val="24"/>
        </w:rPr>
      </w:pPr>
      <w:r>
        <w:rPr>
          <w:rFonts w:hint="eastAsia" w:ascii="宋体" w:hAnsi="宋体" w:cs="宋体"/>
          <w:b/>
          <w:bCs/>
          <w:sz w:val="24"/>
        </w:rPr>
        <w:t>投标人必须提供及时响应服务能力。</w:t>
      </w:r>
      <w:r>
        <w:rPr>
          <w:rFonts w:hint="eastAsia" w:ascii="宋体" w:hAnsi="宋体" w:cs="宋体"/>
          <w:sz w:val="24"/>
        </w:rPr>
        <w:t>服务人员在接到采购人通知后，先采取电话、微信、钉钉等及时通讯工具进行远程技术支持，如问题无法解决则在指定时效内到达现场提供现场技术支持服务进行异常处理。</w:t>
      </w:r>
    </w:p>
    <w:tbl>
      <w:tblPr>
        <w:tblStyle w:val="13"/>
        <w:tblW w:w="84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7"/>
        <w:gridCol w:w="6254"/>
      </w:tblGrid>
      <w:tr w14:paraId="39F31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shd w:val="clear" w:color="auto" w:fill="9CC2E5"/>
            <w:vAlign w:val="center"/>
          </w:tcPr>
          <w:p w14:paraId="7D875F9B">
            <w:pPr>
              <w:spacing w:line="360" w:lineRule="auto"/>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服务响应方式</w:t>
            </w:r>
          </w:p>
        </w:tc>
        <w:tc>
          <w:tcPr>
            <w:tcW w:w="6254" w:type="dxa"/>
            <w:tcBorders>
              <w:top w:val="single" w:color="auto" w:sz="4" w:space="0"/>
              <w:left w:val="single" w:color="auto" w:sz="4" w:space="0"/>
              <w:bottom w:val="single" w:color="auto" w:sz="4" w:space="0"/>
              <w:right w:val="single" w:color="auto" w:sz="4" w:space="0"/>
            </w:tcBorders>
            <w:shd w:val="clear" w:color="auto" w:fill="9CC2E5"/>
          </w:tcPr>
          <w:p w14:paraId="4D6BC1B5">
            <w:pPr>
              <w:spacing w:line="360" w:lineRule="auto"/>
              <w:rPr>
                <w:rFonts w:hint="eastAsia" w:ascii="宋体" w:hAnsi="宋体" w:cs="宋体"/>
                <w:sz w:val="24"/>
              </w:rPr>
            </w:pPr>
            <w:r>
              <w:rPr>
                <w:rFonts w:hint="eastAsia" w:ascii="宋体" w:hAnsi="宋体" w:cs="宋体"/>
                <w:sz w:val="24"/>
              </w:rPr>
              <w:t>指标描述</w:t>
            </w:r>
          </w:p>
        </w:tc>
      </w:tr>
      <w:tr w14:paraId="5EE52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3D7D197A">
            <w:pPr>
              <w:spacing w:line="360" w:lineRule="auto"/>
              <w:rPr>
                <w:rFonts w:hint="eastAsia" w:ascii="宋体" w:hAnsi="宋体" w:cs="宋体"/>
                <w:sz w:val="24"/>
              </w:rPr>
            </w:pPr>
            <w:r>
              <w:rPr>
                <w:rFonts w:hint="eastAsia" w:ascii="宋体" w:hAnsi="宋体" w:cs="宋体"/>
                <w:sz w:val="24"/>
              </w:rPr>
              <w:t>一般状况（一般故障）</w:t>
            </w:r>
          </w:p>
        </w:tc>
        <w:tc>
          <w:tcPr>
            <w:tcW w:w="6254" w:type="dxa"/>
            <w:tcBorders>
              <w:top w:val="single" w:color="auto" w:sz="4" w:space="0"/>
              <w:left w:val="single" w:color="auto" w:sz="4" w:space="0"/>
              <w:bottom w:val="single" w:color="auto" w:sz="4" w:space="0"/>
              <w:right w:val="single" w:color="auto" w:sz="4" w:space="0"/>
            </w:tcBorders>
          </w:tcPr>
          <w:p w14:paraId="03473C69">
            <w:pPr>
              <w:spacing w:line="360" w:lineRule="auto"/>
              <w:rPr>
                <w:rFonts w:hint="eastAsia" w:ascii="宋体" w:hAnsi="宋体" w:cs="宋体"/>
                <w:sz w:val="24"/>
              </w:rPr>
            </w:pPr>
            <w:r>
              <w:rPr>
                <w:rFonts w:hint="eastAsia" w:ascii="宋体" w:hAnsi="宋体" w:cs="宋体"/>
                <w:bCs/>
                <w:sz w:val="24"/>
              </w:rPr>
              <w:t>接到电话通知后，必须</w:t>
            </w:r>
            <w:r>
              <w:rPr>
                <w:rFonts w:ascii="宋体" w:hAnsi="宋体" w:cs="宋体"/>
                <w:bCs/>
                <w:sz w:val="24"/>
              </w:rPr>
              <w:t>2</w:t>
            </w:r>
            <w:r>
              <w:rPr>
                <w:rFonts w:hint="eastAsia" w:ascii="宋体" w:hAnsi="宋体" w:cs="宋体"/>
                <w:bCs/>
                <w:sz w:val="24"/>
              </w:rPr>
              <w:t>小时内做出响应，</w:t>
            </w:r>
            <w:r>
              <w:rPr>
                <w:rFonts w:ascii="宋体" w:hAnsi="宋体" w:cs="宋体"/>
                <w:bCs/>
                <w:sz w:val="24"/>
              </w:rPr>
              <w:t>1</w:t>
            </w:r>
            <w:r>
              <w:rPr>
                <w:rFonts w:hint="eastAsia" w:ascii="宋体" w:hAnsi="宋体" w:cs="宋体"/>
                <w:bCs/>
                <w:sz w:val="24"/>
              </w:rPr>
              <w:t>天内到达现场，</w:t>
            </w:r>
            <w:r>
              <w:rPr>
                <w:rFonts w:ascii="宋体" w:hAnsi="宋体" w:cs="宋体"/>
                <w:bCs/>
                <w:sz w:val="24"/>
              </w:rPr>
              <w:t>1</w:t>
            </w:r>
            <w:r>
              <w:rPr>
                <w:rFonts w:hint="eastAsia" w:ascii="宋体" w:hAnsi="宋体" w:cs="宋体"/>
                <w:bCs/>
                <w:sz w:val="24"/>
              </w:rPr>
              <w:t>周解决问题。</w:t>
            </w:r>
          </w:p>
        </w:tc>
      </w:tr>
      <w:tr w14:paraId="19B73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1850156B">
            <w:pPr>
              <w:spacing w:line="360" w:lineRule="auto"/>
              <w:rPr>
                <w:rFonts w:hint="eastAsia" w:ascii="宋体" w:hAnsi="宋体" w:cs="宋体"/>
                <w:sz w:val="24"/>
              </w:rPr>
            </w:pPr>
            <w:r>
              <w:rPr>
                <w:rFonts w:hint="eastAsia" w:ascii="宋体" w:hAnsi="宋体" w:cs="宋体"/>
                <w:sz w:val="24"/>
              </w:rPr>
              <w:t>紧急状况（严重故障）</w:t>
            </w:r>
          </w:p>
        </w:tc>
        <w:tc>
          <w:tcPr>
            <w:tcW w:w="6254" w:type="dxa"/>
            <w:tcBorders>
              <w:top w:val="single" w:color="auto" w:sz="4" w:space="0"/>
              <w:left w:val="single" w:color="auto" w:sz="4" w:space="0"/>
              <w:bottom w:val="single" w:color="auto" w:sz="4" w:space="0"/>
              <w:right w:val="single" w:color="auto" w:sz="4" w:space="0"/>
            </w:tcBorders>
          </w:tcPr>
          <w:p w14:paraId="53525C99">
            <w:pPr>
              <w:spacing w:line="360" w:lineRule="auto"/>
              <w:rPr>
                <w:rFonts w:hint="eastAsia" w:ascii="宋体" w:hAnsi="宋体" w:cs="宋体"/>
                <w:sz w:val="24"/>
              </w:rPr>
            </w:pPr>
            <w:r>
              <w:rPr>
                <w:rFonts w:hint="eastAsia" w:ascii="宋体" w:hAnsi="宋体" w:cs="宋体"/>
                <w:bCs/>
                <w:sz w:val="24"/>
              </w:rPr>
              <w:t>接到电话通知后，必须</w:t>
            </w:r>
            <w:r>
              <w:rPr>
                <w:rFonts w:ascii="宋体" w:hAnsi="宋体" w:cs="宋体"/>
                <w:bCs/>
                <w:sz w:val="24"/>
              </w:rPr>
              <w:t>1</w:t>
            </w:r>
            <w:r>
              <w:rPr>
                <w:rFonts w:hint="eastAsia" w:ascii="宋体" w:hAnsi="宋体" w:cs="宋体"/>
                <w:bCs/>
                <w:sz w:val="24"/>
              </w:rPr>
              <w:t>小时内做出响应，1天内到达现场,</w:t>
            </w:r>
            <w:r>
              <w:rPr>
                <w:rFonts w:ascii="宋体" w:hAnsi="宋体" w:cs="宋体"/>
                <w:bCs/>
                <w:sz w:val="24"/>
              </w:rPr>
              <w:t>3</w:t>
            </w:r>
            <w:r>
              <w:rPr>
                <w:rFonts w:hint="eastAsia" w:ascii="宋体" w:hAnsi="宋体" w:cs="宋体"/>
                <w:bCs/>
                <w:sz w:val="24"/>
              </w:rPr>
              <w:t>天解决问题。</w:t>
            </w:r>
          </w:p>
        </w:tc>
      </w:tr>
    </w:tbl>
    <w:p w14:paraId="241169D9">
      <w:pPr>
        <w:pStyle w:val="7"/>
        <w:spacing w:line="360" w:lineRule="auto"/>
        <w:outlineLvl w:val="1"/>
        <w:rPr>
          <w:rFonts w:hint="eastAsia" w:hAnsi="宋体" w:cs="宋体"/>
          <w:b/>
          <w:sz w:val="24"/>
          <w:szCs w:val="24"/>
        </w:rPr>
      </w:pPr>
      <w:r>
        <w:rPr>
          <w:rFonts w:hint="eastAsia" w:hAnsi="宋体" w:cs="宋体"/>
          <w:b/>
          <w:sz w:val="24"/>
          <w:szCs w:val="24"/>
        </w:rPr>
        <w:t>3、递交的项目文档报告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3352"/>
        <w:gridCol w:w="2710"/>
      </w:tblGrid>
      <w:tr w14:paraId="5723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3" w:type="dxa"/>
          </w:tcPr>
          <w:p w14:paraId="4B16744F">
            <w:pPr>
              <w:spacing w:before="124" w:after="124" w:line="360" w:lineRule="auto"/>
              <w:rPr>
                <w:rFonts w:hint="eastAsia" w:ascii="宋体" w:hAnsi="宋体" w:cs="宋体"/>
                <w:bCs/>
                <w:color w:val="000000"/>
                <w:sz w:val="24"/>
              </w:rPr>
            </w:pPr>
            <w:r>
              <w:rPr>
                <w:rFonts w:hint="eastAsia" w:ascii="宋体" w:hAnsi="宋体" w:cs="宋体"/>
                <w:bCs/>
                <w:color w:val="000000"/>
                <w:sz w:val="24"/>
              </w:rPr>
              <w:t>文档名称</w:t>
            </w:r>
          </w:p>
        </w:tc>
        <w:tc>
          <w:tcPr>
            <w:tcW w:w="3352" w:type="dxa"/>
          </w:tcPr>
          <w:p w14:paraId="3778E9AB">
            <w:pPr>
              <w:spacing w:before="124" w:after="124" w:line="360" w:lineRule="auto"/>
              <w:rPr>
                <w:rFonts w:hint="eastAsia" w:ascii="宋体" w:hAnsi="宋体" w:cs="宋体"/>
                <w:bCs/>
                <w:color w:val="000000"/>
                <w:sz w:val="24"/>
              </w:rPr>
            </w:pPr>
            <w:r>
              <w:rPr>
                <w:rFonts w:hint="eastAsia" w:ascii="宋体" w:hAnsi="宋体" w:cs="宋体"/>
                <w:bCs/>
                <w:color w:val="000000"/>
                <w:sz w:val="24"/>
              </w:rPr>
              <w:t>文档内容</w:t>
            </w:r>
          </w:p>
        </w:tc>
        <w:tc>
          <w:tcPr>
            <w:tcW w:w="2710" w:type="dxa"/>
          </w:tcPr>
          <w:p w14:paraId="34A91F56">
            <w:pPr>
              <w:spacing w:before="124" w:after="124" w:line="360" w:lineRule="auto"/>
              <w:rPr>
                <w:rFonts w:hint="eastAsia" w:ascii="宋体" w:hAnsi="宋体" w:cs="宋体"/>
                <w:bCs/>
                <w:color w:val="000000"/>
                <w:sz w:val="24"/>
              </w:rPr>
            </w:pPr>
            <w:r>
              <w:rPr>
                <w:rFonts w:hint="eastAsia" w:ascii="宋体" w:hAnsi="宋体" w:cs="宋体"/>
                <w:bCs/>
                <w:color w:val="000000"/>
                <w:sz w:val="24"/>
              </w:rPr>
              <w:t>递交形式</w:t>
            </w:r>
          </w:p>
        </w:tc>
      </w:tr>
      <w:tr w14:paraId="3BDD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3" w:type="dxa"/>
          </w:tcPr>
          <w:p w14:paraId="19638B7A">
            <w:pPr>
              <w:spacing w:before="124" w:after="124" w:line="360" w:lineRule="auto"/>
              <w:rPr>
                <w:rFonts w:hint="eastAsia" w:ascii="宋体" w:hAnsi="宋体" w:cs="宋体"/>
                <w:bCs/>
                <w:color w:val="000000"/>
                <w:sz w:val="24"/>
              </w:rPr>
            </w:pPr>
            <w:r>
              <w:rPr>
                <w:rFonts w:hint="eastAsia" w:ascii="宋体" w:hAnsi="宋体" w:cs="宋体"/>
                <w:bCs/>
                <w:color w:val="000000"/>
                <w:sz w:val="24"/>
              </w:rPr>
              <w:t>巡检及分析报告</w:t>
            </w:r>
          </w:p>
        </w:tc>
        <w:tc>
          <w:tcPr>
            <w:tcW w:w="3352" w:type="dxa"/>
          </w:tcPr>
          <w:p w14:paraId="1AEA976C">
            <w:pPr>
              <w:spacing w:before="124" w:after="124" w:line="360" w:lineRule="auto"/>
              <w:rPr>
                <w:rFonts w:hint="eastAsia" w:ascii="宋体" w:hAnsi="宋体" w:cs="宋体"/>
                <w:bCs/>
                <w:color w:val="000000"/>
                <w:sz w:val="24"/>
              </w:rPr>
            </w:pPr>
            <w:r>
              <w:rPr>
                <w:rFonts w:hint="eastAsia" w:ascii="宋体" w:hAnsi="宋体" w:cs="宋体"/>
                <w:bCs/>
                <w:color w:val="000000"/>
                <w:sz w:val="24"/>
              </w:rPr>
              <w:t>月度巡检报告及分析总结报告</w:t>
            </w:r>
          </w:p>
        </w:tc>
        <w:tc>
          <w:tcPr>
            <w:tcW w:w="2710" w:type="dxa"/>
          </w:tcPr>
          <w:p w14:paraId="34BFC461">
            <w:pPr>
              <w:spacing w:before="124" w:after="124" w:line="360" w:lineRule="auto"/>
              <w:rPr>
                <w:rFonts w:hint="eastAsia" w:ascii="宋体" w:hAnsi="宋体" w:cs="宋体"/>
                <w:bCs/>
                <w:color w:val="000000"/>
                <w:sz w:val="24"/>
              </w:rPr>
            </w:pPr>
            <w:r>
              <w:rPr>
                <w:rFonts w:hint="eastAsia" w:ascii="宋体" w:hAnsi="宋体" w:cs="宋体"/>
                <w:bCs/>
                <w:color w:val="000000"/>
                <w:sz w:val="24"/>
              </w:rPr>
              <w:t>电子版或纸质提交一份</w:t>
            </w:r>
          </w:p>
        </w:tc>
      </w:tr>
    </w:tbl>
    <w:p w14:paraId="3EB4AF0B">
      <w:pPr>
        <w:pStyle w:val="7"/>
        <w:spacing w:line="360" w:lineRule="auto"/>
        <w:outlineLvl w:val="1"/>
        <w:rPr>
          <w:rFonts w:hint="eastAsia" w:hAnsi="宋体" w:cs="宋体"/>
          <w:b/>
          <w:sz w:val="24"/>
          <w:szCs w:val="24"/>
        </w:rPr>
      </w:pPr>
      <w:r>
        <w:rPr>
          <w:rFonts w:hint="eastAsia" w:hAnsi="宋体" w:cs="宋体"/>
          <w:color w:val="000000"/>
          <w:sz w:val="24"/>
        </w:rPr>
        <w:t>注：上述报告在</w:t>
      </w:r>
      <w:r>
        <w:rPr>
          <w:rFonts w:hAnsi="宋体" w:cs="宋体"/>
          <w:color w:val="000000"/>
          <w:sz w:val="24"/>
        </w:rPr>
        <w:t>5</w:t>
      </w:r>
      <w:r>
        <w:rPr>
          <w:rFonts w:hint="eastAsia" w:hAnsi="宋体" w:cs="宋体"/>
          <w:color w:val="000000"/>
          <w:sz w:val="24"/>
        </w:rPr>
        <w:t>天之内出具，并经过双方签字确认。</w:t>
      </w:r>
    </w:p>
    <w:p w14:paraId="34AC0234">
      <w:pPr>
        <w:pStyle w:val="7"/>
        <w:spacing w:line="360" w:lineRule="auto"/>
        <w:outlineLvl w:val="1"/>
        <w:rPr>
          <w:rFonts w:hint="eastAsia" w:hAnsi="宋体" w:cs="宋体"/>
          <w:b/>
          <w:sz w:val="24"/>
          <w:szCs w:val="24"/>
        </w:rPr>
      </w:pPr>
      <w:r>
        <w:rPr>
          <w:rFonts w:hint="eastAsia" w:hAnsi="宋体" w:cs="宋体"/>
          <w:b/>
          <w:sz w:val="24"/>
          <w:szCs w:val="24"/>
        </w:rPr>
        <w:t xml:space="preserve">4、维护人员要求 </w:t>
      </w:r>
    </w:p>
    <w:p w14:paraId="45DD4A20">
      <w:pPr>
        <w:spacing w:line="360" w:lineRule="auto"/>
        <w:ind w:firstLine="420"/>
        <w:rPr>
          <w:rFonts w:hint="eastAsia" w:ascii="宋体" w:hAnsi="宋体" w:cs="宋体"/>
          <w:b/>
          <w:bCs/>
          <w:sz w:val="24"/>
        </w:rPr>
      </w:pPr>
      <w:r>
        <w:rPr>
          <w:rFonts w:hint="eastAsia" w:ascii="宋体" w:hAnsi="宋体" w:cs="宋体"/>
          <w:b/>
          <w:bCs/>
          <w:sz w:val="24"/>
        </w:rPr>
        <w:t>4.1团队维护人员不少于2名，其中</w:t>
      </w:r>
      <w:r>
        <w:rPr>
          <w:rFonts w:hint="eastAsia" w:ascii="宋体" w:hAnsi="宋体" w:cs="宋体"/>
          <w:sz w:val="24"/>
        </w:rPr>
        <w:t>项目负责人1名。</w:t>
      </w:r>
    </w:p>
    <w:p w14:paraId="5571812B">
      <w:pPr>
        <w:spacing w:line="360" w:lineRule="auto"/>
        <w:ind w:firstLine="420"/>
        <w:rPr>
          <w:rFonts w:hint="eastAsia" w:ascii="宋体" w:hAnsi="宋体" w:cs="宋体"/>
          <w:sz w:val="24"/>
        </w:rPr>
      </w:pPr>
      <w:r>
        <w:rPr>
          <w:rFonts w:hint="eastAsia" w:ascii="宋体" w:hAnsi="宋体" w:cs="宋体"/>
          <w:b/>
          <w:bCs/>
          <w:sz w:val="24"/>
        </w:rPr>
        <w:t>4.2</w:t>
      </w:r>
      <w:r>
        <w:rPr>
          <w:rFonts w:hint="eastAsia" w:ascii="宋体" w:hAnsi="宋体" w:cs="宋体"/>
          <w:sz w:val="24"/>
        </w:rPr>
        <w:t>项目负责人具备1年及以上系统维护的工作经验，主要负责协调处理维护工作，与采购人保持沟通及其他支撑服务，提供</w:t>
      </w:r>
      <w:r>
        <w:rPr>
          <w:rFonts w:hint="eastAsia" w:ascii="宋体" w:hAnsi="宋体" w:cs="宋体"/>
          <w:sz w:val="24"/>
          <w:lang w:eastAsia="zh-Hans"/>
        </w:rPr>
        <w:t>人员</w:t>
      </w:r>
      <w:r>
        <w:rPr>
          <w:rFonts w:hint="eastAsia" w:ascii="宋体" w:hAnsi="宋体" w:cs="宋体"/>
          <w:sz w:val="24"/>
        </w:rPr>
        <w:t>社保证明。</w:t>
      </w:r>
    </w:p>
    <w:p w14:paraId="7E753CC3">
      <w:pPr>
        <w:spacing w:line="360" w:lineRule="auto"/>
        <w:ind w:firstLine="420"/>
        <w:rPr>
          <w:rFonts w:hint="eastAsia" w:ascii="宋体" w:hAnsi="宋体" w:cs="宋体"/>
          <w:sz w:val="24"/>
        </w:rPr>
      </w:pPr>
      <w:r>
        <w:rPr>
          <w:rFonts w:hint="eastAsia" w:ascii="宋体" w:hAnsi="宋体" w:cs="宋体"/>
          <w:sz w:val="24"/>
        </w:rPr>
        <w:t>4.2.1工作内容主要包括：</w:t>
      </w:r>
    </w:p>
    <w:p w14:paraId="72A9057D">
      <w:pPr>
        <w:spacing w:line="360" w:lineRule="auto"/>
        <w:ind w:firstLine="420"/>
        <w:rPr>
          <w:rFonts w:hint="eastAsia" w:ascii="宋体" w:hAnsi="宋体" w:cs="宋体"/>
          <w:sz w:val="24"/>
        </w:rPr>
      </w:pPr>
      <w:r>
        <w:rPr>
          <w:rFonts w:hint="eastAsia" w:ascii="宋体" w:hAnsi="宋体" w:cs="宋体"/>
          <w:sz w:val="24"/>
        </w:rPr>
        <w:t>1）维护人会每月进行巡检，对仪器状态进行测试，更换到期配件，提供书面报告。</w:t>
      </w:r>
    </w:p>
    <w:p w14:paraId="594487F7">
      <w:pPr>
        <w:spacing w:line="360" w:lineRule="auto"/>
        <w:ind w:firstLine="420"/>
        <w:rPr>
          <w:rFonts w:hint="eastAsia" w:ascii="宋体" w:hAnsi="宋体" w:cs="宋体"/>
          <w:sz w:val="24"/>
        </w:rPr>
      </w:pPr>
      <w:r>
        <w:rPr>
          <w:rFonts w:hint="eastAsia" w:ascii="宋体" w:hAnsi="宋体" w:cs="宋体"/>
          <w:sz w:val="24"/>
        </w:rPr>
        <w:t>2）维护人员对仪器一般问题进行及时处理，配合采购人工作需求或者活动。</w:t>
      </w:r>
    </w:p>
    <w:p w14:paraId="3520FCCD">
      <w:pPr>
        <w:spacing w:line="360" w:lineRule="auto"/>
        <w:ind w:firstLine="420"/>
        <w:rPr>
          <w:rFonts w:hint="eastAsia" w:ascii="宋体" w:hAnsi="宋体" w:cs="宋体"/>
          <w:sz w:val="24"/>
        </w:rPr>
      </w:pPr>
      <w:r>
        <w:rPr>
          <w:rFonts w:hint="eastAsia" w:ascii="宋体" w:hAnsi="宋体" w:cs="宋体"/>
          <w:sz w:val="24"/>
        </w:rPr>
        <w:t>3）对各台仪器进行维护测试，及时发现并处理问题。每</w:t>
      </w:r>
      <w:r>
        <w:rPr>
          <w:rFonts w:hint="eastAsia" w:ascii="宋体" w:hAnsi="宋体" w:cs="宋体"/>
          <w:bCs/>
          <w:color w:val="000000"/>
          <w:sz w:val="24"/>
        </w:rPr>
        <w:t>月对所有设备进行巡检，并出具巡检报告。</w:t>
      </w:r>
    </w:p>
    <w:p w14:paraId="4D8F17CB">
      <w:pPr>
        <w:pStyle w:val="7"/>
        <w:spacing w:line="360" w:lineRule="auto"/>
        <w:outlineLvl w:val="1"/>
        <w:rPr>
          <w:rFonts w:hint="eastAsia" w:hAnsi="宋体" w:cs="宋体"/>
          <w:sz w:val="24"/>
          <w:szCs w:val="24"/>
        </w:rPr>
      </w:pPr>
      <w:r>
        <w:rPr>
          <w:rFonts w:hint="eastAsia" w:hAnsi="宋体" w:cs="宋体"/>
          <w:b/>
          <w:sz w:val="24"/>
          <w:szCs w:val="24"/>
        </w:rPr>
        <w:t xml:space="preserve">二、其它服务 </w:t>
      </w:r>
    </w:p>
    <w:p w14:paraId="05909FFD">
      <w:pPr>
        <w:spacing w:line="360" w:lineRule="auto"/>
        <w:rPr>
          <w:rFonts w:hint="eastAsia" w:ascii="宋体" w:hAnsi="宋体" w:cs="宋体"/>
          <w:sz w:val="24"/>
        </w:rPr>
      </w:pPr>
      <w:r>
        <w:rPr>
          <w:rFonts w:hint="eastAsia" w:ascii="宋体" w:hAnsi="宋体" w:cs="宋体"/>
          <w:sz w:val="24"/>
        </w:rPr>
        <w:t>（1）投标人须提供完整的服务方案、应急预案，在维保服务过程中应遵守采购人的各项规章制度和其它相关的法规、规范，做好安全防护措施，确保人员及财物安全。在维保过程中如发生安全事故，因此产生的一切责任和费用由投标人承担。</w:t>
      </w:r>
    </w:p>
    <w:p w14:paraId="18566D34">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zh-CN"/>
        </w:rPr>
        <w:t>投标人应了解所有维保</w:t>
      </w:r>
      <w:r>
        <w:rPr>
          <w:rFonts w:hint="eastAsia" w:ascii="宋体" w:hAnsi="宋体" w:cs="宋体"/>
          <w:sz w:val="24"/>
        </w:rPr>
        <w:t>内容</w:t>
      </w:r>
      <w:r>
        <w:rPr>
          <w:rFonts w:hint="eastAsia" w:ascii="宋体" w:hAnsi="宋体" w:cs="宋体"/>
          <w:sz w:val="24"/>
          <w:lang w:val="zh-CN"/>
        </w:rPr>
        <w:t>，提供有效的仪器维保服务保障</w:t>
      </w:r>
      <w:r>
        <w:rPr>
          <w:rFonts w:hint="eastAsia" w:ascii="宋体" w:hAnsi="宋体" w:cs="宋体"/>
          <w:sz w:val="24"/>
        </w:rPr>
        <w:t>。</w:t>
      </w:r>
    </w:p>
    <w:p w14:paraId="46A81186">
      <w:pPr>
        <w:spacing w:line="360" w:lineRule="auto"/>
        <w:rPr>
          <w:rFonts w:hint="eastAsia" w:ascii="宋体" w:hAnsi="宋体" w:cs="宋体"/>
          <w:sz w:val="24"/>
        </w:rPr>
      </w:pPr>
      <w:r>
        <w:rPr>
          <w:rFonts w:hint="eastAsia" w:ascii="宋体" w:hAnsi="宋体" w:cs="宋体"/>
          <w:sz w:val="24"/>
        </w:rPr>
        <w:t xml:space="preserve">（3）采购人对投标人及工作人员开展常态化安全保密教育，明确具体安全管理内容、安全保密义务和责任；投标人及工作人员违反安全管理要求，构成违法犯罪的，采购人将及时报送，并追究相关责任。  </w:t>
      </w:r>
    </w:p>
    <w:p w14:paraId="38B50CE9">
      <w:pPr>
        <w:spacing w:line="360" w:lineRule="auto"/>
        <w:jc w:val="left"/>
        <w:rPr>
          <w:rFonts w:hint="eastAsia" w:ascii="宋体" w:hAnsi="宋体" w:cs="宋体"/>
          <w:sz w:val="24"/>
        </w:rPr>
      </w:pPr>
      <w:r>
        <w:rPr>
          <w:rFonts w:hint="eastAsia" w:ascii="宋体" w:hAnsi="宋体" w:cs="宋体"/>
          <w:sz w:val="24"/>
        </w:rPr>
        <w:t>三、拟采购标的的商务要求</w:t>
      </w:r>
    </w:p>
    <w:p w14:paraId="14BD0836">
      <w:pPr>
        <w:spacing w:line="360" w:lineRule="auto"/>
        <w:ind w:left="210" w:leftChars="100"/>
        <w:jc w:val="left"/>
        <w:rPr>
          <w:rFonts w:hint="eastAsia" w:ascii="宋体" w:hAnsi="宋体" w:cs="宋体"/>
          <w:sz w:val="24"/>
          <w:u w:val="single"/>
        </w:rPr>
      </w:pPr>
      <w:r>
        <w:rPr>
          <w:rFonts w:hint="eastAsia" w:ascii="宋体" w:hAnsi="宋体" w:cs="宋体"/>
          <w:sz w:val="24"/>
        </w:rPr>
        <w:t>1.合同时间：</w:t>
      </w:r>
      <w:r>
        <w:rPr>
          <w:rFonts w:hint="eastAsia" w:ascii="宋体" w:hAnsi="宋体" w:cs="宋体"/>
          <w:sz w:val="24"/>
          <w:u w:val="single"/>
        </w:rPr>
        <w:t xml:space="preserve">2025年6月1日至2026年5月31日  </w:t>
      </w:r>
      <w:r>
        <w:rPr>
          <w:rFonts w:hint="eastAsia" w:ascii="宋体" w:hAnsi="宋体" w:cs="宋体"/>
          <w:sz w:val="24"/>
          <w:u w:val="single"/>
          <w:lang w:eastAsia="zh-CN"/>
        </w:rPr>
        <w:t>（</w:t>
      </w:r>
      <w:r>
        <w:rPr>
          <w:rFonts w:hint="eastAsia" w:ascii="宋体" w:hAnsi="宋体" w:cs="宋体"/>
          <w:sz w:val="24"/>
          <w:u w:val="single"/>
          <w:lang w:val="en-US" w:eastAsia="zh-CN"/>
        </w:rPr>
        <w:t>空档期</w:t>
      </w:r>
      <w:r>
        <w:rPr>
          <w:rFonts w:hint="eastAsia" w:ascii="宋体" w:hAnsi="宋体" w:cs="宋体"/>
          <w:sz w:val="24"/>
          <w:u w:val="single"/>
          <w:lang w:eastAsia="zh-CN"/>
        </w:rPr>
        <w:t>由2024年度项目供应商进行维护，待2025年项目采购完成后，由中标供应商按2025年度项目中标单价乘以实际服务天数支付给前期实际服务商）。</w:t>
      </w:r>
      <w:r>
        <w:rPr>
          <w:rFonts w:hint="eastAsia" w:ascii="宋体" w:hAnsi="宋体" w:cs="宋体"/>
          <w:sz w:val="24"/>
          <w:u w:val="single"/>
        </w:rPr>
        <w:t xml:space="preserve">                   </w:t>
      </w:r>
    </w:p>
    <w:p w14:paraId="32F0B09F">
      <w:pPr>
        <w:spacing w:line="360" w:lineRule="auto"/>
        <w:ind w:left="210" w:leftChars="100"/>
        <w:jc w:val="left"/>
        <w:rPr>
          <w:rFonts w:hint="eastAsia" w:ascii="宋体" w:hAnsi="宋体" w:cs="宋体"/>
          <w:sz w:val="24"/>
        </w:rPr>
      </w:pPr>
      <w:r>
        <w:rPr>
          <w:rFonts w:hint="eastAsia" w:ascii="宋体" w:hAnsi="宋体" w:cs="宋体"/>
          <w:sz w:val="24"/>
        </w:rPr>
        <w:t>2.服务地点：</w:t>
      </w:r>
      <w:r>
        <w:rPr>
          <w:rFonts w:hint="eastAsia" w:ascii="宋体" w:hAnsi="宋体" w:cs="宋体"/>
          <w:sz w:val="24"/>
          <w:u w:val="single"/>
        </w:rPr>
        <w:t xml:space="preserve">杭州市公安局（婺江路169号）　                         </w:t>
      </w:r>
    </w:p>
    <w:p w14:paraId="56B495A8">
      <w:pPr>
        <w:spacing w:line="360" w:lineRule="auto"/>
        <w:ind w:left="210" w:leftChars="100"/>
        <w:jc w:val="left"/>
        <w:rPr>
          <w:rFonts w:hint="eastAsia" w:ascii="宋体" w:hAnsi="宋体" w:cs="宋体"/>
          <w:sz w:val="24"/>
        </w:rPr>
      </w:pPr>
      <w:r>
        <w:rPr>
          <w:rFonts w:hint="eastAsia" w:ascii="宋体" w:hAnsi="宋体" w:cs="宋体"/>
          <w:sz w:val="24"/>
        </w:rPr>
        <w:t>3.付款条件（进度和方式）</w:t>
      </w:r>
    </w:p>
    <w:tbl>
      <w:tblPr>
        <w:tblStyle w:val="1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5212"/>
        <w:gridCol w:w="1926"/>
      </w:tblGrid>
      <w:tr w14:paraId="46D8C2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14:paraId="68DE3C53">
            <w:pPr>
              <w:spacing w:line="360" w:lineRule="auto"/>
              <w:jc w:val="center"/>
              <w:rPr>
                <w:rFonts w:hint="eastAsia" w:ascii="宋体" w:hAnsi="宋体" w:cs="仿宋_GB2312"/>
                <w:sz w:val="24"/>
              </w:rPr>
            </w:pPr>
            <w:r>
              <w:rPr>
                <w:rFonts w:hint="eastAsia" w:ascii="宋体" w:hAnsi="宋体" w:cs="仿宋_GB2312"/>
                <w:sz w:val="24"/>
              </w:rPr>
              <w:t>序号</w:t>
            </w:r>
          </w:p>
        </w:tc>
        <w:tc>
          <w:tcPr>
            <w:tcW w:w="5212" w:type="dxa"/>
            <w:shd w:val="clear" w:color="auto" w:fill="auto"/>
            <w:vAlign w:val="center"/>
          </w:tcPr>
          <w:p w14:paraId="30BD2461">
            <w:pPr>
              <w:spacing w:line="360" w:lineRule="auto"/>
              <w:jc w:val="center"/>
              <w:rPr>
                <w:rFonts w:hint="eastAsia" w:ascii="宋体" w:hAnsi="宋体" w:cs="仿宋_GB2312"/>
                <w:sz w:val="24"/>
              </w:rPr>
            </w:pPr>
            <w:r>
              <w:rPr>
                <w:rFonts w:hint="eastAsia" w:ascii="宋体" w:hAnsi="宋体" w:cs="仿宋_GB2312"/>
                <w:sz w:val="24"/>
              </w:rPr>
              <w:t>付款比例（%）</w:t>
            </w:r>
          </w:p>
        </w:tc>
        <w:tc>
          <w:tcPr>
            <w:tcW w:w="1926" w:type="dxa"/>
            <w:shd w:val="clear" w:color="auto" w:fill="auto"/>
            <w:vAlign w:val="center"/>
          </w:tcPr>
          <w:p w14:paraId="63296A1D">
            <w:pPr>
              <w:spacing w:line="360" w:lineRule="auto"/>
              <w:jc w:val="center"/>
              <w:rPr>
                <w:rFonts w:hint="eastAsia" w:ascii="宋体" w:hAnsi="宋体" w:cs="仿宋_GB2312"/>
                <w:sz w:val="24"/>
              </w:rPr>
            </w:pPr>
            <w:r>
              <w:rPr>
                <w:rFonts w:hint="eastAsia" w:ascii="宋体" w:hAnsi="宋体" w:cs="仿宋_GB2312"/>
                <w:sz w:val="24"/>
              </w:rPr>
              <w:t>付款方式</w:t>
            </w:r>
          </w:p>
        </w:tc>
      </w:tr>
      <w:tr w14:paraId="34AEABB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vAlign w:val="center"/>
          </w:tcPr>
          <w:p w14:paraId="04A3407F">
            <w:pPr>
              <w:spacing w:line="360" w:lineRule="auto"/>
              <w:jc w:val="center"/>
              <w:rPr>
                <w:rFonts w:hint="eastAsia" w:ascii="宋体" w:hAnsi="宋体" w:cs="仿宋_GB2312"/>
                <w:sz w:val="24"/>
              </w:rPr>
            </w:pPr>
            <w:r>
              <w:rPr>
                <w:rFonts w:hint="eastAsia" w:ascii="宋体" w:hAnsi="宋体" w:cs="仿宋_GB2312"/>
                <w:sz w:val="24"/>
              </w:rPr>
              <w:t>1</w:t>
            </w:r>
          </w:p>
        </w:tc>
        <w:tc>
          <w:tcPr>
            <w:tcW w:w="5212" w:type="dxa"/>
            <w:shd w:val="clear" w:color="auto" w:fill="auto"/>
          </w:tcPr>
          <w:p w14:paraId="05EDFBEB">
            <w:pPr>
              <w:spacing w:line="360" w:lineRule="auto"/>
              <w:jc w:val="center"/>
              <w:rPr>
                <w:rFonts w:hint="eastAsia" w:ascii="宋体" w:hAnsi="宋体" w:cs="仿宋_GB2312"/>
                <w:sz w:val="24"/>
              </w:rPr>
            </w:pPr>
            <w:r>
              <w:rPr>
                <w:rFonts w:hint="eastAsia" w:ascii="宋体" w:hAnsi="宋体" w:cs="仿宋_GB2312"/>
                <w:sz w:val="24"/>
              </w:rPr>
              <w:t>第一期付款：签订合同后</w:t>
            </w:r>
            <w:r>
              <w:rPr>
                <w:rFonts w:ascii="宋体" w:hAnsi="宋体" w:cs="仿宋_GB2312"/>
                <w:sz w:val="24"/>
              </w:rPr>
              <w:t>5个工作日内，</w:t>
            </w:r>
            <w:r>
              <w:rPr>
                <w:rFonts w:hint="eastAsia" w:ascii="宋体" w:hAnsi="宋体" w:cs="仿宋_GB2312"/>
                <w:sz w:val="24"/>
              </w:rPr>
              <w:t>采购人支付合同总价40</w:t>
            </w:r>
            <w:r>
              <w:rPr>
                <w:rFonts w:ascii="宋体" w:hAnsi="宋体" w:cs="仿宋_GB2312"/>
                <w:sz w:val="24"/>
              </w:rPr>
              <w:t>％的款项；</w:t>
            </w:r>
          </w:p>
        </w:tc>
        <w:tc>
          <w:tcPr>
            <w:tcW w:w="1926" w:type="dxa"/>
            <w:shd w:val="clear" w:color="auto" w:fill="auto"/>
            <w:vAlign w:val="center"/>
          </w:tcPr>
          <w:p w14:paraId="15E60731">
            <w:pPr>
              <w:spacing w:line="360" w:lineRule="auto"/>
              <w:jc w:val="center"/>
              <w:rPr>
                <w:rFonts w:hint="eastAsia" w:ascii="宋体" w:hAnsi="宋体" w:cs="仿宋_GB2312"/>
                <w:sz w:val="24"/>
              </w:rPr>
            </w:pPr>
            <w:r>
              <w:rPr>
                <w:rFonts w:hint="eastAsia" w:ascii="宋体" w:hAnsi="宋体" w:cs="宋体"/>
                <w:sz w:val="24"/>
              </w:rPr>
              <w:t>国库转账支付</w:t>
            </w:r>
          </w:p>
        </w:tc>
      </w:tr>
      <w:tr w14:paraId="5D642B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vAlign w:val="center"/>
          </w:tcPr>
          <w:p w14:paraId="2BFE0E7B">
            <w:pPr>
              <w:spacing w:line="360" w:lineRule="auto"/>
              <w:jc w:val="center"/>
              <w:rPr>
                <w:rFonts w:hint="eastAsia" w:ascii="宋体" w:hAnsi="宋体" w:cs="仿宋_GB2312"/>
                <w:sz w:val="24"/>
              </w:rPr>
            </w:pPr>
            <w:r>
              <w:rPr>
                <w:rFonts w:hint="eastAsia" w:ascii="宋体" w:hAnsi="宋体" w:cs="仿宋_GB2312"/>
                <w:sz w:val="24"/>
              </w:rPr>
              <w:t>2</w:t>
            </w:r>
          </w:p>
        </w:tc>
        <w:tc>
          <w:tcPr>
            <w:tcW w:w="5212" w:type="dxa"/>
            <w:shd w:val="clear" w:color="auto" w:fill="auto"/>
            <w:vAlign w:val="center"/>
          </w:tcPr>
          <w:p w14:paraId="4C7E4259">
            <w:pPr>
              <w:spacing w:line="360" w:lineRule="auto"/>
              <w:jc w:val="center"/>
              <w:rPr>
                <w:rFonts w:hint="eastAsia" w:ascii="宋体" w:hAnsi="宋体" w:cs="仿宋_GB2312"/>
                <w:sz w:val="24"/>
              </w:rPr>
            </w:pPr>
            <w:r>
              <w:rPr>
                <w:rFonts w:hint="eastAsia" w:ascii="仿宋" w:hAnsi="仿宋" w:cs="仿宋"/>
                <w:sz w:val="24"/>
              </w:rPr>
              <w:t>第二期付款：服务至</w:t>
            </w:r>
            <w:r>
              <w:rPr>
                <w:rFonts w:hint="eastAsia" w:ascii="仿宋" w:hAnsi="仿宋" w:cs="仿宋"/>
                <w:sz w:val="24"/>
                <w:lang w:val="en-US" w:eastAsia="zh-CN"/>
              </w:rPr>
              <w:t>2025</w:t>
            </w:r>
            <w:r>
              <w:rPr>
                <w:rFonts w:ascii="仿宋" w:hAnsi="仿宋" w:cs="仿宋"/>
                <w:sz w:val="24"/>
              </w:rPr>
              <w:t>年1</w:t>
            </w:r>
            <w:r>
              <w:rPr>
                <w:rFonts w:hint="eastAsia" w:ascii="仿宋" w:hAnsi="仿宋" w:cs="仿宋"/>
                <w:sz w:val="24"/>
              </w:rPr>
              <w:t>1</w:t>
            </w:r>
            <w:r>
              <w:rPr>
                <w:rFonts w:ascii="仿宋" w:hAnsi="仿宋" w:cs="仿宋"/>
                <w:sz w:val="24"/>
              </w:rPr>
              <w:t>月30日，无任何服务问题,凭双方签字盖章的验收意见、每日人员签到表、每月社保缴纳清单、相关考核材料，按合同单价、人数及服务时间进行结算，</w:t>
            </w:r>
            <w:r>
              <w:rPr>
                <w:rFonts w:hint="eastAsia" w:ascii="宋体" w:hAnsi="宋体" w:cs="仿宋_GB2312"/>
                <w:sz w:val="24"/>
              </w:rPr>
              <w:t>采购人最多支付至</w:t>
            </w:r>
            <w:r>
              <w:rPr>
                <w:rFonts w:hint="eastAsia" w:ascii="宋体" w:hAnsi="宋体" w:cs="仿宋_GB2312"/>
                <w:sz w:val="24"/>
                <w:lang w:val="en-US" w:eastAsia="zh-CN"/>
              </w:rPr>
              <w:t>2025</w:t>
            </w:r>
            <w:r>
              <w:rPr>
                <w:rFonts w:hint="eastAsia" w:ascii="宋体" w:hAnsi="宋体" w:cs="仿宋_GB2312"/>
                <w:sz w:val="24"/>
              </w:rPr>
              <w:t>年度安排的</w:t>
            </w:r>
            <w:r>
              <w:rPr>
                <w:rFonts w:hint="eastAsia" w:ascii="宋体" w:hAnsi="宋体" w:cs="仿宋_GB2312"/>
                <w:sz w:val="24"/>
                <w:lang w:val="en-US" w:eastAsia="zh-CN"/>
              </w:rPr>
              <w:t>14.5</w:t>
            </w:r>
            <w:r>
              <w:rPr>
                <w:rFonts w:hint="eastAsia" w:ascii="宋体" w:hAnsi="宋体" w:cs="仿宋_GB2312"/>
                <w:sz w:val="24"/>
              </w:rPr>
              <w:t>万元（含首付款）</w:t>
            </w:r>
            <w:r>
              <w:rPr>
                <w:rFonts w:ascii="宋体" w:hAnsi="宋体" w:cs="仿宋_GB2312"/>
                <w:sz w:val="24"/>
              </w:rPr>
              <w:t>；</w:t>
            </w:r>
          </w:p>
        </w:tc>
        <w:tc>
          <w:tcPr>
            <w:tcW w:w="1926" w:type="dxa"/>
            <w:shd w:val="clear" w:color="auto" w:fill="auto"/>
            <w:vAlign w:val="center"/>
          </w:tcPr>
          <w:p w14:paraId="22C43CFB">
            <w:pPr>
              <w:spacing w:line="360" w:lineRule="auto"/>
              <w:jc w:val="center"/>
              <w:rPr>
                <w:rFonts w:hint="eastAsia" w:ascii="宋体" w:hAnsi="宋体" w:cs="仿宋_GB2312"/>
                <w:sz w:val="24"/>
              </w:rPr>
            </w:pPr>
            <w:r>
              <w:rPr>
                <w:rFonts w:hint="eastAsia" w:ascii="宋体" w:hAnsi="宋体" w:cs="宋体"/>
                <w:sz w:val="24"/>
              </w:rPr>
              <w:t>国库转账支付</w:t>
            </w:r>
          </w:p>
        </w:tc>
      </w:tr>
      <w:tr w14:paraId="6E1AE94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vAlign w:val="center"/>
          </w:tcPr>
          <w:p w14:paraId="66D9F7FA">
            <w:pPr>
              <w:spacing w:line="360" w:lineRule="auto"/>
              <w:jc w:val="center"/>
              <w:rPr>
                <w:rFonts w:hint="eastAsia" w:ascii="宋体" w:hAnsi="宋体" w:cs="仿宋_GB2312"/>
                <w:sz w:val="24"/>
              </w:rPr>
            </w:pPr>
            <w:r>
              <w:rPr>
                <w:rFonts w:hint="eastAsia" w:ascii="宋体" w:hAnsi="宋体" w:cs="仿宋_GB2312"/>
                <w:sz w:val="24"/>
              </w:rPr>
              <w:t>3</w:t>
            </w:r>
          </w:p>
        </w:tc>
        <w:tc>
          <w:tcPr>
            <w:tcW w:w="5212" w:type="dxa"/>
            <w:shd w:val="clear" w:color="auto" w:fill="auto"/>
            <w:vAlign w:val="center"/>
          </w:tcPr>
          <w:p w14:paraId="530B115A">
            <w:pPr>
              <w:spacing w:line="360" w:lineRule="auto"/>
              <w:jc w:val="center"/>
              <w:rPr>
                <w:rFonts w:hint="eastAsia" w:ascii="宋体" w:hAnsi="宋体" w:cs="仿宋_GB2312"/>
                <w:sz w:val="24"/>
              </w:rPr>
            </w:pPr>
            <w:r>
              <w:rPr>
                <w:rFonts w:hint="eastAsia" w:ascii="仿宋" w:hAnsi="仿宋" w:cs="仿宋"/>
                <w:sz w:val="24"/>
              </w:rPr>
              <w:t>第三期付款：服务期结束，凭每日人员签到表、每月社保缴纳清单、双方签字盖章的验收意见、相关考核资料，按合同单价，人数及服务时间结算剩余应付的合同款项。</w:t>
            </w:r>
          </w:p>
        </w:tc>
        <w:tc>
          <w:tcPr>
            <w:tcW w:w="1926" w:type="dxa"/>
            <w:shd w:val="clear" w:color="auto" w:fill="auto"/>
            <w:vAlign w:val="center"/>
          </w:tcPr>
          <w:p w14:paraId="6AA59A3C">
            <w:pPr>
              <w:spacing w:line="360" w:lineRule="auto"/>
              <w:jc w:val="center"/>
              <w:rPr>
                <w:rFonts w:hint="eastAsia" w:ascii="宋体" w:hAnsi="宋体" w:cs="仿宋_GB2312"/>
                <w:sz w:val="24"/>
              </w:rPr>
            </w:pPr>
            <w:r>
              <w:rPr>
                <w:rFonts w:hint="eastAsia" w:ascii="宋体" w:hAnsi="宋体" w:cs="宋体"/>
                <w:sz w:val="24"/>
              </w:rPr>
              <w:t>国库转账支付</w:t>
            </w:r>
          </w:p>
        </w:tc>
      </w:tr>
      <w:tr w14:paraId="7457FC3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vAlign w:val="center"/>
          </w:tcPr>
          <w:p w14:paraId="0F11DDEC">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备注</w:t>
            </w:r>
          </w:p>
        </w:tc>
        <w:tc>
          <w:tcPr>
            <w:tcW w:w="7138" w:type="dxa"/>
            <w:gridSpan w:val="2"/>
            <w:shd w:val="clear" w:color="auto" w:fill="auto"/>
            <w:vAlign w:val="center"/>
          </w:tcPr>
          <w:p w14:paraId="2A937DFB">
            <w:pPr>
              <w:spacing w:line="360" w:lineRule="auto"/>
              <w:jc w:val="left"/>
              <w:rPr>
                <w:rFonts w:hint="eastAsia" w:ascii="宋体" w:hAnsi="宋体" w:cs="宋体"/>
                <w:sz w:val="24"/>
              </w:rPr>
            </w:pPr>
            <w:r>
              <w:rPr>
                <w:rFonts w:hint="eastAsia" w:ascii="仿宋" w:hAnsi="仿宋" w:cs="仿宋"/>
                <w:sz w:val="24"/>
                <w:lang w:val="en-US" w:eastAsia="zh-CN"/>
              </w:rPr>
              <w:t>空</w:t>
            </w:r>
            <w:bookmarkStart w:id="1" w:name="_GoBack"/>
            <w:bookmarkEnd w:id="1"/>
            <w:r>
              <w:rPr>
                <w:rFonts w:hint="eastAsia" w:ascii="仿宋" w:hAnsi="仿宋" w:cs="仿宋"/>
                <w:sz w:val="24"/>
                <w:lang w:val="en-US" w:eastAsia="zh-CN"/>
              </w:rPr>
              <w:t>档期</w:t>
            </w:r>
            <w:r>
              <w:rPr>
                <w:rFonts w:hint="eastAsia" w:ascii="仿宋" w:hAnsi="仿宋" w:cs="仿宋"/>
                <w:sz w:val="24"/>
                <w:lang w:eastAsia="zh-CN"/>
              </w:rPr>
              <w:t>由2024年度项目供应商进行维护，待2025年项目采购完成后，由中标供应商按2025年度项目中标单价乘以实际服务天数支付给前期实际服务商</w:t>
            </w:r>
          </w:p>
        </w:tc>
      </w:tr>
    </w:tbl>
    <w:p w14:paraId="19734D50">
      <w:pPr>
        <w:spacing w:line="360" w:lineRule="auto"/>
        <w:ind w:firstLine="240" w:firstLineChars="100"/>
        <w:jc w:val="left"/>
        <w:rPr>
          <w:rFonts w:hint="eastAsia" w:ascii="宋体" w:hAnsi="宋体" w:cs="宋体"/>
          <w:sz w:val="24"/>
        </w:rPr>
      </w:pPr>
      <w:r>
        <w:rPr>
          <w:rFonts w:hint="eastAsia" w:ascii="宋体" w:hAnsi="宋体" w:cs="宋体"/>
          <w:sz w:val="24"/>
        </w:rPr>
        <w:t>（除满足上述约定的付款条件外，以上款项的支付均须在采购人收到投标人正规发票后，按财政及采购人规定办理完成相关手续后5个工作日内采购人方有义务予以支付。）</w:t>
      </w:r>
    </w:p>
    <w:p w14:paraId="7769C2B6">
      <w:pPr>
        <w:spacing w:line="360" w:lineRule="auto"/>
        <w:ind w:left="210" w:leftChars="100"/>
        <w:jc w:val="left"/>
        <w:rPr>
          <w:rFonts w:hint="eastAsia" w:ascii="宋体" w:hAnsi="宋体" w:cs="宋体"/>
          <w:sz w:val="24"/>
        </w:rPr>
      </w:pPr>
      <w:r>
        <w:rPr>
          <w:rFonts w:hint="eastAsia" w:ascii="宋体" w:hAnsi="宋体" w:cs="宋体"/>
          <w:sz w:val="24"/>
        </w:rPr>
        <w:t>4.售后服务要求</w:t>
      </w:r>
    </w:p>
    <w:p w14:paraId="2F5FB95A">
      <w:pPr>
        <w:spacing w:line="360" w:lineRule="auto"/>
        <w:ind w:firstLine="420"/>
        <w:jc w:val="left"/>
        <w:rPr>
          <w:rFonts w:hint="eastAsia" w:ascii="宋体" w:hAnsi="宋体" w:cs="宋体"/>
          <w:sz w:val="24"/>
          <w:u w:val="single"/>
        </w:rPr>
      </w:pPr>
      <w:r>
        <w:rPr>
          <w:rFonts w:hint="eastAsia" w:ascii="宋体" w:hAnsi="宋体" w:cs="宋体"/>
          <w:sz w:val="24"/>
        </w:rPr>
        <w:t>无</w:t>
      </w:r>
      <w:r>
        <w:rPr>
          <w:rFonts w:hint="eastAsia" w:ascii="宋体" w:hAnsi="宋体" w:cs="宋体"/>
          <w:sz w:val="24"/>
          <w:u w:val="single"/>
        </w:rPr>
        <w:t xml:space="preserve"> </w:t>
      </w:r>
    </w:p>
    <w:p w14:paraId="065687A4">
      <w:pPr>
        <w:spacing w:line="360" w:lineRule="auto"/>
        <w:ind w:left="210" w:leftChars="100"/>
        <w:jc w:val="left"/>
        <w:rPr>
          <w:rFonts w:hint="eastAsia" w:ascii="宋体" w:hAnsi="宋体" w:cs="宋体"/>
          <w:sz w:val="24"/>
        </w:rPr>
      </w:pPr>
      <w:r>
        <w:rPr>
          <w:rFonts w:hint="eastAsia" w:ascii="宋体" w:hAnsi="宋体" w:cs="宋体"/>
          <w:sz w:val="24"/>
        </w:rPr>
        <w:t>5.其他商务要求（包装和运输、保险等）</w:t>
      </w:r>
    </w:p>
    <w:p w14:paraId="409E5F2B">
      <w:pPr>
        <w:spacing w:line="360" w:lineRule="auto"/>
        <w:ind w:firstLine="420"/>
        <w:jc w:val="left"/>
        <w:rPr>
          <w:rFonts w:hint="eastAsia" w:ascii="宋体" w:hAnsi="宋体" w:cs="宋体"/>
          <w:sz w:val="24"/>
        </w:rPr>
      </w:pPr>
      <w:r>
        <w:rPr>
          <w:rFonts w:hint="eastAsia" w:ascii="宋体" w:hAnsi="宋体" w:cs="宋体"/>
          <w:sz w:val="24"/>
        </w:rPr>
        <w:t xml:space="preserve">无 </w:t>
      </w:r>
      <w:r>
        <w:rPr>
          <w:rFonts w:ascii="宋体" w:hAnsi="宋体" w:cs="宋体"/>
          <w:sz w:val="24"/>
        </w:rPr>
        <w:t xml:space="preserve"> </w:t>
      </w:r>
      <w:r>
        <w:rPr>
          <w:rFonts w:hint="eastAsia" w:ascii="宋体" w:hAnsi="宋体" w:cs="宋体"/>
          <w:sz w:val="24"/>
        </w:rPr>
        <w:t xml:space="preserve"> </w:t>
      </w:r>
    </w:p>
    <w:p w14:paraId="16B5BE21">
      <w:pPr>
        <w:spacing w:line="360" w:lineRule="auto"/>
        <w:jc w:val="left"/>
        <w:rPr>
          <w:rFonts w:hint="eastAsia" w:ascii="宋体" w:hAnsi="宋体" w:cs="宋体"/>
          <w:sz w:val="24"/>
        </w:rPr>
      </w:pPr>
      <w:r>
        <w:rPr>
          <w:rFonts w:hint="eastAsia" w:ascii="宋体" w:hAnsi="宋体" w:cs="宋体"/>
          <w:sz w:val="24"/>
        </w:rPr>
        <w:t>四、采购项目的其他要求</w:t>
      </w:r>
    </w:p>
    <w:bookmarkEnd w:id="0"/>
    <w:p w14:paraId="554BB2BB">
      <w:pPr>
        <w:spacing w:line="360" w:lineRule="auto"/>
        <w:ind w:firstLine="480" w:firstLineChars="200"/>
        <w:jc w:val="left"/>
        <w:rPr>
          <w:rFonts w:hint="eastAsia" w:ascii="宋体" w:hAnsi="宋体" w:cs="宋体"/>
          <w:bCs/>
          <w:sz w:val="24"/>
        </w:rPr>
      </w:pPr>
      <w:r>
        <w:rPr>
          <w:rFonts w:hint="eastAsia" w:ascii="宋体" w:hAnsi="宋体" w:cs="宋体"/>
          <w:bCs/>
          <w:sz w:val="24"/>
        </w:rPr>
        <w:t>在服务期内，采购人将对投标人的月度服务进行考核，考核表如下：</w:t>
      </w:r>
    </w:p>
    <w:p w14:paraId="5414995B">
      <w:pPr>
        <w:spacing w:line="360" w:lineRule="auto"/>
        <w:ind w:firstLine="480" w:firstLineChars="200"/>
        <w:jc w:val="left"/>
        <w:rPr>
          <w:rFonts w:hint="eastAsia" w:ascii="宋体" w:hAnsi="宋体" w:cs="宋体"/>
          <w:sz w:val="24"/>
        </w:rPr>
      </w:pPr>
      <w:r>
        <w:rPr>
          <w:rFonts w:hint="eastAsia" w:ascii="宋体" w:hAnsi="宋体" w:cs="宋体"/>
          <w:bCs/>
          <w:sz w:val="24"/>
        </w:rPr>
        <w:t>每个服务月度采购人将对投标人进行考核，采取100分制计分方式，考核分总计100分。每扣1分扣违约金200元，相应的扣分款项经考核，双方签字盖章后，在结算合同尾款时扣除。投标人当月度考核结果低于60分（不含）、或连续二个月度考核结果低于70分（不含）、或连续三个月度考核结果低于80分（不含），采购人将通知投标人解除合同，如给采购人造成损失的有权向投标人提出索赔。如考核</w:t>
      </w:r>
      <w:r>
        <w:rPr>
          <w:rFonts w:hint="eastAsia" w:ascii="宋体" w:hAnsi="宋体" w:cs="宋体"/>
          <w:sz w:val="24"/>
        </w:rPr>
        <w:t>周期内重复出现相同扣分情形，累计计算扣除分值。</w:t>
      </w:r>
    </w:p>
    <w:p w14:paraId="354C27B4">
      <w:pPr>
        <w:spacing w:line="360" w:lineRule="auto"/>
        <w:jc w:val="center"/>
        <w:rPr>
          <w:rFonts w:hint="eastAsia" w:ascii="宋体" w:hAnsi="宋体" w:cs="宋体"/>
          <w:sz w:val="24"/>
        </w:rPr>
      </w:pPr>
      <w:r>
        <w:rPr>
          <w:rFonts w:hint="eastAsia" w:ascii="宋体" w:hAnsi="宋体" w:cs="宋体"/>
          <w:sz w:val="24"/>
        </w:rPr>
        <w:t>考核记录表</w:t>
      </w:r>
    </w:p>
    <w:tbl>
      <w:tblPr>
        <w:tblStyle w:val="13"/>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553"/>
        <w:gridCol w:w="1712"/>
        <w:gridCol w:w="1597"/>
      </w:tblGrid>
      <w:tr w14:paraId="16F6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03" w:type="dxa"/>
            <w:gridSpan w:val="2"/>
            <w:vAlign w:val="center"/>
          </w:tcPr>
          <w:p w14:paraId="459BF098">
            <w:pPr>
              <w:widowControl/>
              <w:jc w:val="center"/>
              <w:rPr>
                <w:rFonts w:hint="eastAsia" w:ascii="宋体" w:hAnsi="宋体" w:cs="宋体"/>
                <w:kern w:val="0"/>
                <w:sz w:val="24"/>
              </w:rPr>
            </w:pPr>
            <w:r>
              <w:rPr>
                <w:rFonts w:hint="eastAsia" w:ascii="宋体" w:hAnsi="宋体" w:cs="宋体"/>
                <w:kern w:val="0"/>
                <w:sz w:val="24"/>
              </w:rPr>
              <w:t>考核事项</w:t>
            </w:r>
          </w:p>
        </w:tc>
        <w:tc>
          <w:tcPr>
            <w:tcW w:w="3309" w:type="dxa"/>
            <w:gridSpan w:val="2"/>
            <w:vAlign w:val="center"/>
          </w:tcPr>
          <w:p w14:paraId="0A69C6A5">
            <w:pPr>
              <w:widowControl/>
              <w:jc w:val="center"/>
              <w:rPr>
                <w:rFonts w:hint="eastAsia" w:ascii="宋体" w:hAnsi="宋体" w:cs="宋体"/>
                <w:kern w:val="0"/>
                <w:sz w:val="24"/>
              </w:rPr>
            </w:pPr>
            <w:r>
              <w:rPr>
                <w:rFonts w:hint="eastAsia" w:ascii="宋体" w:hAnsi="宋体" w:cs="宋体"/>
                <w:kern w:val="0"/>
                <w:sz w:val="24"/>
              </w:rPr>
              <w:t>考核时间段：</w:t>
            </w:r>
            <w:r>
              <w:rPr>
                <w:rFonts w:hint="eastAsia" w:ascii="宋体" w:hAnsi="宋体" w:cs="宋体"/>
                <w:kern w:val="0"/>
                <w:sz w:val="24"/>
                <w:lang w:val="en-US" w:eastAsia="zh-CN"/>
              </w:rPr>
              <w:t>2025</w:t>
            </w:r>
            <w:r>
              <w:rPr>
                <w:rFonts w:hint="eastAsia" w:ascii="宋体" w:hAnsi="宋体" w:cs="宋体"/>
                <w:kern w:val="0"/>
                <w:sz w:val="24"/>
              </w:rPr>
              <w:t>年  月</w:t>
            </w:r>
          </w:p>
        </w:tc>
      </w:tr>
      <w:tr w14:paraId="668B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Align w:val="center"/>
          </w:tcPr>
          <w:p w14:paraId="073745DA">
            <w:pPr>
              <w:widowControl/>
              <w:jc w:val="center"/>
              <w:rPr>
                <w:rFonts w:hint="eastAsia" w:ascii="宋体" w:hAnsi="宋体" w:cs="宋体"/>
                <w:kern w:val="0"/>
                <w:sz w:val="24"/>
              </w:rPr>
            </w:pPr>
            <w:r>
              <w:rPr>
                <w:rFonts w:hint="eastAsia" w:ascii="宋体" w:hAnsi="宋体" w:cs="宋体"/>
                <w:kern w:val="0"/>
                <w:sz w:val="24"/>
              </w:rPr>
              <w:t>序号</w:t>
            </w:r>
          </w:p>
        </w:tc>
        <w:tc>
          <w:tcPr>
            <w:tcW w:w="5553" w:type="dxa"/>
            <w:vAlign w:val="center"/>
          </w:tcPr>
          <w:p w14:paraId="6E7F7CB5">
            <w:pPr>
              <w:widowControl/>
              <w:jc w:val="center"/>
              <w:rPr>
                <w:rFonts w:hint="eastAsia" w:ascii="宋体" w:hAnsi="宋体" w:cs="宋体"/>
                <w:kern w:val="0"/>
                <w:sz w:val="24"/>
              </w:rPr>
            </w:pPr>
            <w:r>
              <w:rPr>
                <w:rFonts w:hint="eastAsia" w:ascii="宋体" w:hAnsi="宋体" w:cs="宋体"/>
                <w:kern w:val="0"/>
                <w:sz w:val="24"/>
              </w:rPr>
              <w:t>考核内容</w:t>
            </w:r>
          </w:p>
        </w:tc>
        <w:tc>
          <w:tcPr>
            <w:tcW w:w="1712" w:type="dxa"/>
            <w:vAlign w:val="center"/>
          </w:tcPr>
          <w:p w14:paraId="2BE014A8">
            <w:pPr>
              <w:widowControl/>
              <w:jc w:val="center"/>
              <w:rPr>
                <w:rFonts w:hint="eastAsia" w:ascii="宋体" w:hAnsi="宋体" w:cs="宋体"/>
                <w:kern w:val="0"/>
                <w:sz w:val="24"/>
              </w:rPr>
            </w:pPr>
            <w:r>
              <w:rPr>
                <w:rFonts w:hint="eastAsia" w:ascii="宋体" w:hAnsi="宋体" w:cs="宋体"/>
                <w:kern w:val="0"/>
                <w:sz w:val="24"/>
              </w:rPr>
              <w:t>扣分情况</w:t>
            </w:r>
          </w:p>
        </w:tc>
        <w:tc>
          <w:tcPr>
            <w:tcW w:w="1597" w:type="dxa"/>
            <w:vAlign w:val="center"/>
          </w:tcPr>
          <w:p w14:paraId="4E852FE5">
            <w:pPr>
              <w:widowControl/>
              <w:jc w:val="center"/>
              <w:rPr>
                <w:rFonts w:hint="eastAsia" w:ascii="宋体" w:hAnsi="宋体" w:cs="宋体"/>
                <w:kern w:val="0"/>
                <w:sz w:val="24"/>
              </w:rPr>
            </w:pPr>
            <w:r>
              <w:rPr>
                <w:rFonts w:hint="eastAsia" w:ascii="宋体" w:hAnsi="宋体" w:cs="宋体"/>
                <w:kern w:val="0"/>
                <w:sz w:val="24"/>
              </w:rPr>
              <w:t>备注</w:t>
            </w:r>
          </w:p>
        </w:tc>
      </w:tr>
      <w:tr w14:paraId="2859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Align w:val="center"/>
          </w:tcPr>
          <w:p w14:paraId="091F1054">
            <w:pPr>
              <w:widowControl/>
              <w:jc w:val="center"/>
              <w:rPr>
                <w:rFonts w:hint="eastAsia" w:ascii="宋体" w:hAnsi="宋体" w:cs="宋体"/>
                <w:kern w:val="0"/>
                <w:sz w:val="24"/>
              </w:rPr>
            </w:pPr>
            <w:r>
              <w:rPr>
                <w:rFonts w:hint="eastAsia" w:ascii="宋体" w:hAnsi="宋体" w:cs="宋体"/>
                <w:kern w:val="0"/>
                <w:sz w:val="24"/>
              </w:rPr>
              <w:t>1</w:t>
            </w:r>
          </w:p>
        </w:tc>
        <w:tc>
          <w:tcPr>
            <w:tcW w:w="5553" w:type="dxa"/>
            <w:vAlign w:val="center"/>
          </w:tcPr>
          <w:p w14:paraId="07C220F7">
            <w:pPr>
              <w:widowControl/>
              <w:jc w:val="left"/>
              <w:rPr>
                <w:rFonts w:hint="eastAsia" w:ascii="宋体" w:hAnsi="宋体" w:cs="宋体"/>
                <w:kern w:val="0"/>
                <w:sz w:val="24"/>
              </w:rPr>
            </w:pPr>
            <w:r>
              <w:rPr>
                <w:rFonts w:hint="eastAsia" w:ascii="宋体" w:hAnsi="宋体" w:cs="宋体"/>
                <w:kern w:val="0"/>
                <w:sz w:val="24"/>
              </w:rPr>
              <w:t>未按时上门实施维护的，每发生一次扣3分；</w:t>
            </w:r>
          </w:p>
        </w:tc>
        <w:tc>
          <w:tcPr>
            <w:tcW w:w="1712" w:type="dxa"/>
            <w:vAlign w:val="center"/>
          </w:tcPr>
          <w:p w14:paraId="3D774AEB">
            <w:pPr>
              <w:widowControl/>
              <w:jc w:val="center"/>
              <w:rPr>
                <w:rFonts w:hint="eastAsia" w:ascii="宋体" w:hAnsi="宋体" w:cs="宋体"/>
                <w:kern w:val="0"/>
                <w:sz w:val="24"/>
              </w:rPr>
            </w:pPr>
          </w:p>
        </w:tc>
        <w:tc>
          <w:tcPr>
            <w:tcW w:w="1597" w:type="dxa"/>
            <w:vAlign w:val="center"/>
          </w:tcPr>
          <w:p w14:paraId="2481F323">
            <w:pPr>
              <w:widowControl/>
              <w:jc w:val="center"/>
              <w:rPr>
                <w:rFonts w:hint="eastAsia" w:ascii="宋体" w:hAnsi="宋体" w:cs="宋体"/>
                <w:kern w:val="0"/>
                <w:sz w:val="24"/>
              </w:rPr>
            </w:pPr>
          </w:p>
        </w:tc>
      </w:tr>
      <w:tr w14:paraId="3A1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Align w:val="center"/>
          </w:tcPr>
          <w:p w14:paraId="056EF663">
            <w:pPr>
              <w:widowControl/>
              <w:jc w:val="center"/>
              <w:rPr>
                <w:rFonts w:hint="eastAsia" w:ascii="宋体" w:hAnsi="宋体" w:cs="宋体"/>
                <w:kern w:val="0"/>
                <w:sz w:val="24"/>
              </w:rPr>
            </w:pPr>
            <w:r>
              <w:rPr>
                <w:rFonts w:hint="eastAsia" w:ascii="宋体" w:hAnsi="宋体" w:cs="宋体"/>
                <w:kern w:val="0"/>
                <w:sz w:val="24"/>
              </w:rPr>
              <w:t>2</w:t>
            </w:r>
          </w:p>
        </w:tc>
        <w:tc>
          <w:tcPr>
            <w:tcW w:w="5553" w:type="dxa"/>
            <w:vAlign w:val="center"/>
          </w:tcPr>
          <w:p w14:paraId="0CEEDB75">
            <w:pPr>
              <w:widowControl/>
              <w:jc w:val="left"/>
              <w:rPr>
                <w:rFonts w:hint="eastAsia" w:ascii="宋体" w:hAnsi="宋体" w:cs="宋体"/>
                <w:kern w:val="0"/>
                <w:sz w:val="24"/>
              </w:rPr>
            </w:pPr>
            <w:r>
              <w:rPr>
                <w:rFonts w:hint="eastAsia" w:ascii="宋体" w:hAnsi="宋体" w:cs="宋体"/>
                <w:kern w:val="0"/>
                <w:sz w:val="24"/>
              </w:rPr>
              <w:t xml:space="preserve">未按时出具维护校正报告的，每发生一次扣2分； </w:t>
            </w:r>
          </w:p>
        </w:tc>
        <w:tc>
          <w:tcPr>
            <w:tcW w:w="1712" w:type="dxa"/>
            <w:vAlign w:val="center"/>
          </w:tcPr>
          <w:p w14:paraId="4265C06A">
            <w:pPr>
              <w:widowControl/>
              <w:jc w:val="center"/>
              <w:rPr>
                <w:rFonts w:hint="eastAsia" w:ascii="宋体" w:hAnsi="宋体" w:cs="宋体"/>
                <w:kern w:val="0"/>
                <w:sz w:val="24"/>
              </w:rPr>
            </w:pPr>
          </w:p>
        </w:tc>
        <w:tc>
          <w:tcPr>
            <w:tcW w:w="1597" w:type="dxa"/>
            <w:vAlign w:val="center"/>
          </w:tcPr>
          <w:p w14:paraId="54938317">
            <w:pPr>
              <w:widowControl/>
              <w:jc w:val="center"/>
              <w:rPr>
                <w:rFonts w:hint="eastAsia" w:ascii="宋体" w:hAnsi="宋体" w:cs="宋体"/>
                <w:kern w:val="0"/>
                <w:sz w:val="24"/>
              </w:rPr>
            </w:pPr>
          </w:p>
        </w:tc>
      </w:tr>
      <w:tr w14:paraId="0ECB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Align w:val="center"/>
          </w:tcPr>
          <w:p w14:paraId="68971DE9">
            <w:pPr>
              <w:widowControl/>
              <w:jc w:val="center"/>
              <w:rPr>
                <w:rFonts w:hint="eastAsia" w:ascii="宋体" w:hAnsi="宋体" w:cs="宋体"/>
                <w:kern w:val="0"/>
                <w:sz w:val="24"/>
              </w:rPr>
            </w:pPr>
            <w:r>
              <w:rPr>
                <w:rFonts w:hint="eastAsia" w:ascii="宋体" w:hAnsi="宋体" w:cs="宋体"/>
                <w:kern w:val="0"/>
                <w:sz w:val="24"/>
              </w:rPr>
              <w:t>3</w:t>
            </w:r>
          </w:p>
        </w:tc>
        <w:tc>
          <w:tcPr>
            <w:tcW w:w="5553" w:type="dxa"/>
            <w:vAlign w:val="center"/>
          </w:tcPr>
          <w:p w14:paraId="08636397">
            <w:pPr>
              <w:widowControl/>
              <w:jc w:val="left"/>
              <w:rPr>
                <w:rFonts w:hint="eastAsia" w:ascii="宋体" w:hAnsi="宋体" w:cs="宋体"/>
                <w:kern w:val="0"/>
                <w:sz w:val="24"/>
              </w:rPr>
            </w:pPr>
            <w:r>
              <w:rPr>
                <w:rFonts w:hint="eastAsia" w:ascii="宋体" w:hAnsi="宋体" w:cs="宋体"/>
                <w:kern w:val="0"/>
                <w:sz w:val="24"/>
              </w:rPr>
              <w:t>故障响应时间超时的，每发生一次扣2分。</w:t>
            </w:r>
          </w:p>
        </w:tc>
        <w:tc>
          <w:tcPr>
            <w:tcW w:w="1712" w:type="dxa"/>
            <w:vAlign w:val="center"/>
          </w:tcPr>
          <w:p w14:paraId="67F05991">
            <w:pPr>
              <w:widowControl/>
              <w:jc w:val="center"/>
              <w:rPr>
                <w:rFonts w:hint="eastAsia" w:ascii="宋体" w:hAnsi="宋体" w:cs="宋体"/>
                <w:kern w:val="0"/>
                <w:sz w:val="24"/>
              </w:rPr>
            </w:pPr>
          </w:p>
        </w:tc>
        <w:tc>
          <w:tcPr>
            <w:tcW w:w="1597" w:type="dxa"/>
            <w:vAlign w:val="center"/>
          </w:tcPr>
          <w:p w14:paraId="0AA8F4FB">
            <w:pPr>
              <w:widowControl/>
              <w:jc w:val="center"/>
              <w:rPr>
                <w:rFonts w:hint="eastAsia" w:ascii="宋体" w:hAnsi="宋体" w:cs="宋体"/>
                <w:kern w:val="0"/>
                <w:sz w:val="24"/>
              </w:rPr>
            </w:pPr>
          </w:p>
        </w:tc>
      </w:tr>
      <w:tr w14:paraId="0507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Align w:val="center"/>
          </w:tcPr>
          <w:p w14:paraId="1E6BA2CA">
            <w:pPr>
              <w:widowControl/>
              <w:jc w:val="center"/>
              <w:rPr>
                <w:rFonts w:hint="eastAsia" w:ascii="宋体" w:hAnsi="宋体" w:cs="宋体"/>
                <w:kern w:val="0"/>
                <w:sz w:val="24"/>
              </w:rPr>
            </w:pPr>
            <w:r>
              <w:rPr>
                <w:rFonts w:hint="eastAsia" w:ascii="宋体" w:hAnsi="宋体" w:cs="宋体"/>
                <w:kern w:val="0"/>
                <w:sz w:val="24"/>
              </w:rPr>
              <w:t>4</w:t>
            </w:r>
          </w:p>
        </w:tc>
        <w:tc>
          <w:tcPr>
            <w:tcW w:w="5553" w:type="dxa"/>
            <w:vAlign w:val="center"/>
          </w:tcPr>
          <w:p w14:paraId="2250DA34">
            <w:pPr>
              <w:widowControl/>
              <w:jc w:val="left"/>
              <w:rPr>
                <w:rFonts w:hint="eastAsia" w:ascii="宋体" w:hAnsi="宋体" w:cs="宋体"/>
                <w:kern w:val="0"/>
                <w:sz w:val="24"/>
              </w:rPr>
            </w:pPr>
            <w:r>
              <w:rPr>
                <w:rFonts w:hint="eastAsia" w:ascii="宋体" w:hAnsi="宋体" w:cs="宋体"/>
                <w:kern w:val="0"/>
                <w:sz w:val="24"/>
              </w:rPr>
              <w:t>未及时修复故障的，每发生一次扣5分。</w:t>
            </w:r>
          </w:p>
        </w:tc>
        <w:tc>
          <w:tcPr>
            <w:tcW w:w="1712" w:type="dxa"/>
            <w:vAlign w:val="center"/>
          </w:tcPr>
          <w:p w14:paraId="12CFC6EC">
            <w:pPr>
              <w:widowControl/>
              <w:jc w:val="center"/>
              <w:rPr>
                <w:rFonts w:hint="eastAsia" w:ascii="宋体" w:hAnsi="宋体" w:cs="宋体"/>
                <w:kern w:val="0"/>
                <w:sz w:val="24"/>
              </w:rPr>
            </w:pPr>
          </w:p>
        </w:tc>
        <w:tc>
          <w:tcPr>
            <w:tcW w:w="1597" w:type="dxa"/>
            <w:vAlign w:val="center"/>
          </w:tcPr>
          <w:p w14:paraId="480F10E5">
            <w:pPr>
              <w:widowControl/>
              <w:jc w:val="center"/>
              <w:rPr>
                <w:rFonts w:hint="eastAsia" w:ascii="宋体" w:hAnsi="宋体" w:cs="宋体"/>
                <w:kern w:val="0"/>
                <w:sz w:val="24"/>
              </w:rPr>
            </w:pPr>
          </w:p>
        </w:tc>
      </w:tr>
      <w:tr w14:paraId="7AD4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Align w:val="center"/>
          </w:tcPr>
          <w:p w14:paraId="1C396A79">
            <w:pPr>
              <w:widowControl/>
              <w:jc w:val="center"/>
              <w:rPr>
                <w:rFonts w:hint="eastAsia" w:ascii="宋体" w:hAnsi="宋体" w:cs="宋体"/>
                <w:kern w:val="0"/>
                <w:sz w:val="24"/>
              </w:rPr>
            </w:pPr>
            <w:r>
              <w:rPr>
                <w:rFonts w:hint="eastAsia" w:ascii="宋体" w:hAnsi="宋体" w:cs="宋体"/>
                <w:kern w:val="0"/>
                <w:sz w:val="24"/>
              </w:rPr>
              <w:t>5</w:t>
            </w:r>
          </w:p>
        </w:tc>
        <w:tc>
          <w:tcPr>
            <w:tcW w:w="5553" w:type="dxa"/>
            <w:vAlign w:val="center"/>
          </w:tcPr>
          <w:p w14:paraId="61B65782">
            <w:pPr>
              <w:widowControl/>
              <w:jc w:val="left"/>
              <w:rPr>
                <w:rFonts w:hint="eastAsia" w:ascii="宋体" w:hAnsi="宋体" w:cs="宋体"/>
                <w:kern w:val="0"/>
                <w:sz w:val="24"/>
              </w:rPr>
            </w:pPr>
            <w:r>
              <w:rPr>
                <w:rFonts w:hint="eastAsia" w:ascii="宋体" w:hAnsi="宋体" w:cs="宋体"/>
                <w:kern w:val="0"/>
                <w:sz w:val="24"/>
              </w:rPr>
              <w:t>未按时出具巡检报告的，每发生一次扣1分；</w:t>
            </w:r>
          </w:p>
        </w:tc>
        <w:tc>
          <w:tcPr>
            <w:tcW w:w="1712" w:type="dxa"/>
            <w:vAlign w:val="center"/>
          </w:tcPr>
          <w:p w14:paraId="2B47EEDE">
            <w:pPr>
              <w:widowControl/>
              <w:jc w:val="center"/>
              <w:rPr>
                <w:rFonts w:hint="eastAsia" w:ascii="宋体" w:hAnsi="宋体" w:cs="宋体"/>
                <w:kern w:val="0"/>
                <w:sz w:val="24"/>
              </w:rPr>
            </w:pPr>
          </w:p>
        </w:tc>
        <w:tc>
          <w:tcPr>
            <w:tcW w:w="1597" w:type="dxa"/>
            <w:vAlign w:val="center"/>
          </w:tcPr>
          <w:p w14:paraId="01A38FEC">
            <w:pPr>
              <w:widowControl/>
              <w:jc w:val="center"/>
              <w:rPr>
                <w:rFonts w:hint="eastAsia" w:ascii="宋体" w:hAnsi="宋体" w:cs="宋体"/>
                <w:kern w:val="0"/>
                <w:sz w:val="24"/>
              </w:rPr>
            </w:pPr>
          </w:p>
        </w:tc>
      </w:tr>
      <w:tr w14:paraId="2659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50" w:type="dxa"/>
            <w:vAlign w:val="center"/>
          </w:tcPr>
          <w:p w14:paraId="576030B0">
            <w:pPr>
              <w:widowControl/>
              <w:jc w:val="center"/>
              <w:rPr>
                <w:rFonts w:hint="eastAsia" w:ascii="宋体" w:hAnsi="宋体" w:cs="宋体"/>
                <w:kern w:val="0"/>
                <w:sz w:val="24"/>
              </w:rPr>
            </w:pPr>
            <w:r>
              <w:rPr>
                <w:rFonts w:hint="eastAsia" w:ascii="宋体" w:hAnsi="宋体" w:cs="宋体"/>
                <w:kern w:val="0"/>
                <w:sz w:val="24"/>
              </w:rPr>
              <w:t>6</w:t>
            </w:r>
          </w:p>
        </w:tc>
        <w:tc>
          <w:tcPr>
            <w:tcW w:w="5553" w:type="dxa"/>
            <w:vAlign w:val="center"/>
          </w:tcPr>
          <w:p w14:paraId="2038B937">
            <w:pPr>
              <w:widowControl/>
              <w:jc w:val="left"/>
              <w:rPr>
                <w:rFonts w:hint="eastAsia" w:ascii="宋体" w:hAnsi="宋体" w:cs="宋体"/>
                <w:kern w:val="0"/>
                <w:sz w:val="24"/>
              </w:rPr>
            </w:pPr>
            <w:r>
              <w:rPr>
                <w:rFonts w:hint="eastAsia" w:ascii="宋体" w:hAnsi="宋体" w:cs="宋体"/>
                <w:kern w:val="0"/>
                <w:sz w:val="24"/>
              </w:rPr>
              <w:t>未按要求维修或维修质量不符合要求的，每发生一次扣5分。未按要求</w:t>
            </w:r>
            <w:r>
              <w:rPr>
                <w:rFonts w:hint="eastAsia" w:ascii="宋体" w:hAnsi="宋体" w:cs="宋体"/>
                <w:kern w:val="0"/>
                <w:sz w:val="24"/>
                <w:lang w:val="zh-CN"/>
              </w:rPr>
              <w:t>安排人员送至授权指定的维修点，每发生一次扣10分。</w:t>
            </w:r>
          </w:p>
        </w:tc>
        <w:tc>
          <w:tcPr>
            <w:tcW w:w="1712" w:type="dxa"/>
            <w:vAlign w:val="center"/>
          </w:tcPr>
          <w:p w14:paraId="3B262E53">
            <w:pPr>
              <w:widowControl/>
              <w:jc w:val="center"/>
              <w:rPr>
                <w:rFonts w:hint="eastAsia" w:ascii="宋体" w:hAnsi="宋体" w:cs="宋体"/>
                <w:kern w:val="0"/>
                <w:sz w:val="24"/>
              </w:rPr>
            </w:pPr>
          </w:p>
        </w:tc>
        <w:tc>
          <w:tcPr>
            <w:tcW w:w="1597" w:type="dxa"/>
            <w:vAlign w:val="center"/>
          </w:tcPr>
          <w:p w14:paraId="42CBFA99">
            <w:pPr>
              <w:widowControl/>
              <w:jc w:val="center"/>
              <w:rPr>
                <w:rFonts w:hint="eastAsia" w:ascii="宋体" w:hAnsi="宋体" w:cs="宋体"/>
                <w:kern w:val="0"/>
                <w:sz w:val="24"/>
              </w:rPr>
            </w:pPr>
          </w:p>
        </w:tc>
      </w:tr>
      <w:tr w14:paraId="3AE0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50" w:type="dxa"/>
            <w:vAlign w:val="center"/>
          </w:tcPr>
          <w:p w14:paraId="54B3492D">
            <w:pPr>
              <w:widowControl/>
              <w:jc w:val="center"/>
              <w:rPr>
                <w:rFonts w:hint="eastAsia" w:ascii="宋体" w:hAnsi="宋体" w:cs="宋体"/>
                <w:kern w:val="0"/>
                <w:sz w:val="24"/>
              </w:rPr>
            </w:pPr>
            <w:r>
              <w:rPr>
                <w:rFonts w:hint="eastAsia" w:ascii="宋体" w:hAnsi="宋体" w:cs="宋体"/>
                <w:kern w:val="0"/>
                <w:sz w:val="24"/>
              </w:rPr>
              <w:t>7</w:t>
            </w:r>
          </w:p>
        </w:tc>
        <w:tc>
          <w:tcPr>
            <w:tcW w:w="5553" w:type="dxa"/>
            <w:vAlign w:val="center"/>
          </w:tcPr>
          <w:p w14:paraId="7D0B1CF5">
            <w:pPr>
              <w:widowControl/>
              <w:jc w:val="left"/>
              <w:rPr>
                <w:rFonts w:hint="eastAsia" w:ascii="宋体" w:hAnsi="宋体" w:cs="宋体"/>
                <w:kern w:val="0"/>
                <w:sz w:val="24"/>
              </w:rPr>
            </w:pPr>
            <w:r>
              <w:rPr>
                <w:rFonts w:hint="eastAsia" w:ascii="宋体" w:hAnsi="宋体" w:cs="宋体"/>
                <w:kern w:val="0"/>
                <w:sz w:val="24"/>
              </w:rPr>
              <w:t>项目负责人、技术服务人员未按合同要求提供服务的</w:t>
            </w:r>
            <w:r>
              <w:rPr>
                <w:rFonts w:hint="eastAsia" w:ascii="宋体" w:hAnsi="宋体" w:cs="宋体"/>
                <w:kern w:val="0"/>
                <w:sz w:val="24"/>
                <w:lang w:val="zh-CN"/>
              </w:rPr>
              <w:t>，每发生一次扣3分。</w:t>
            </w:r>
          </w:p>
        </w:tc>
        <w:tc>
          <w:tcPr>
            <w:tcW w:w="1712" w:type="dxa"/>
            <w:vAlign w:val="center"/>
          </w:tcPr>
          <w:p w14:paraId="2E62EC80">
            <w:pPr>
              <w:widowControl/>
              <w:jc w:val="center"/>
              <w:rPr>
                <w:rFonts w:hint="eastAsia" w:ascii="宋体" w:hAnsi="宋体" w:cs="宋体"/>
                <w:kern w:val="0"/>
                <w:sz w:val="24"/>
              </w:rPr>
            </w:pPr>
          </w:p>
        </w:tc>
        <w:tc>
          <w:tcPr>
            <w:tcW w:w="1597" w:type="dxa"/>
            <w:vAlign w:val="center"/>
          </w:tcPr>
          <w:p w14:paraId="2417A9F7">
            <w:pPr>
              <w:widowControl/>
              <w:jc w:val="center"/>
              <w:rPr>
                <w:rFonts w:hint="eastAsia" w:ascii="宋体" w:hAnsi="宋体" w:cs="宋体"/>
                <w:kern w:val="0"/>
                <w:sz w:val="24"/>
              </w:rPr>
            </w:pPr>
          </w:p>
        </w:tc>
      </w:tr>
      <w:tr w14:paraId="1A59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50" w:type="dxa"/>
            <w:vAlign w:val="center"/>
          </w:tcPr>
          <w:p w14:paraId="478956AB">
            <w:pPr>
              <w:widowControl/>
              <w:jc w:val="center"/>
              <w:rPr>
                <w:rFonts w:hint="eastAsia" w:ascii="宋体" w:hAnsi="宋体" w:cs="宋体"/>
                <w:kern w:val="0"/>
                <w:sz w:val="24"/>
              </w:rPr>
            </w:pPr>
            <w:r>
              <w:rPr>
                <w:rFonts w:hint="eastAsia" w:ascii="宋体" w:hAnsi="宋体" w:cs="宋体"/>
                <w:kern w:val="0"/>
                <w:sz w:val="24"/>
              </w:rPr>
              <w:t>8</w:t>
            </w:r>
          </w:p>
        </w:tc>
        <w:tc>
          <w:tcPr>
            <w:tcW w:w="5553" w:type="dxa"/>
            <w:vAlign w:val="center"/>
          </w:tcPr>
          <w:p w14:paraId="7ACEC1EC">
            <w:pPr>
              <w:widowControl/>
              <w:jc w:val="left"/>
              <w:rPr>
                <w:rFonts w:hint="eastAsia" w:ascii="宋体" w:hAnsi="宋体" w:cs="宋体"/>
                <w:kern w:val="0"/>
                <w:sz w:val="24"/>
              </w:rPr>
            </w:pPr>
            <w:r>
              <w:rPr>
                <w:rFonts w:hint="eastAsia" w:ascii="宋体" w:hAnsi="宋体" w:cs="宋体"/>
                <w:kern w:val="0"/>
                <w:sz w:val="24"/>
              </w:rPr>
              <w:t>项目负责人、技术服务人员</w:t>
            </w:r>
            <w:r>
              <w:rPr>
                <w:rFonts w:hint="eastAsia" w:ascii="宋体" w:hAnsi="宋体" w:cs="宋体"/>
                <w:sz w:val="24"/>
              </w:rPr>
              <w:t>工作</w:t>
            </w:r>
            <w:r>
              <w:rPr>
                <w:rFonts w:hint="eastAsia" w:ascii="宋体" w:hAnsi="宋体" w:cs="宋体"/>
                <w:kern w:val="0"/>
                <w:sz w:val="24"/>
              </w:rPr>
              <w:t>未满足采购需求的，每发生一次扣3分；</w:t>
            </w:r>
          </w:p>
        </w:tc>
        <w:tc>
          <w:tcPr>
            <w:tcW w:w="1712" w:type="dxa"/>
            <w:vAlign w:val="center"/>
          </w:tcPr>
          <w:p w14:paraId="68F278D6">
            <w:pPr>
              <w:widowControl/>
              <w:jc w:val="center"/>
              <w:rPr>
                <w:rFonts w:hint="eastAsia" w:ascii="宋体" w:hAnsi="宋体" w:cs="宋体"/>
                <w:kern w:val="0"/>
                <w:sz w:val="24"/>
              </w:rPr>
            </w:pPr>
          </w:p>
        </w:tc>
        <w:tc>
          <w:tcPr>
            <w:tcW w:w="1597" w:type="dxa"/>
            <w:vAlign w:val="center"/>
          </w:tcPr>
          <w:p w14:paraId="39129E8E">
            <w:pPr>
              <w:widowControl/>
              <w:jc w:val="center"/>
              <w:rPr>
                <w:rFonts w:hint="eastAsia" w:ascii="宋体" w:hAnsi="宋体" w:cs="宋体"/>
                <w:kern w:val="0"/>
                <w:sz w:val="24"/>
              </w:rPr>
            </w:pPr>
          </w:p>
        </w:tc>
      </w:tr>
      <w:tr w14:paraId="7725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50" w:type="dxa"/>
            <w:vAlign w:val="center"/>
          </w:tcPr>
          <w:p w14:paraId="78B2C67F">
            <w:pPr>
              <w:widowControl/>
              <w:jc w:val="center"/>
              <w:rPr>
                <w:rFonts w:hint="eastAsia" w:ascii="宋体" w:hAnsi="宋体" w:cs="宋体"/>
                <w:kern w:val="0"/>
                <w:sz w:val="24"/>
              </w:rPr>
            </w:pPr>
            <w:r>
              <w:rPr>
                <w:rFonts w:hint="eastAsia" w:ascii="宋体" w:hAnsi="宋体" w:cs="宋体"/>
                <w:kern w:val="0"/>
                <w:sz w:val="24"/>
              </w:rPr>
              <w:t>9</w:t>
            </w:r>
          </w:p>
        </w:tc>
        <w:tc>
          <w:tcPr>
            <w:tcW w:w="5553" w:type="dxa"/>
            <w:vAlign w:val="center"/>
          </w:tcPr>
          <w:p w14:paraId="7D75FE81">
            <w:pPr>
              <w:widowControl/>
              <w:jc w:val="left"/>
              <w:rPr>
                <w:rFonts w:hint="eastAsia" w:ascii="宋体" w:hAnsi="宋体" w:cs="宋体"/>
                <w:sz w:val="24"/>
              </w:rPr>
            </w:pPr>
            <w:r>
              <w:rPr>
                <w:rFonts w:hint="eastAsia" w:ascii="宋体" w:hAnsi="宋体" w:cs="宋体"/>
                <w:kern w:val="0"/>
                <w:sz w:val="24"/>
              </w:rPr>
              <w:t>项目负责人、技术服务人员擅自更换的，每发生一次扣5分；</w:t>
            </w:r>
          </w:p>
        </w:tc>
        <w:tc>
          <w:tcPr>
            <w:tcW w:w="1712" w:type="dxa"/>
            <w:vAlign w:val="center"/>
          </w:tcPr>
          <w:p w14:paraId="32B18B2F">
            <w:pPr>
              <w:widowControl/>
              <w:jc w:val="center"/>
              <w:rPr>
                <w:rFonts w:hint="eastAsia" w:ascii="宋体" w:hAnsi="宋体" w:cs="宋体"/>
                <w:kern w:val="0"/>
                <w:sz w:val="24"/>
              </w:rPr>
            </w:pPr>
          </w:p>
        </w:tc>
        <w:tc>
          <w:tcPr>
            <w:tcW w:w="1597" w:type="dxa"/>
            <w:vAlign w:val="center"/>
          </w:tcPr>
          <w:p w14:paraId="60354857">
            <w:pPr>
              <w:widowControl/>
              <w:jc w:val="center"/>
              <w:rPr>
                <w:rFonts w:hint="eastAsia" w:ascii="宋体" w:hAnsi="宋体" w:cs="宋体"/>
                <w:kern w:val="0"/>
                <w:sz w:val="24"/>
              </w:rPr>
            </w:pPr>
          </w:p>
        </w:tc>
      </w:tr>
      <w:tr w14:paraId="6842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Align w:val="center"/>
          </w:tcPr>
          <w:p w14:paraId="62E189D6">
            <w:pPr>
              <w:widowControl/>
              <w:jc w:val="center"/>
              <w:rPr>
                <w:rFonts w:hint="eastAsia" w:ascii="宋体" w:hAnsi="宋体" w:cs="宋体"/>
                <w:kern w:val="0"/>
                <w:sz w:val="24"/>
              </w:rPr>
            </w:pPr>
            <w:r>
              <w:rPr>
                <w:rFonts w:hint="eastAsia" w:ascii="宋体" w:hAnsi="宋体" w:cs="宋体"/>
                <w:kern w:val="0"/>
                <w:sz w:val="24"/>
              </w:rPr>
              <w:t>10</w:t>
            </w:r>
          </w:p>
        </w:tc>
        <w:tc>
          <w:tcPr>
            <w:tcW w:w="5553" w:type="dxa"/>
            <w:vAlign w:val="center"/>
          </w:tcPr>
          <w:p w14:paraId="0171B4A2">
            <w:pPr>
              <w:widowControl/>
              <w:jc w:val="left"/>
              <w:rPr>
                <w:rFonts w:hint="eastAsia" w:ascii="宋体" w:hAnsi="宋体" w:cs="宋体"/>
                <w:kern w:val="0"/>
                <w:sz w:val="24"/>
              </w:rPr>
            </w:pPr>
            <w:r>
              <w:rPr>
                <w:rFonts w:hint="eastAsia" w:ascii="宋体" w:hAnsi="宋体" w:cs="宋体"/>
                <w:kern w:val="0"/>
                <w:sz w:val="24"/>
              </w:rPr>
              <w:t>未按保密管理条款规定执行的，每发现一次处违约金10000元，如发生泄密事件，除赔偿采购人损失外，还应承担全部法律责任。</w:t>
            </w:r>
          </w:p>
        </w:tc>
        <w:tc>
          <w:tcPr>
            <w:tcW w:w="1712" w:type="dxa"/>
            <w:vAlign w:val="center"/>
          </w:tcPr>
          <w:p w14:paraId="022B4ED2">
            <w:pPr>
              <w:widowControl/>
              <w:jc w:val="center"/>
              <w:rPr>
                <w:rFonts w:hint="eastAsia" w:ascii="宋体" w:hAnsi="宋体" w:cs="宋体"/>
                <w:kern w:val="0"/>
                <w:sz w:val="24"/>
              </w:rPr>
            </w:pPr>
          </w:p>
        </w:tc>
        <w:tc>
          <w:tcPr>
            <w:tcW w:w="1597" w:type="dxa"/>
            <w:vAlign w:val="center"/>
          </w:tcPr>
          <w:p w14:paraId="527B88F5">
            <w:pPr>
              <w:widowControl/>
              <w:jc w:val="center"/>
              <w:rPr>
                <w:rFonts w:hint="eastAsia" w:ascii="宋体" w:hAnsi="宋体" w:cs="宋体"/>
                <w:kern w:val="0"/>
                <w:sz w:val="24"/>
              </w:rPr>
            </w:pPr>
          </w:p>
        </w:tc>
      </w:tr>
      <w:tr w14:paraId="4FAD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Align w:val="center"/>
          </w:tcPr>
          <w:p w14:paraId="48F7FE73">
            <w:pPr>
              <w:widowControl/>
              <w:jc w:val="center"/>
              <w:rPr>
                <w:rFonts w:hint="eastAsia" w:ascii="宋体" w:hAnsi="宋体" w:cs="宋体"/>
                <w:kern w:val="0"/>
                <w:sz w:val="24"/>
              </w:rPr>
            </w:pPr>
            <w:r>
              <w:rPr>
                <w:rFonts w:hint="eastAsia" w:ascii="宋体" w:hAnsi="宋体" w:cs="宋体"/>
                <w:kern w:val="0"/>
                <w:sz w:val="24"/>
              </w:rPr>
              <w:t>小计</w:t>
            </w:r>
          </w:p>
        </w:tc>
        <w:tc>
          <w:tcPr>
            <w:tcW w:w="5553" w:type="dxa"/>
            <w:vAlign w:val="center"/>
          </w:tcPr>
          <w:p w14:paraId="6CE96DBF">
            <w:pPr>
              <w:widowControl/>
              <w:jc w:val="center"/>
              <w:rPr>
                <w:rFonts w:hint="eastAsia" w:ascii="宋体" w:hAnsi="宋体" w:cs="宋体"/>
                <w:kern w:val="0"/>
                <w:sz w:val="24"/>
              </w:rPr>
            </w:pPr>
          </w:p>
        </w:tc>
        <w:tc>
          <w:tcPr>
            <w:tcW w:w="1712" w:type="dxa"/>
            <w:vAlign w:val="center"/>
          </w:tcPr>
          <w:p w14:paraId="52242EC6">
            <w:pPr>
              <w:widowControl/>
              <w:jc w:val="center"/>
              <w:rPr>
                <w:rFonts w:hint="eastAsia" w:ascii="宋体" w:hAnsi="宋体" w:cs="宋体"/>
                <w:kern w:val="0"/>
                <w:sz w:val="24"/>
              </w:rPr>
            </w:pPr>
          </w:p>
        </w:tc>
        <w:tc>
          <w:tcPr>
            <w:tcW w:w="1597" w:type="dxa"/>
            <w:vAlign w:val="center"/>
          </w:tcPr>
          <w:p w14:paraId="51233B78">
            <w:pPr>
              <w:widowControl/>
              <w:jc w:val="center"/>
              <w:rPr>
                <w:rFonts w:hint="eastAsia" w:ascii="宋体" w:hAnsi="宋体" w:cs="宋体"/>
                <w:kern w:val="0"/>
                <w:sz w:val="24"/>
              </w:rPr>
            </w:pPr>
          </w:p>
        </w:tc>
      </w:tr>
      <w:tr w14:paraId="6A97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12" w:type="dxa"/>
            <w:gridSpan w:val="4"/>
          </w:tcPr>
          <w:p w14:paraId="458043FD">
            <w:pPr>
              <w:rPr>
                <w:rFonts w:hint="eastAsia" w:ascii="宋体" w:hAnsi="宋体" w:cs="宋体"/>
              </w:rPr>
            </w:pPr>
          </w:p>
          <w:p w14:paraId="64BD0DA3">
            <w:pPr>
              <w:widowControl/>
              <w:jc w:val="left"/>
              <w:rPr>
                <w:rFonts w:hint="eastAsia" w:ascii="宋体" w:hAnsi="宋体" w:cs="宋体"/>
                <w:kern w:val="0"/>
                <w:sz w:val="24"/>
              </w:rPr>
            </w:pPr>
            <w:r>
              <w:rPr>
                <w:rFonts w:hint="eastAsia" w:ascii="宋体" w:hAnsi="宋体" w:cs="宋体"/>
                <w:kern w:val="0"/>
                <w:sz w:val="24"/>
              </w:rPr>
              <w:t xml:space="preserve">采购人（单位盖章）经办人签字：     </w:t>
            </w:r>
          </w:p>
          <w:p w14:paraId="43C1000E">
            <w:pPr>
              <w:rPr>
                <w:rFonts w:hint="eastAsia" w:ascii="宋体" w:hAnsi="宋体" w:cs="宋体"/>
              </w:rPr>
            </w:pPr>
          </w:p>
          <w:p w14:paraId="55D9EDDD">
            <w:pPr>
              <w:widowControl/>
              <w:jc w:val="left"/>
              <w:rPr>
                <w:rFonts w:hint="eastAsia" w:ascii="宋体" w:hAnsi="宋体" w:cs="宋体"/>
              </w:rPr>
            </w:pPr>
            <w:r>
              <w:rPr>
                <w:rFonts w:hint="eastAsia" w:ascii="宋体" w:hAnsi="宋体" w:cs="宋体"/>
                <w:kern w:val="0"/>
                <w:sz w:val="24"/>
              </w:rPr>
              <w:t xml:space="preserve">复核人签字：        </w:t>
            </w:r>
          </w:p>
          <w:p w14:paraId="24872BE0">
            <w:pPr>
              <w:rPr>
                <w:rFonts w:hint="eastAsia" w:ascii="宋体" w:hAnsi="宋体" w:cs="宋体"/>
              </w:rPr>
            </w:pPr>
          </w:p>
          <w:p w14:paraId="70AAFC20">
            <w:pPr>
              <w:widowControl/>
              <w:jc w:val="left"/>
              <w:rPr>
                <w:rFonts w:hint="eastAsia" w:ascii="宋体" w:hAnsi="宋体" w:cs="宋体"/>
                <w:kern w:val="0"/>
                <w:sz w:val="24"/>
              </w:rPr>
            </w:pPr>
            <w:r>
              <w:rPr>
                <w:rFonts w:hint="eastAsia" w:ascii="宋体" w:hAnsi="宋体" w:cs="宋体"/>
                <w:kern w:val="0"/>
                <w:sz w:val="24"/>
              </w:rPr>
              <w:t>投标人（单位盖章）项目负责人签字：</w:t>
            </w:r>
          </w:p>
        </w:tc>
      </w:tr>
    </w:tbl>
    <w:p w14:paraId="48FD69C3">
      <w:pPr>
        <w:spacing w:line="360" w:lineRule="auto"/>
        <w:jc w:val="left"/>
        <w:rPr>
          <w:rFonts w:hint="eastAsia" w:ascii="宋体" w:hAnsi="宋体" w:cs="宋体"/>
          <w:sz w:val="24"/>
          <w:u w:val="single"/>
        </w:rPr>
      </w:pPr>
      <w:r>
        <w:rPr>
          <w:rFonts w:hint="eastAsia" w:ascii="宋体" w:hAnsi="宋体" w:cs="宋体"/>
          <w:b/>
          <w:sz w:val="28"/>
          <w:szCs w:val="28"/>
        </w:rPr>
        <w:t>五、合同订立安排</w:t>
      </w:r>
    </w:p>
    <w:p w14:paraId="3CCF404C">
      <w:pPr>
        <w:spacing w:line="360" w:lineRule="auto"/>
        <w:jc w:val="left"/>
        <w:rPr>
          <w:rFonts w:hint="eastAsia" w:ascii="宋体" w:hAnsi="宋体" w:cs="宋体"/>
          <w:sz w:val="24"/>
        </w:rPr>
      </w:pPr>
      <w:r>
        <w:rPr>
          <w:rFonts w:hint="eastAsia" w:ascii="宋体" w:hAnsi="宋体" w:cs="宋体"/>
          <w:sz w:val="24"/>
        </w:rPr>
        <w:t>（一）采购项目预（概）算（元）：</w:t>
      </w:r>
      <w:r>
        <w:rPr>
          <w:rFonts w:ascii="宋体" w:hAnsi="宋体" w:cs="宋体"/>
          <w:sz w:val="24"/>
          <w:u w:val="single"/>
        </w:rPr>
        <w:t>29</w:t>
      </w:r>
      <w:r>
        <w:rPr>
          <w:rFonts w:hint="eastAsia" w:ascii="宋体" w:hAnsi="宋体" w:cs="宋体"/>
          <w:sz w:val="24"/>
          <w:u w:val="single"/>
        </w:rPr>
        <w:t>万元</w:t>
      </w:r>
      <w:r>
        <w:rPr>
          <w:rFonts w:hint="eastAsia" w:ascii="宋体" w:hAnsi="宋体" w:cs="宋体"/>
          <w:sz w:val="24"/>
        </w:rPr>
        <w:t>（当年安排14.5万元。）</w:t>
      </w:r>
    </w:p>
    <w:p w14:paraId="75E27102">
      <w:pPr>
        <w:spacing w:line="360" w:lineRule="auto"/>
        <w:jc w:val="left"/>
        <w:rPr>
          <w:rFonts w:hint="eastAsia" w:ascii="宋体" w:hAnsi="宋体" w:cs="宋体"/>
          <w:sz w:val="24"/>
        </w:rPr>
      </w:pPr>
      <w:r>
        <w:rPr>
          <w:rFonts w:hint="eastAsia" w:ascii="宋体" w:hAnsi="宋体" w:cs="宋体"/>
          <w:sz w:val="24"/>
        </w:rPr>
        <w:t xml:space="preserve">      </w:t>
      </w:r>
      <w:r>
        <w:rPr>
          <w:rFonts w:hint="eastAsia" w:ascii="宋体" w:hAnsi="宋体" w:cs="宋体"/>
          <w:color w:val="FF0000"/>
          <w:sz w:val="24"/>
        </w:rPr>
        <w:t>采购最高限价</w:t>
      </w:r>
      <w:r>
        <w:rPr>
          <w:rFonts w:hint="eastAsia" w:ascii="宋体" w:hAnsi="宋体" w:cs="宋体"/>
          <w:color w:val="FF0000"/>
          <w:sz w:val="24"/>
          <w:u w:val="single"/>
        </w:rPr>
        <w:t>：</w:t>
      </w:r>
      <w:r>
        <w:rPr>
          <w:rFonts w:hint="eastAsia" w:ascii="宋体" w:hAnsi="宋体" w:cs="宋体"/>
          <w:color w:val="FF0000"/>
          <w:sz w:val="24"/>
          <w:u w:val="single"/>
          <w:lang w:val="en-US" w:eastAsia="zh-CN"/>
        </w:rPr>
        <w:t>/</w:t>
      </w:r>
      <w:r>
        <w:rPr>
          <w:rFonts w:hint="eastAsia" w:ascii="宋体" w:hAnsi="宋体" w:cs="宋体"/>
          <w:color w:val="FF0000"/>
          <w:sz w:val="24"/>
          <w:u w:val="single"/>
        </w:rPr>
        <w:t xml:space="preserve">     </w:t>
      </w:r>
    </w:p>
    <w:p w14:paraId="0B164BEC">
      <w:pPr>
        <w:spacing w:line="360" w:lineRule="auto"/>
        <w:jc w:val="left"/>
        <w:rPr>
          <w:rFonts w:hint="eastAsia" w:ascii="宋体" w:hAnsi="宋体" w:cs="宋体"/>
          <w:sz w:val="24"/>
        </w:rPr>
      </w:pPr>
      <w:r>
        <w:rPr>
          <w:rFonts w:hint="eastAsia" w:ascii="宋体" w:hAnsi="宋体" w:cs="宋体"/>
          <w:sz w:val="24"/>
        </w:rPr>
        <w:t>（二）开展采购活动的时间安排：</w:t>
      </w:r>
      <w:r>
        <w:rPr>
          <w:rFonts w:hint="eastAsia" w:ascii="宋体" w:hAnsi="宋体" w:cs="宋体"/>
          <w:sz w:val="24"/>
          <w:u w:val="single"/>
        </w:rPr>
        <w:t xml:space="preserve">    2025年6月              </w:t>
      </w:r>
    </w:p>
    <w:p w14:paraId="716B4950">
      <w:pPr>
        <w:spacing w:line="360" w:lineRule="auto"/>
        <w:jc w:val="left"/>
        <w:rPr>
          <w:rFonts w:hint="default" w:ascii="宋体" w:hAnsi="宋体" w:eastAsia="宋体" w:cs="宋体"/>
          <w:sz w:val="24"/>
          <w:lang w:val="en-US" w:eastAsia="zh-CN"/>
        </w:rPr>
      </w:pPr>
      <w:r>
        <w:rPr>
          <w:rFonts w:hint="eastAsia" w:ascii="宋体" w:hAnsi="宋体" w:cs="宋体"/>
          <w:sz w:val="24"/>
        </w:rPr>
        <w:t>（三）采购组织形式：</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集中采购</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 xml:space="preserve">分散采购 </w:t>
      </w:r>
      <w:r>
        <w:rPr>
          <w:rFonts w:hint="eastAsia" w:ascii="宋体" w:hAnsi="宋体" w:cs="宋体"/>
          <w:sz w:val="24"/>
          <w:lang w:val="en-US" w:eastAsia="zh-CN"/>
        </w:rPr>
        <w:t xml:space="preserve">  </w:t>
      </w:r>
      <w:r>
        <w:rPr>
          <w:rFonts w:hint="eastAsia" w:ascii="宋体" w:hAnsi="宋体" w:cs="宋体"/>
          <w:sz w:val="24"/>
        </w:rPr>
        <w:sym w:font="Wingdings 2" w:char="0052"/>
      </w:r>
      <w:r>
        <w:rPr>
          <w:rFonts w:hint="eastAsia" w:ascii="宋体" w:hAnsi="宋体" w:cs="宋体"/>
          <w:sz w:val="24"/>
          <w:lang w:val="en-US" w:eastAsia="zh-CN"/>
        </w:rPr>
        <w:t>自行</w:t>
      </w:r>
      <w:r>
        <w:rPr>
          <w:rFonts w:hint="eastAsia" w:ascii="宋体" w:hAnsi="宋体" w:cs="宋体"/>
          <w:sz w:val="24"/>
        </w:rPr>
        <w:t xml:space="preserve">采购 </w:t>
      </w:r>
    </w:p>
    <w:p w14:paraId="3BE88530">
      <w:pPr>
        <w:spacing w:line="360" w:lineRule="auto"/>
        <w:jc w:val="left"/>
        <w:rPr>
          <w:rFonts w:hint="eastAsia" w:ascii="宋体" w:hAnsi="宋体" w:cs="宋体"/>
          <w:sz w:val="24"/>
        </w:rPr>
      </w:pPr>
      <w:r>
        <w:rPr>
          <w:rFonts w:hint="eastAsia" w:ascii="宋体" w:hAnsi="宋体" w:cs="宋体"/>
          <w:sz w:val="24"/>
        </w:rPr>
        <w:t>（四）委托代理安排</w:t>
      </w:r>
    </w:p>
    <w:p w14:paraId="624A577B">
      <w:pPr>
        <w:spacing w:line="360" w:lineRule="auto"/>
        <w:ind w:firstLine="420"/>
        <w:jc w:val="left"/>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集中采购机构</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部门集中采购机构</w:t>
      </w:r>
    </w:p>
    <w:p w14:paraId="590AE9BE">
      <w:pPr>
        <w:spacing w:line="360" w:lineRule="auto"/>
        <w:ind w:firstLine="420"/>
        <w:jc w:val="left"/>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采购代理机构</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自行采购（含电子卖场）</w:t>
      </w:r>
    </w:p>
    <w:p w14:paraId="12B5F29F">
      <w:pPr>
        <w:spacing w:line="360" w:lineRule="auto"/>
        <w:jc w:val="left"/>
        <w:rPr>
          <w:rFonts w:hint="eastAsia" w:ascii="宋体" w:hAnsi="宋体" w:cs="宋体"/>
          <w:sz w:val="24"/>
        </w:rPr>
      </w:pPr>
      <w:r>
        <w:rPr>
          <w:rFonts w:hint="eastAsia" w:ascii="宋体" w:hAnsi="宋体" w:cs="宋体"/>
          <w:sz w:val="24"/>
        </w:rPr>
        <w:t>（五）采购包划分：</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分标项</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F052"/>
      </w:r>
      <w:r>
        <w:rPr>
          <w:rFonts w:hint="eastAsia" w:ascii="宋体" w:hAnsi="宋体" w:cs="宋体"/>
          <w:sz w:val="24"/>
        </w:rPr>
        <w:t xml:space="preserve">不分标项 </w:t>
      </w:r>
    </w:p>
    <w:p w14:paraId="69297402">
      <w:pPr>
        <w:spacing w:line="360" w:lineRule="auto"/>
        <w:jc w:val="left"/>
        <w:rPr>
          <w:rFonts w:hint="eastAsia" w:ascii="宋体" w:hAnsi="宋体" w:cs="宋体"/>
          <w:sz w:val="24"/>
        </w:rPr>
      </w:pPr>
      <w:r>
        <w:rPr>
          <w:rFonts w:hint="eastAsia" w:ascii="宋体" w:hAnsi="宋体" w:cs="宋体"/>
          <w:sz w:val="24"/>
        </w:rPr>
        <w:t>（六）合同分包：</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 xml:space="preserve">允许分包    </w:t>
      </w:r>
      <w:r>
        <w:rPr>
          <w:rFonts w:hint="eastAsia" w:ascii="宋体" w:hAnsi="宋体" w:cs="宋体"/>
          <w:sz w:val="24"/>
        </w:rPr>
        <w:sym w:font="Wingdings 2" w:char="F052"/>
      </w:r>
      <w:r>
        <w:rPr>
          <w:rFonts w:hint="eastAsia" w:ascii="宋体" w:hAnsi="宋体" w:cs="宋体"/>
          <w:sz w:val="24"/>
        </w:rPr>
        <w:t>不允许分包</w:t>
      </w:r>
    </w:p>
    <w:p w14:paraId="76545E0B">
      <w:pPr>
        <w:spacing w:line="360" w:lineRule="auto"/>
        <w:jc w:val="left"/>
        <w:rPr>
          <w:rFonts w:hint="eastAsia" w:ascii="宋体" w:hAnsi="宋体" w:cs="宋体"/>
          <w:sz w:val="24"/>
        </w:rPr>
      </w:pPr>
      <w:r>
        <w:rPr>
          <w:rFonts w:hint="eastAsia" w:ascii="宋体" w:hAnsi="宋体" w:cs="宋体"/>
          <w:sz w:val="24"/>
        </w:rPr>
        <w:t>（七）投标人资格条件</w:t>
      </w:r>
    </w:p>
    <w:p w14:paraId="1DA8CCBA">
      <w:pPr>
        <w:spacing w:line="360" w:lineRule="auto"/>
        <w:ind w:firstLine="420"/>
        <w:jc w:val="left"/>
        <w:rPr>
          <w:rFonts w:hint="eastAsia" w:ascii="宋体" w:hAnsi="宋体" w:cs="宋体"/>
          <w:sz w:val="24"/>
          <w:u w:val="single"/>
        </w:rPr>
      </w:pPr>
      <w:r>
        <w:rPr>
          <w:rFonts w:hint="eastAsia" w:ascii="宋体" w:hAnsi="宋体" w:cs="宋体"/>
          <w:sz w:val="24"/>
          <w:u w:val="single"/>
        </w:rPr>
        <w:t xml:space="preserve"> 1.参照《中华人民共和国政府采购法》满足第二十二条规定；未被“信用中国”（www.creditchina.gov.cn)、中国政府采购网（www.ccgp.gov.cn）列入失信被执行人、重大税收违法案件当事人名单、政府采购严重违法失信行为记录名单；</w:t>
      </w:r>
    </w:p>
    <w:p w14:paraId="6FC2B171">
      <w:pPr>
        <w:spacing w:line="360" w:lineRule="auto"/>
        <w:ind w:firstLine="420"/>
        <w:jc w:val="left"/>
        <w:rPr>
          <w:rFonts w:hint="eastAsia" w:ascii="宋体" w:hAnsi="宋体" w:cs="宋体"/>
          <w:sz w:val="24"/>
          <w:u w:val="single"/>
        </w:rPr>
      </w:pPr>
      <w:r>
        <w:rPr>
          <w:rFonts w:hint="eastAsia" w:ascii="宋体" w:hAnsi="宋体" w:cs="宋体"/>
          <w:sz w:val="24"/>
          <w:u w:val="single"/>
        </w:rPr>
        <w:t>2.落实政府采购政策需满足的资格要求：本项目专门面向小微企业</w:t>
      </w:r>
    </w:p>
    <w:p w14:paraId="1B1E2CE5">
      <w:pPr>
        <w:spacing w:line="360" w:lineRule="auto"/>
        <w:ind w:firstLine="420"/>
        <w:jc w:val="left"/>
        <w:rPr>
          <w:rFonts w:hint="eastAsia" w:ascii="宋体" w:hAnsi="宋体" w:cs="宋体"/>
          <w:sz w:val="24"/>
          <w:u w:val="single"/>
        </w:rPr>
      </w:pPr>
      <w:r>
        <w:rPr>
          <w:rFonts w:hint="eastAsia" w:ascii="宋体" w:hAnsi="宋体" w:cs="宋体"/>
          <w:sz w:val="24"/>
          <w:u w:val="single"/>
        </w:rPr>
        <w:t>3.本项目的特定资格要求：无</w:t>
      </w:r>
    </w:p>
    <w:p w14:paraId="6FAD15F2">
      <w:pPr>
        <w:spacing w:line="360" w:lineRule="auto"/>
        <w:jc w:val="left"/>
        <w:rPr>
          <w:rFonts w:hint="eastAsia" w:ascii="宋体" w:hAnsi="宋体" w:cs="宋体"/>
          <w:sz w:val="24"/>
        </w:rPr>
      </w:pPr>
      <w:r>
        <w:rPr>
          <w:rFonts w:hint="eastAsia" w:ascii="宋体" w:hAnsi="宋体" w:cs="宋体"/>
          <w:sz w:val="24"/>
        </w:rPr>
        <w:t>（八）采购方式</w:t>
      </w:r>
    </w:p>
    <w:p w14:paraId="5E2FCD10">
      <w:pPr>
        <w:spacing w:line="360" w:lineRule="auto"/>
        <w:ind w:firstLine="480"/>
        <w:jc w:val="left"/>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公开招标</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□邀请招标</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□竞争性谈判</w:t>
      </w:r>
    </w:p>
    <w:p w14:paraId="6ADACB3B">
      <w:pPr>
        <w:spacing w:line="360" w:lineRule="auto"/>
        <w:ind w:firstLine="480"/>
        <w:jc w:val="left"/>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竞争性磋商</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询价</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□单一来源采购</w:t>
      </w:r>
    </w:p>
    <w:p w14:paraId="66B39044">
      <w:pPr>
        <w:spacing w:line="360" w:lineRule="auto"/>
        <w:ind w:firstLine="480"/>
        <w:jc w:val="left"/>
        <w:rPr>
          <w:rFonts w:hint="eastAsia" w:ascii="宋体" w:hAnsi="宋体" w:cs="宋体"/>
          <w:sz w:val="24"/>
        </w:rPr>
      </w:pPr>
      <w:r>
        <w:rPr>
          <w:rFonts w:hint="eastAsia" w:ascii="宋体" w:hAnsi="宋体" w:cs="宋体"/>
          <w:sz w:val="24"/>
        </w:rPr>
        <w:t>□电子卖场</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其他采购方式 （</w:t>
      </w:r>
      <w:r>
        <w:rPr>
          <w:rFonts w:hint="eastAsia" w:ascii="宋体" w:hAnsi="宋体" w:cs="宋体"/>
          <w:sz w:val="24"/>
          <w:u w:val="single"/>
        </w:rPr>
        <w:t xml:space="preserve">  </w:t>
      </w:r>
      <w:r>
        <w:rPr>
          <w:rFonts w:hint="eastAsia" w:ascii="宋体" w:hAnsi="宋体"/>
          <w:sz w:val="24"/>
          <w:u w:val="single"/>
        </w:rPr>
        <w:t>政采云分散服务市场竞价</w:t>
      </w:r>
      <w:r>
        <w:rPr>
          <w:rFonts w:hint="eastAsia" w:ascii="宋体" w:hAnsi="宋体" w:cs="宋体"/>
          <w:sz w:val="24"/>
          <w:u w:val="single"/>
        </w:rPr>
        <w:t xml:space="preserve">  </w:t>
      </w:r>
      <w:r>
        <w:rPr>
          <w:rFonts w:hint="eastAsia" w:ascii="宋体" w:hAnsi="宋体" w:cs="宋体"/>
          <w:sz w:val="24"/>
        </w:rPr>
        <w:t>）</w:t>
      </w:r>
    </w:p>
    <w:p w14:paraId="11B26808">
      <w:pPr>
        <w:spacing w:line="360" w:lineRule="auto"/>
        <w:jc w:val="left"/>
        <w:rPr>
          <w:rFonts w:hint="eastAsia" w:ascii="宋体" w:hAnsi="宋体" w:cs="宋体"/>
          <w:sz w:val="24"/>
        </w:rPr>
      </w:pPr>
      <w:r>
        <w:rPr>
          <w:rFonts w:hint="eastAsia" w:ascii="宋体" w:hAnsi="宋体" w:cs="宋体"/>
          <w:sz w:val="24"/>
        </w:rPr>
        <w:t>（九）选择采购方式的理由</w:t>
      </w:r>
    </w:p>
    <w:p w14:paraId="044DC0E5">
      <w:pPr>
        <w:spacing w:line="360" w:lineRule="auto"/>
        <w:ind w:firstLine="420"/>
        <w:jc w:val="left"/>
        <w:rPr>
          <w:rFonts w:hint="eastAsia" w:ascii="宋体" w:hAnsi="宋体" w:cs="宋体"/>
          <w:sz w:val="24"/>
          <w:u w:val="single"/>
        </w:rPr>
      </w:pPr>
      <w:r>
        <w:rPr>
          <w:rFonts w:hint="eastAsia" w:ascii="宋体" w:hAnsi="宋体" w:cs="宋体"/>
          <w:sz w:val="24"/>
          <w:u w:val="single"/>
        </w:rPr>
        <w:t>分散采购限额以下可使用</w:t>
      </w:r>
      <w:r>
        <w:rPr>
          <w:rFonts w:hint="eastAsia" w:ascii="宋体" w:hAnsi="宋体"/>
          <w:sz w:val="24"/>
          <w:u w:val="single"/>
        </w:rPr>
        <w:t>政采云分散服务市场竞价</w:t>
      </w:r>
      <w:r>
        <w:rPr>
          <w:rFonts w:hint="eastAsia" w:ascii="宋体" w:hAnsi="宋体" w:cs="宋体"/>
          <w:sz w:val="24"/>
          <w:u w:val="single"/>
        </w:rPr>
        <w:t>。</w:t>
      </w:r>
    </w:p>
    <w:p w14:paraId="35EDB755">
      <w:pPr>
        <w:spacing w:line="360" w:lineRule="auto"/>
        <w:jc w:val="left"/>
        <w:rPr>
          <w:rFonts w:hint="eastAsia" w:ascii="宋体" w:hAnsi="宋体" w:cs="宋体"/>
          <w:sz w:val="24"/>
        </w:rPr>
      </w:pPr>
      <w:r>
        <w:rPr>
          <w:rFonts w:hint="eastAsia" w:ascii="宋体" w:hAnsi="宋体" w:cs="宋体"/>
          <w:sz w:val="24"/>
        </w:rPr>
        <w:t>（十）竞争范围：</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公开发布</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电子卖场</w:t>
      </w:r>
    </w:p>
    <w:p w14:paraId="7B9EFCCF">
      <w:pPr>
        <w:spacing w:line="360" w:lineRule="auto"/>
        <w:jc w:val="left"/>
        <w:rPr>
          <w:rFonts w:hint="eastAsia" w:ascii="宋体" w:hAnsi="宋体" w:cs="宋体"/>
          <w:sz w:val="24"/>
        </w:rPr>
      </w:pPr>
      <w:r>
        <w:rPr>
          <w:rFonts w:hint="eastAsia" w:ascii="宋体" w:hAnsi="宋体" w:cs="宋体"/>
          <w:sz w:val="24"/>
        </w:rPr>
        <w:t>（十一）评审规则：</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综合评分</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最低价中标</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其他（</w:t>
      </w:r>
      <w:r>
        <w:rPr>
          <w:rFonts w:hint="eastAsia" w:ascii="宋体" w:hAnsi="宋体" w:cs="宋体"/>
          <w:sz w:val="24"/>
          <w:u w:val="single"/>
        </w:rPr>
        <w:t xml:space="preserve">             </w:t>
      </w:r>
      <w:r>
        <w:rPr>
          <w:rFonts w:hint="eastAsia" w:ascii="宋体" w:hAnsi="宋体" w:cs="宋体"/>
          <w:sz w:val="24"/>
        </w:rPr>
        <w:t xml:space="preserve">） </w:t>
      </w:r>
    </w:p>
    <w:p w14:paraId="1D55959A">
      <w:pPr>
        <w:spacing w:line="360" w:lineRule="auto"/>
        <w:jc w:val="left"/>
        <w:rPr>
          <w:rFonts w:hint="eastAsia" w:ascii="宋体" w:hAnsi="宋体" w:cs="宋体"/>
          <w:iCs/>
          <w:color w:val="FF0000"/>
          <w:sz w:val="24"/>
        </w:rPr>
      </w:pPr>
      <w:r>
        <w:rPr>
          <w:rFonts w:hint="eastAsia" w:ascii="宋体" w:hAnsi="宋体" w:cs="宋体"/>
          <w:color w:val="FF0000"/>
          <w:sz w:val="24"/>
        </w:rPr>
        <w:t>（十二）</w:t>
      </w:r>
      <w:r>
        <w:rPr>
          <w:rFonts w:hint="eastAsia" w:ascii="宋体" w:hAnsi="宋体" w:cs="宋体"/>
          <w:iCs/>
          <w:color w:val="FF0000"/>
          <w:sz w:val="24"/>
        </w:rPr>
        <w:t>11.违约责任与解决争议的方法：</w:t>
      </w:r>
    </w:p>
    <w:p w14:paraId="7758E6EB">
      <w:pPr>
        <w:spacing w:line="360" w:lineRule="auto"/>
        <w:ind w:firstLine="480" w:firstLineChars="200"/>
        <w:jc w:val="left"/>
        <w:rPr>
          <w:rFonts w:hint="eastAsia" w:ascii="宋体" w:hAnsi="宋体" w:cs="宋体"/>
          <w:iCs/>
          <w:sz w:val="24"/>
        </w:rPr>
      </w:pPr>
      <w:r>
        <w:rPr>
          <w:rFonts w:hint="eastAsia" w:ascii="宋体" w:hAnsi="宋体" w:cs="宋体"/>
          <w:iCs/>
          <w:sz w:val="24"/>
        </w:rPr>
        <w:t>（1）采购人的违约责任：</w:t>
      </w:r>
    </w:p>
    <w:p w14:paraId="289FCB7F">
      <w:pPr>
        <w:spacing w:line="360" w:lineRule="auto"/>
        <w:ind w:firstLine="480" w:firstLineChars="200"/>
        <w:jc w:val="left"/>
        <w:rPr>
          <w:rFonts w:hint="eastAsia" w:ascii="宋体" w:hAnsi="宋体" w:cs="宋体"/>
          <w:iCs/>
          <w:sz w:val="24"/>
        </w:rPr>
      </w:pPr>
      <w:r>
        <w:rPr>
          <w:rFonts w:hint="eastAsia" w:ascii="宋体" w:hAnsi="宋体" w:cs="宋体"/>
          <w:iCs/>
          <w:sz w:val="24"/>
        </w:rPr>
        <w:t>1.1采购人应当履行合同约定的义务，如有违反，须承担相应的违约责任。</w:t>
      </w:r>
    </w:p>
    <w:p w14:paraId="154E8003">
      <w:pPr>
        <w:spacing w:line="360" w:lineRule="auto"/>
        <w:ind w:firstLine="480" w:firstLineChars="200"/>
        <w:jc w:val="left"/>
        <w:rPr>
          <w:rFonts w:hint="eastAsia" w:ascii="宋体" w:hAnsi="宋体" w:cs="宋体"/>
          <w:iCs/>
          <w:sz w:val="24"/>
        </w:rPr>
      </w:pPr>
      <w:r>
        <w:rPr>
          <w:rFonts w:hint="eastAsia" w:ascii="宋体" w:hAnsi="宋体" w:cs="宋体"/>
          <w:iCs/>
          <w:sz w:val="24"/>
        </w:rPr>
        <w:t>1.2采购人有权依据有关法律法规、政府管理的相关职能规定，对本项目进行监督和检查，有权要求投标人按照监督检查情况制定相应措施并加以整改。采购人不因行使该监督和检查权而承担任何责任，也不因此减轻或免除投标人根据合同约定或相关法律法规规定应承担的任何义务或责任。。</w:t>
      </w:r>
    </w:p>
    <w:p w14:paraId="7F91A164">
      <w:pPr>
        <w:spacing w:line="360" w:lineRule="auto"/>
        <w:ind w:firstLine="480" w:firstLineChars="200"/>
        <w:jc w:val="left"/>
        <w:rPr>
          <w:rFonts w:hint="eastAsia" w:ascii="宋体" w:hAnsi="宋体" w:cs="宋体"/>
          <w:iCs/>
          <w:sz w:val="24"/>
        </w:rPr>
      </w:pPr>
      <w:r>
        <w:rPr>
          <w:rFonts w:hint="eastAsia" w:ascii="宋体" w:hAnsi="宋体" w:cs="宋体"/>
          <w:iCs/>
          <w:sz w:val="24"/>
        </w:rPr>
        <w:t>1.3除不可抗力外，如果采购人没有按照本合同约定的付款方式付款，那么投标人可要求采购人支付违约金，违约金按每迟延付款一日的应付而未付款的0.05%计算，最高限额为本合同总价的20%；迟延付款的违约金计算数额达到前述最高限额之日起，投标人有权在要求采购人支付违约金的同时，书面通知采购人解除本合同。</w:t>
      </w:r>
    </w:p>
    <w:p w14:paraId="10E98346">
      <w:pPr>
        <w:spacing w:line="360" w:lineRule="auto"/>
        <w:ind w:firstLine="480" w:firstLineChars="200"/>
        <w:jc w:val="left"/>
        <w:rPr>
          <w:rFonts w:hint="eastAsia" w:ascii="宋体" w:hAnsi="宋体" w:cs="宋体"/>
          <w:iCs/>
          <w:sz w:val="24"/>
        </w:rPr>
      </w:pPr>
      <w:r>
        <w:rPr>
          <w:rFonts w:hint="eastAsia" w:ascii="宋体" w:hAnsi="宋体" w:cs="宋体"/>
          <w:iCs/>
          <w:sz w:val="24"/>
        </w:rPr>
        <w:t>（2）投标人的违约责任：</w:t>
      </w:r>
    </w:p>
    <w:p w14:paraId="695DD757">
      <w:pPr>
        <w:spacing w:line="360" w:lineRule="auto"/>
        <w:ind w:firstLine="480" w:firstLineChars="200"/>
        <w:jc w:val="left"/>
        <w:rPr>
          <w:rFonts w:hint="eastAsia" w:ascii="宋体" w:hAnsi="宋体" w:cs="宋体"/>
          <w:iCs/>
          <w:sz w:val="24"/>
        </w:rPr>
      </w:pPr>
      <w:r>
        <w:rPr>
          <w:rFonts w:hint="eastAsia" w:ascii="宋体" w:hAnsi="宋体" w:cs="宋体"/>
          <w:iCs/>
          <w:sz w:val="24"/>
        </w:rPr>
        <w:t>2.1投标人应完全按照采购人采购文件的要求和投标人投标文件及相关文件承诺完成本项目，因投标人自身财务、技术、人力等原因导致项目风险的，应承担全部责任。</w:t>
      </w:r>
    </w:p>
    <w:p w14:paraId="501B0650">
      <w:pPr>
        <w:spacing w:line="360" w:lineRule="auto"/>
        <w:ind w:firstLine="480" w:firstLineChars="200"/>
        <w:jc w:val="left"/>
        <w:rPr>
          <w:rFonts w:hint="eastAsia" w:ascii="宋体" w:hAnsi="宋体" w:cs="宋体"/>
          <w:iCs/>
          <w:sz w:val="24"/>
        </w:rPr>
      </w:pPr>
      <w:r>
        <w:rPr>
          <w:rFonts w:hint="eastAsia" w:ascii="宋体" w:hAnsi="宋体" w:cs="宋体"/>
          <w:iCs/>
          <w:sz w:val="24"/>
        </w:rPr>
        <w:t>2.2服务期间，采购人每月对投标人实施考核，如有违约的，根据考核条款进行处置，直至解除合同。</w:t>
      </w:r>
    </w:p>
    <w:p w14:paraId="37CDFF82">
      <w:pPr>
        <w:spacing w:line="360" w:lineRule="auto"/>
        <w:ind w:firstLine="480" w:firstLineChars="200"/>
        <w:jc w:val="left"/>
        <w:rPr>
          <w:rFonts w:hint="eastAsia" w:ascii="宋体" w:hAnsi="宋体" w:cs="宋体"/>
          <w:iCs/>
          <w:sz w:val="24"/>
        </w:rPr>
      </w:pPr>
      <w:r>
        <w:rPr>
          <w:rFonts w:hint="eastAsia" w:ascii="宋体" w:hAnsi="宋体" w:cs="宋体"/>
          <w:iCs/>
          <w:sz w:val="24"/>
        </w:rPr>
        <w:t>2.3除不可抗力外，如果投标人没有按照本合同约定的期限、地点和方式提供服务，那么采购人可要求投标人支付违约金，违约金按每迟延提供服务一日的应提供而未提供服务价格的0.05%计算，最高限额为本合同总价的20%；迟延提供服务的违约金计算数额达到前述最高限额之日起，采购人有权在要求投标人支付违约金的同时，书面通知投标人解除本合同。</w:t>
      </w:r>
    </w:p>
    <w:p w14:paraId="74CFECE6">
      <w:pPr>
        <w:spacing w:line="360" w:lineRule="auto"/>
        <w:ind w:firstLine="480" w:firstLineChars="200"/>
        <w:jc w:val="left"/>
        <w:rPr>
          <w:rFonts w:hint="eastAsia" w:ascii="宋体" w:hAnsi="宋体" w:cs="宋体"/>
          <w:iCs/>
          <w:sz w:val="24"/>
        </w:rPr>
      </w:pPr>
      <w:r>
        <w:rPr>
          <w:rFonts w:hint="eastAsia" w:ascii="宋体" w:hAnsi="宋体" w:cs="宋体"/>
          <w:iCs/>
          <w:sz w:val="24"/>
        </w:rPr>
        <w:t>2.4投标人所有人员的事故由投标人自行全权负责。</w:t>
      </w:r>
    </w:p>
    <w:p w14:paraId="67C0291D">
      <w:pPr>
        <w:spacing w:line="360" w:lineRule="auto"/>
        <w:ind w:firstLine="480" w:firstLineChars="200"/>
        <w:jc w:val="left"/>
        <w:rPr>
          <w:rFonts w:hint="eastAsia" w:ascii="宋体" w:hAnsi="宋体" w:cs="宋体"/>
          <w:iCs/>
          <w:sz w:val="24"/>
        </w:rPr>
      </w:pPr>
      <w:r>
        <w:rPr>
          <w:rFonts w:hint="eastAsia" w:ascii="宋体" w:hAnsi="宋体" w:cs="宋体"/>
          <w:iCs/>
          <w:sz w:val="24"/>
        </w:rPr>
        <w:t>2.5</w:t>
      </w:r>
      <w:r>
        <w:rPr>
          <w:rFonts w:hint="eastAsia" w:ascii="宋体" w:hAnsi="宋体" w:cs="宋体"/>
          <w:iCs/>
          <w:sz w:val="24"/>
          <w:u w:val="single"/>
        </w:rPr>
        <w:t>投标人未按保密管理条款规定执行的，每发现一次处违约金10000元，如发生泄密事件，除赔偿采购人损失外，还应承担全部法律责任</w:t>
      </w:r>
      <w:r>
        <w:rPr>
          <w:rFonts w:hint="eastAsia" w:ascii="宋体" w:hAnsi="宋体" w:cs="宋体"/>
          <w:iCs/>
          <w:sz w:val="24"/>
        </w:rPr>
        <w:t>。</w:t>
      </w:r>
    </w:p>
    <w:p w14:paraId="51F63D96">
      <w:pPr>
        <w:spacing w:line="360" w:lineRule="auto"/>
        <w:ind w:firstLine="480" w:firstLineChars="200"/>
        <w:jc w:val="left"/>
        <w:rPr>
          <w:rFonts w:hint="eastAsia" w:ascii="宋体" w:hAnsi="宋体" w:cs="宋体"/>
          <w:iCs/>
          <w:sz w:val="24"/>
        </w:rPr>
      </w:pPr>
      <w:r>
        <w:rPr>
          <w:rFonts w:hint="eastAsia" w:ascii="宋体" w:hAnsi="宋体" w:cs="宋体"/>
          <w:iCs/>
          <w:sz w:val="24"/>
        </w:rPr>
        <w:t>2.6违约金在结算合同尾款时一次性扣除。</w:t>
      </w:r>
    </w:p>
    <w:p w14:paraId="6EA58D97">
      <w:pPr>
        <w:spacing w:line="360" w:lineRule="auto"/>
        <w:ind w:firstLine="480" w:firstLineChars="200"/>
        <w:jc w:val="left"/>
        <w:rPr>
          <w:rFonts w:hint="eastAsia" w:ascii="宋体" w:hAnsi="宋体" w:cs="宋体"/>
          <w:iCs/>
          <w:sz w:val="24"/>
        </w:rPr>
      </w:pPr>
      <w:r>
        <w:rPr>
          <w:rFonts w:hint="eastAsia" w:ascii="宋体" w:hAnsi="宋体" w:cs="宋体"/>
          <w:iCs/>
          <w:sz w:val="24"/>
        </w:rPr>
        <w:t>2.7投标人不得将本合同的内容转包或者分包，如被采购人发现将追回已支付的合同款，因此造成的一切损失由投标人负责赔偿。</w:t>
      </w:r>
    </w:p>
    <w:p w14:paraId="6035BB7C">
      <w:pPr>
        <w:spacing w:line="360" w:lineRule="auto"/>
        <w:ind w:firstLine="480" w:firstLineChars="200"/>
        <w:jc w:val="left"/>
        <w:rPr>
          <w:rFonts w:hint="eastAsia" w:ascii="宋体" w:hAnsi="宋体" w:cs="宋体"/>
          <w:iCs/>
          <w:sz w:val="24"/>
        </w:rPr>
      </w:pPr>
      <w:r>
        <w:rPr>
          <w:rFonts w:hint="eastAsia" w:ascii="宋体" w:hAnsi="宋体" w:cs="宋体"/>
          <w:iCs/>
          <w:sz w:val="24"/>
        </w:rPr>
        <w:t>合同履行过程中发生的任何争议，双方当事人均可通过和解或者调解解决；不愿和解、调解或者和解、调解不成的向采购人所在地的人民法院起诉。</w:t>
      </w:r>
    </w:p>
    <w:p w14:paraId="086677F7">
      <w:pPr>
        <w:spacing w:line="360" w:lineRule="auto"/>
        <w:ind w:firstLine="480" w:firstLineChars="200"/>
        <w:jc w:val="left"/>
        <w:rPr>
          <w:rFonts w:hint="eastAsia" w:ascii="宋体" w:hAnsi="宋体" w:cs="宋体"/>
          <w:iCs/>
          <w:sz w:val="24"/>
        </w:rPr>
      </w:pPr>
      <w:r>
        <w:rPr>
          <w:rFonts w:hint="eastAsia" w:ascii="宋体" w:hAnsi="宋体" w:cs="宋体"/>
          <w:iCs/>
          <w:sz w:val="24"/>
        </w:rPr>
        <w:t>12.其他条款:无。</w:t>
      </w:r>
    </w:p>
    <w:p w14:paraId="5E14F221">
      <w:pPr>
        <w:spacing w:before="312" w:beforeLines="100" w:line="360" w:lineRule="auto"/>
        <w:jc w:val="left"/>
        <w:rPr>
          <w:rFonts w:hint="eastAsia" w:ascii="宋体" w:hAnsi="宋体" w:cs="宋体"/>
          <w:b/>
          <w:color w:val="FF0000"/>
          <w:sz w:val="28"/>
          <w:szCs w:val="28"/>
        </w:rPr>
      </w:pPr>
      <w:r>
        <w:rPr>
          <w:rFonts w:hint="eastAsia" w:ascii="宋体" w:hAnsi="宋体" w:cs="宋体"/>
          <w:b/>
          <w:color w:val="FF0000"/>
          <w:sz w:val="28"/>
          <w:szCs w:val="28"/>
        </w:rPr>
        <w:t>六、履约验收方案</w:t>
      </w:r>
    </w:p>
    <w:p w14:paraId="6499CD0E">
      <w:pPr>
        <w:spacing w:line="360" w:lineRule="auto"/>
        <w:jc w:val="left"/>
        <w:rPr>
          <w:rFonts w:hint="eastAsia" w:ascii="宋体" w:hAnsi="宋体" w:cs="宋体"/>
          <w:sz w:val="24"/>
        </w:rPr>
      </w:pPr>
      <w:r>
        <w:rPr>
          <w:rFonts w:hint="eastAsia" w:ascii="宋体" w:hAnsi="宋体" w:cs="宋体"/>
          <w:sz w:val="24"/>
        </w:rPr>
        <w:t>（一）履约验收主体</w:t>
      </w:r>
    </w:p>
    <w:p w14:paraId="7B5C6F98">
      <w:pPr>
        <w:spacing w:line="360" w:lineRule="auto"/>
        <w:ind w:left="420" w:leftChars="200"/>
        <w:jc w:val="left"/>
        <w:rPr>
          <w:rFonts w:hint="eastAsia" w:ascii="宋体" w:hAnsi="宋体" w:cs="宋体"/>
          <w:sz w:val="24"/>
          <w:u w:val="single"/>
        </w:rPr>
      </w:pPr>
      <w:r>
        <w:rPr>
          <w:rFonts w:hint="eastAsia" w:ascii="宋体" w:hAnsi="宋体" w:cs="宋体"/>
          <w:sz w:val="24"/>
        </w:rPr>
        <w:t>1.采购单位：杭州市公安局刑事侦查支队</w:t>
      </w:r>
    </w:p>
    <w:p w14:paraId="24320E6F">
      <w:pPr>
        <w:spacing w:line="360" w:lineRule="auto"/>
        <w:ind w:left="420" w:leftChars="200"/>
        <w:jc w:val="left"/>
        <w:rPr>
          <w:rFonts w:hint="eastAsia" w:ascii="宋体" w:hAnsi="宋体" w:cs="宋体"/>
          <w:sz w:val="24"/>
          <w:u w:val="single"/>
        </w:rPr>
      </w:pPr>
      <w:r>
        <w:rPr>
          <w:rFonts w:hint="eastAsia" w:ascii="宋体" w:hAnsi="宋体" w:cs="宋体"/>
          <w:sz w:val="24"/>
        </w:rPr>
        <w:t>2.是否选择代理机构：</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是</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否</w:t>
      </w:r>
    </w:p>
    <w:p w14:paraId="2F6087AD">
      <w:pPr>
        <w:spacing w:line="360" w:lineRule="auto"/>
        <w:ind w:left="420" w:leftChars="200"/>
        <w:jc w:val="left"/>
        <w:rPr>
          <w:rFonts w:hint="eastAsia" w:ascii="宋体" w:hAnsi="宋体" w:cs="宋体"/>
          <w:sz w:val="24"/>
          <w:u w:val="single"/>
        </w:rPr>
      </w:pPr>
      <w:r>
        <w:rPr>
          <w:rFonts w:hint="eastAsia" w:ascii="宋体" w:hAnsi="宋体" w:cs="宋体"/>
          <w:sz w:val="24"/>
        </w:rPr>
        <w:t>3.是否邀请本项目的其他供应商：</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是</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否</w:t>
      </w:r>
    </w:p>
    <w:p w14:paraId="2541B90A">
      <w:pPr>
        <w:spacing w:line="360" w:lineRule="auto"/>
        <w:ind w:left="420" w:leftChars="200"/>
        <w:jc w:val="left"/>
        <w:rPr>
          <w:rFonts w:hint="eastAsia" w:ascii="宋体" w:hAnsi="宋体" w:cs="宋体"/>
          <w:sz w:val="24"/>
        </w:rPr>
      </w:pPr>
      <w:r>
        <w:rPr>
          <w:rFonts w:hint="eastAsia" w:ascii="宋体" w:hAnsi="宋体" w:cs="宋体"/>
          <w:sz w:val="24"/>
        </w:rPr>
        <w:t>4.是否邀请专家：</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是</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否</w:t>
      </w:r>
    </w:p>
    <w:p w14:paraId="65646928">
      <w:pPr>
        <w:spacing w:line="360" w:lineRule="auto"/>
        <w:ind w:left="420" w:leftChars="200"/>
        <w:jc w:val="left"/>
        <w:rPr>
          <w:rFonts w:hint="eastAsia" w:ascii="宋体" w:hAnsi="宋体" w:cs="宋体"/>
          <w:sz w:val="24"/>
        </w:rPr>
      </w:pPr>
      <w:r>
        <w:rPr>
          <w:rFonts w:hint="eastAsia" w:ascii="宋体" w:hAnsi="宋体" w:cs="宋体"/>
          <w:sz w:val="24"/>
        </w:rPr>
        <w:t>5.是否邀请服务对象：</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是</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否</w:t>
      </w:r>
    </w:p>
    <w:p w14:paraId="58230A08">
      <w:pPr>
        <w:spacing w:line="360" w:lineRule="auto"/>
        <w:ind w:firstLine="420"/>
        <w:jc w:val="left"/>
        <w:rPr>
          <w:rFonts w:hint="eastAsia" w:ascii="宋体" w:hAnsi="宋体" w:cs="宋体"/>
          <w:sz w:val="24"/>
        </w:rPr>
      </w:pPr>
      <w:r>
        <w:rPr>
          <w:rFonts w:hint="eastAsia" w:ascii="宋体" w:hAnsi="宋体" w:cs="宋体"/>
          <w:sz w:val="24"/>
        </w:rPr>
        <w:t>6.其他：无。</w:t>
      </w:r>
    </w:p>
    <w:p w14:paraId="5344C154">
      <w:pPr>
        <w:spacing w:line="360" w:lineRule="auto"/>
        <w:jc w:val="left"/>
        <w:rPr>
          <w:rFonts w:hint="eastAsia" w:ascii="宋体" w:hAnsi="宋体" w:cs="宋体"/>
          <w:sz w:val="24"/>
          <w:u w:val="single"/>
        </w:rPr>
      </w:pPr>
      <w:r>
        <w:rPr>
          <w:rFonts w:hint="eastAsia" w:ascii="宋体" w:hAnsi="宋体" w:cs="宋体"/>
          <w:sz w:val="24"/>
        </w:rPr>
        <w:t>（二）履约验收时间：</w:t>
      </w:r>
      <w:r>
        <w:rPr>
          <w:rFonts w:hint="eastAsia" w:ascii="宋体" w:hAnsi="宋体" w:cs="宋体"/>
          <w:sz w:val="24"/>
          <w:u w:val="single"/>
        </w:rPr>
        <w:t xml:space="preserve"> 第一阶段：2025年11月30日后；第二阶段：2026年5月31日服务期结束后。</w:t>
      </w:r>
    </w:p>
    <w:p w14:paraId="0FB986FD">
      <w:pPr>
        <w:spacing w:line="360" w:lineRule="auto"/>
        <w:jc w:val="left"/>
        <w:rPr>
          <w:rFonts w:hint="eastAsia" w:ascii="宋体" w:hAnsi="宋体" w:cs="宋体"/>
          <w:sz w:val="24"/>
        </w:rPr>
      </w:pPr>
      <w:r>
        <w:rPr>
          <w:rFonts w:hint="eastAsia" w:ascii="宋体" w:hAnsi="宋体" w:cs="宋体"/>
          <w:sz w:val="24"/>
        </w:rPr>
        <w:t>（三）履约验收方式：</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简易程序</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一般程序</w:t>
      </w:r>
    </w:p>
    <w:p w14:paraId="5B7C58B9">
      <w:pPr>
        <w:spacing w:line="360" w:lineRule="auto"/>
        <w:jc w:val="left"/>
        <w:rPr>
          <w:rFonts w:hint="eastAsia" w:ascii="宋体" w:hAnsi="宋体" w:cs="宋体"/>
          <w:sz w:val="24"/>
        </w:rPr>
      </w:pPr>
      <w:r>
        <w:rPr>
          <w:rFonts w:hint="eastAsia" w:ascii="宋体" w:hAnsi="宋体" w:cs="宋体"/>
          <w:sz w:val="24"/>
        </w:rPr>
        <w:t>（四）履约验收程序：</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一次性验收</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分段验收</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分期验收</w:t>
      </w:r>
    </w:p>
    <w:p w14:paraId="4C648F9E">
      <w:pPr>
        <w:spacing w:line="360" w:lineRule="auto"/>
        <w:jc w:val="left"/>
        <w:rPr>
          <w:rFonts w:hint="eastAsia" w:ascii="宋体" w:hAnsi="宋体" w:cs="宋体"/>
          <w:sz w:val="24"/>
        </w:rPr>
      </w:pPr>
      <w:r>
        <w:rPr>
          <w:rFonts w:hint="eastAsia" w:ascii="宋体" w:hAnsi="宋体" w:cs="宋体"/>
          <w:sz w:val="24"/>
        </w:rPr>
        <w:t>（五）履约验收内容</w:t>
      </w:r>
    </w:p>
    <w:p w14:paraId="48E67524">
      <w:pPr>
        <w:tabs>
          <w:tab w:val="left" w:pos="0"/>
        </w:tabs>
        <w:spacing w:line="360" w:lineRule="auto"/>
        <w:ind w:firstLine="482"/>
        <w:rPr>
          <w:rFonts w:hint="eastAsia" w:ascii="宋体" w:hAnsi="宋体" w:cs="宋体"/>
          <w:sz w:val="24"/>
        </w:rPr>
      </w:pPr>
      <w:r>
        <w:rPr>
          <w:rFonts w:hint="eastAsia" w:ascii="宋体" w:hAnsi="宋体" w:cs="宋体"/>
          <w:sz w:val="24"/>
        </w:rPr>
        <w:t>1、采购人参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4C28D0A0">
      <w:pPr>
        <w:tabs>
          <w:tab w:val="left" w:pos="0"/>
        </w:tabs>
        <w:spacing w:line="360" w:lineRule="auto"/>
        <w:ind w:firstLine="482"/>
        <w:rPr>
          <w:rFonts w:hint="eastAsia" w:ascii="宋体" w:hAnsi="宋体" w:cs="宋体"/>
          <w:sz w:val="24"/>
        </w:rPr>
      </w:pPr>
      <w:r>
        <w:rPr>
          <w:rFonts w:hint="eastAsia" w:ascii="宋体" w:hAnsi="宋体" w:cs="宋体"/>
          <w:sz w:val="24"/>
        </w:rPr>
        <w:t>2、严格按照采购合同开展履约验收。采购人自行组织验收，由采购人内部职能部门3人组成验收小组（刑侦支队七大队1人、法制1人、纪检1人），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挂钩。履约验收的各项资料应当存档备查。</w:t>
      </w:r>
    </w:p>
    <w:p w14:paraId="54D86F34">
      <w:pPr>
        <w:tabs>
          <w:tab w:val="left" w:pos="0"/>
        </w:tabs>
        <w:spacing w:line="360" w:lineRule="auto"/>
        <w:ind w:firstLine="482"/>
        <w:rPr>
          <w:rFonts w:hint="eastAsia" w:ascii="宋体" w:hAnsi="宋体" w:cs="宋体"/>
          <w:sz w:val="24"/>
        </w:rPr>
      </w:pPr>
      <w:r>
        <w:rPr>
          <w:rFonts w:hint="eastAsia" w:ascii="宋体" w:hAnsi="宋体" w:cs="宋体"/>
          <w:sz w:val="24"/>
        </w:rPr>
        <w:t>3、验收合格的项目，采购人将根据采购合同的约定及时向投标人支付采购资金。验收不合格的项目，采购人将依法及时处理。采购合同的履行、违约责任和解决争议的方式等适用《中华人民共和国民法典》。</w:t>
      </w:r>
    </w:p>
    <w:p w14:paraId="0E2EF902">
      <w:pPr>
        <w:spacing w:line="360" w:lineRule="auto"/>
        <w:ind w:firstLine="420"/>
        <w:jc w:val="left"/>
        <w:rPr>
          <w:rFonts w:hint="eastAsia" w:ascii="宋体" w:hAnsi="宋体" w:cs="宋体"/>
          <w:sz w:val="24"/>
        </w:rPr>
      </w:pPr>
      <w:r>
        <w:rPr>
          <w:rFonts w:hint="eastAsia" w:ascii="宋体" w:hAnsi="宋体" w:cs="宋体"/>
          <w:sz w:val="24"/>
        </w:rPr>
        <w:t>4、验收内容及资料</w:t>
      </w:r>
    </w:p>
    <w:p w14:paraId="3B137068">
      <w:pPr>
        <w:spacing w:line="360" w:lineRule="auto"/>
        <w:ind w:firstLine="420"/>
        <w:jc w:val="left"/>
        <w:rPr>
          <w:rFonts w:hint="eastAsia" w:ascii="宋体" w:hAnsi="宋体" w:cs="宋体"/>
          <w:sz w:val="24"/>
        </w:rPr>
      </w:pPr>
      <w:r>
        <w:rPr>
          <w:rFonts w:hint="eastAsia" w:ascii="宋体" w:hAnsi="宋体" w:cs="宋体"/>
          <w:sz w:val="24"/>
        </w:rPr>
        <w:t>4.1验收内容</w:t>
      </w:r>
    </w:p>
    <w:p w14:paraId="73CC25D6">
      <w:pPr>
        <w:spacing w:line="360" w:lineRule="auto"/>
        <w:ind w:left="420"/>
        <w:jc w:val="left"/>
        <w:rPr>
          <w:rFonts w:hint="eastAsia" w:ascii="宋体" w:hAnsi="宋体" w:cs="宋体"/>
          <w:iCs/>
          <w:sz w:val="24"/>
        </w:rPr>
      </w:pPr>
      <w:r>
        <w:rPr>
          <w:rFonts w:hint="eastAsia" w:ascii="宋体" w:hAnsi="宋体" w:cs="宋体"/>
          <w:iCs/>
          <w:sz w:val="24"/>
        </w:rPr>
        <w:t>履约内容</w:t>
      </w:r>
    </w:p>
    <w:tbl>
      <w:tblPr>
        <w:tblStyle w:val="13"/>
        <w:tblW w:w="9187"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515"/>
        <w:gridCol w:w="6811"/>
      </w:tblGrid>
      <w:tr w14:paraId="0A82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ign w:val="center"/>
          </w:tcPr>
          <w:p w14:paraId="79D47DB2">
            <w:pPr>
              <w:widowControl/>
              <w:spacing w:line="360" w:lineRule="auto"/>
              <w:jc w:val="center"/>
              <w:outlineLvl w:val="3"/>
              <w:rPr>
                <w:rFonts w:hint="eastAsia" w:ascii="宋体" w:hAnsi="宋体" w:cs="宋体"/>
                <w:bCs/>
                <w:sz w:val="24"/>
              </w:rPr>
            </w:pPr>
            <w:r>
              <w:rPr>
                <w:rFonts w:hint="eastAsia" w:ascii="宋体" w:hAnsi="宋体" w:cs="宋体"/>
                <w:bCs/>
                <w:sz w:val="24"/>
              </w:rPr>
              <w:t>序号</w:t>
            </w:r>
          </w:p>
        </w:tc>
        <w:tc>
          <w:tcPr>
            <w:tcW w:w="1515" w:type="dxa"/>
            <w:noWrap/>
            <w:vAlign w:val="center"/>
          </w:tcPr>
          <w:p w14:paraId="67E718B6">
            <w:pPr>
              <w:widowControl/>
              <w:spacing w:line="360" w:lineRule="auto"/>
              <w:jc w:val="center"/>
              <w:outlineLvl w:val="3"/>
              <w:rPr>
                <w:rFonts w:hint="eastAsia" w:ascii="宋体" w:hAnsi="宋体" w:cs="宋体"/>
                <w:bCs/>
                <w:sz w:val="24"/>
              </w:rPr>
            </w:pPr>
            <w:r>
              <w:rPr>
                <w:rFonts w:hint="eastAsia" w:ascii="宋体" w:hAnsi="宋体" w:cs="宋体"/>
                <w:bCs/>
                <w:sz w:val="24"/>
              </w:rPr>
              <w:t>验收内容</w:t>
            </w:r>
          </w:p>
        </w:tc>
        <w:tc>
          <w:tcPr>
            <w:tcW w:w="6811" w:type="dxa"/>
            <w:vAlign w:val="center"/>
          </w:tcPr>
          <w:p w14:paraId="27ABF27C">
            <w:pPr>
              <w:widowControl/>
              <w:spacing w:line="360" w:lineRule="auto"/>
              <w:jc w:val="center"/>
              <w:outlineLvl w:val="3"/>
              <w:rPr>
                <w:rFonts w:hint="eastAsia" w:ascii="宋体" w:hAnsi="宋体" w:cs="宋体"/>
                <w:bCs/>
                <w:sz w:val="24"/>
              </w:rPr>
            </w:pPr>
            <w:r>
              <w:rPr>
                <w:rFonts w:hint="eastAsia" w:ascii="宋体" w:hAnsi="宋体" w:cs="宋体"/>
                <w:bCs/>
                <w:sz w:val="24"/>
              </w:rPr>
              <w:t>验收标准</w:t>
            </w:r>
          </w:p>
        </w:tc>
      </w:tr>
      <w:tr w14:paraId="64F9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ign w:val="center"/>
          </w:tcPr>
          <w:p w14:paraId="405A6A88">
            <w:pPr>
              <w:widowControl/>
              <w:spacing w:line="360" w:lineRule="auto"/>
              <w:jc w:val="center"/>
              <w:outlineLvl w:val="3"/>
              <w:rPr>
                <w:rFonts w:hint="eastAsia" w:ascii="宋体" w:hAnsi="宋体" w:cs="宋体"/>
                <w:bCs/>
                <w:sz w:val="24"/>
              </w:rPr>
            </w:pPr>
            <w:r>
              <w:rPr>
                <w:rFonts w:hint="eastAsia" w:ascii="宋体" w:hAnsi="宋体" w:cs="宋体"/>
                <w:bCs/>
                <w:sz w:val="24"/>
              </w:rPr>
              <w:t>1</w:t>
            </w:r>
          </w:p>
        </w:tc>
        <w:tc>
          <w:tcPr>
            <w:tcW w:w="1515" w:type="dxa"/>
            <w:noWrap/>
            <w:vAlign w:val="center"/>
          </w:tcPr>
          <w:p w14:paraId="67B5C32A">
            <w:pPr>
              <w:widowControl/>
              <w:spacing w:line="360" w:lineRule="auto"/>
              <w:jc w:val="center"/>
              <w:outlineLvl w:val="3"/>
              <w:rPr>
                <w:rFonts w:hint="eastAsia" w:ascii="宋体" w:hAnsi="宋体" w:cs="宋体"/>
                <w:bCs/>
                <w:sz w:val="24"/>
              </w:rPr>
            </w:pPr>
            <w:r>
              <w:rPr>
                <w:rFonts w:hint="eastAsia" w:ascii="宋体" w:hAnsi="宋体" w:cs="宋体"/>
                <w:bCs/>
                <w:sz w:val="24"/>
              </w:rPr>
              <w:t>服务质量管理</w:t>
            </w:r>
          </w:p>
        </w:tc>
        <w:tc>
          <w:tcPr>
            <w:tcW w:w="6811" w:type="dxa"/>
            <w:vAlign w:val="center"/>
          </w:tcPr>
          <w:p w14:paraId="430D0158">
            <w:pPr>
              <w:widowControl/>
              <w:spacing w:line="360" w:lineRule="auto"/>
              <w:jc w:val="left"/>
              <w:outlineLvl w:val="3"/>
              <w:rPr>
                <w:rFonts w:hint="eastAsia" w:ascii="宋体" w:hAnsi="宋体" w:cs="宋体"/>
                <w:bCs/>
                <w:sz w:val="24"/>
              </w:rPr>
            </w:pPr>
            <w:r>
              <w:rPr>
                <w:rFonts w:hint="eastAsia" w:ascii="宋体" w:hAnsi="宋体" w:cs="宋体"/>
                <w:kern w:val="0"/>
                <w:sz w:val="24"/>
              </w:rPr>
              <w:t>仪器维护</w:t>
            </w:r>
            <w:r>
              <w:rPr>
                <w:rFonts w:hint="eastAsia" w:ascii="宋体" w:hAnsi="宋体" w:cs="宋体"/>
                <w:bCs/>
                <w:sz w:val="24"/>
              </w:rPr>
              <w:t>按合同及承诺实现情况，</w:t>
            </w:r>
            <w:r>
              <w:rPr>
                <w:rFonts w:hint="eastAsia" w:ascii="宋体" w:hAnsi="宋体" w:cs="宋体"/>
                <w:kern w:val="0"/>
                <w:sz w:val="24"/>
                <w:lang w:val="zh-CN"/>
              </w:rPr>
              <w:t>上门维护校正次数、上门时间、维护校正报告、故障送修情况等</w:t>
            </w:r>
          </w:p>
        </w:tc>
      </w:tr>
      <w:tr w14:paraId="7777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noWrap/>
            <w:vAlign w:val="center"/>
          </w:tcPr>
          <w:p w14:paraId="4C0CE5D9">
            <w:pPr>
              <w:spacing w:line="360" w:lineRule="auto"/>
              <w:jc w:val="center"/>
              <w:outlineLvl w:val="3"/>
              <w:rPr>
                <w:rFonts w:hint="eastAsia" w:ascii="宋体" w:hAnsi="宋体" w:cs="宋体"/>
                <w:bCs/>
                <w:sz w:val="24"/>
              </w:rPr>
            </w:pPr>
            <w:r>
              <w:rPr>
                <w:rFonts w:hint="eastAsia" w:ascii="宋体" w:hAnsi="宋体" w:cs="宋体"/>
                <w:bCs/>
                <w:sz w:val="24"/>
              </w:rPr>
              <w:t>2</w:t>
            </w:r>
          </w:p>
        </w:tc>
        <w:tc>
          <w:tcPr>
            <w:tcW w:w="1515" w:type="dxa"/>
            <w:vMerge w:val="restart"/>
            <w:noWrap/>
            <w:vAlign w:val="center"/>
          </w:tcPr>
          <w:p w14:paraId="25DA9E49">
            <w:pPr>
              <w:spacing w:line="360" w:lineRule="auto"/>
              <w:jc w:val="center"/>
              <w:outlineLvl w:val="3"/>
              <w:rPr>
                <w:rFonts w:hint="eastAsia" w:ascii="宋体" w:hAnsi="宋体" w:cs="宋体"/>
                <w:bCs/>
                <w:sz w:val="24"/>
              </w:rPr>
            </w:pPr>
            <w:r>
              <w:rPr>
                <w:rFonts w:hint="eastAsia" w:ascii="宋体" w:hAnsi="宋体" w:cs="宋体"/>
                <w:bCs/>
                <w:sz w:val="24"/>
              </w:rPr>
              <w:t>人员管理</w:t>
            </w:r>
          </w:p>
        </w:tc>
        <w:tc>
          <w:tcPr>
            <w:tcW w:w="6811" w:type="dxa"/>
            <w:vAlign w:val="center"/>
          </w:tcPr>
          <w:p w14:paraId="4EF711F0">
            <w:pPr>
              <w:widowControl/>
              <w:spacing w:line="360" w:lineRule="auto"/>
              <w:jc w:val="left"/>
              <w:outlineLvl w:val="3"/>
              <w:rPr>
                <w:rFonts w:hint="eastAsia" w:ascii="宋体" w:hAnsi="宋体" w:cs="宋体"/>
                <w:bCs/>
                <w:sz w:val="24"/>
              </w:rPr>
            </w:pPr>
            <w:r>
              <w:rPr>
                <w:rFonts w:hint="eastAsia" w:ascii="宋体" w:hAnsi="宋体" w:cs="宋体"/>
                <w:bCs/>
                <w:sz w:val="24"/>
              </w:rPr>
              <w:t>按合同要求配备项目负责人情况</w:t>
            </w:r>
          </w:p>
        </w:tc>
      </w:tr>
      <w:tr w14:paraId="5657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ign w:val="center"/>
          </w:tcPr>
          <w:p w14:paraId="51958180">
            <w:pPr>
              <w:spacing w:line="360" w:lineRule="auto"/>
              <w:jc w:val="center"/>
              <w:outlineLvl w:val="3"/>
              <w:rPr>
                <w:rFonts w:hint="eastAsia" w:ascii="宋体" w:hAnsi="宋体" w:cs="宋体"/>
                <w:bCs/>
                <w:sz w:val="24"/>
              </w:rPr>
            </w:pPr>
          </w:p>
        </w:tc>
        <w:tc>
          <w:tcPr>
            <w:tcW w:w="1515" w:type="dxa"/>
            <w:vMerge w:val="continue"/>
            <w:noWrap/>
            <w:vAlign w:val="center"/>
          </w:tcPr>
          <w:p w14:paraId="6F95DB25">
            <w:pPr>
              <w:spacing w:line="360" w:lineRule="auto"/>
              <w:jc w:val="center"/>
              <w:outlineLvl w:val="3"/>
              <w:rPr>
                <w:rFonts w:hint="eastAsia" w:ascii="宋体" w:hAnsi="宋体" w:cs="宋体"/>
                <w:bCs/>
                <w:sz w:val="24"/>
              </w:rPr>
            </w:pPr>
          </w:p>
        </w:tc>
        <w:tc>
          <w:tcPr>
            <w:tcW w:w="6811" w:type="dxa"/>
            <w:vAlign w:val="center"/>
          </w:tcPr>
          <w:p w14:paraId="63051DDD">
            <w:pPr>
              <w:widowControl/>
              <w:spacing w:line="360" w:lineRule="auto"/>
              <w:jc w:val="left"/>
              <w:outlineLvl w:val="3"/>
              <w:rPr>
                <w:rFonts w:hint="eastAsia" w:ascii="宋体" w:hAnsi="宋体" w:cs="宋体"/>
                <w:bCs/>
                <w:sz w:val="24"/>
              </w:rPr>
            </w:pPr>
            <w:r>
              <w:rPr>
                <w:rFonts w:hint="eastAsia" w:ascii="宋体" w:hAnsi="宋体" w:cs="宋体"/>
                <w:bCs/>
                <w:sz w:val="24"/>
              </w:rPr>
              <w:t>按合同要求配备技术服务人员情况</w:t>
            </w:r>
          </w:p>
        </w:tc>
      </w:tr>
      <w:tr w14:paraId="003E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ign w:val="center"/>
          </w:tcPr>
          <w:p w14:paraId="7976D276">
            <w:pPr>
              <w:widowControl/>
              <w:spacing w:line="360" w:lineRule="auto"/>
              <w:jc w:val="center"/>
              <w:outlineLvl w:val="3"/>
              <w:rPr>
                <w:rFonts w:hint="eastAsia" w:ascii="宋体" w:hAnsi="宋体" w:cs="宋体"/>
                <w:bCs/>
                <w:sz w:val="24"/>
              </w:rPr>
            </w:pPr>
          </w:p>
        </w:tc>
        <w:tc>
          <w:tcPr>
            <w:tcW w:w="1515" w:type="dxa"/>
            <w:vMerge w:val="continue"/>
            <w:noWrap/>
            <w:vAlign w:val="center"/>
          </w:tcPr>
          <w:p w14:paraId="5E74F552">
            <w:pPr>
              <w:widowControl/>
              <w:spacing w:line="360" w:lineRule="auto"/>
              <w:jc w:val="center"/>
              <w:outlineLvl w:val="3"/>
              <w:rPr>
                <w:rFonts w:hint="eastAsia" w:ascii="宋体" w:hAnsi="宋体" w:cs="宋体"/>
                <w:bCs/>
                <w:sz w:val="24"/>
              </w:rPr>
            </w:pPr>
          </w:p>
        </w:tc>
        <w:tc>
          <w:tcPr>
            <w:tcW w:w="6811" w:type="dxa"/>
            <w:vAlign w:val="center"/>
          </w:tcPr>
          <w:p w14:paraId="47F43FC1">
            <w:pPr>
              <w:widowControl/>
              <w:spacing w:line="360" w:lineRule="auto"/>
              <w:jc w:val="left"/>
              <w:outlineLvl w:val="3"/>
              <w:rPr>
                <w:rFonts w:hint="eastAsia" w:ascii="宋体" w:hAnsi="宋体" w:cs="宋体"/>
                <w:bCs/>
                <w:sz w:val="24"/>
              </w:rPr>
            </w:pPr>
            <w:r>
              <w:rPr>
                <w:rFonts w:hint="eastAsia" w:ascii="宋体" w:hAnsi="宋体" w:cs="宋体"/>
                <w:bCs/>
                <w:sz w:val="24"/>
              </w:rPr>
              <w:t>如需更换服务团队人员，更换的服务团队人员符合合同要求</w:t>
            </w:r>
          </w:p>
        </w:tc>
      </w:tr>
      <w:tr w14:paraId="4F2B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61" w:type="dxa"/>
            <w:noWrap/>
            <w:vAlign w:val="center"/>
          </w:tcPr>
          <w:p w14:paraId="7C40E8B3">
            <w:pPr>
              <w:widowControl/>
              <w:spacing w:line="360" w:lineRule="auto"/>
              <w:jc w:val="center"/>
              <w:outlineLvl w:val="3"/>
              <w:rPr>
                <w:rFonts w:hint="eastAsia" w:ascii="宋体" w:hAnsi="宋体" w:cs="宋体"/>
                <w:bCs/>
                <w:sz w:val="24"/>
              </w:rPr>
            </w:pPr>
            <w:r>
              <w:rPr>
                <w:rFonts w:hint="eastAsia" w:ascii="宋体" w:hAnsi="宋体" w:cs="宋体"/>
                <w:bCs/>
                <w:sz w:val="24"/>
              </w:rPr>
              <w:t>3</w:t>
            </w:r>
          </w:p>
        </w:tc>
        <w:tc>
          <w:tcPr>
            <w:tcW w:w="1515" w:type="dxa"/>
            <w:vAlign w:val="center"/>
          </w:tcPr>
          <w:p w14:paraId="612C2425">
            <w:pPr>
              <w:widowControl/>
              <w:spacing w:line="360" w:lineRule="auto"/>
              <w:jc w:val="center"/>
              <w:rPr>
                <w:rFonts w:hint="eastAsia" w:ascii="宋体" w:hAnsi="宋体" w:cs="宋体"/>
                <w:bCs/>
                <w:sz w:val="24"/>
              </w:rPr>
            </w:pPr>
            <w:r>
              <w:rPr>
                <w:rFonts w:hint="eastAsia" w:ascii="宋体" w:hAnsi="宋体" w:cs="宋体"/>
                <w:bCs/>
                <w:sz w:val="24"/>
              </w:rPr>
              <w:t>保密要求</w:t>
            </w:r>
          </w:p>
        </w:tc>
        <w:tc>
          <w:tcPr>
            <w:tcW w:w="6811" w:type="dxa"/>
            <w:vAlign w:val="center"/>
          </w:tcPr>
          <w:p w14:paraId="75739719">
            <w:pPr>
              <w:widowControl/>
              <w:spacing w:line="360" w:lineRule="auto"/>
              <w:jc w:val="left"/>
              <w:outlineLvl w:val="3"/>
              <w:rPr>
                <w:rFonts w:hint="eastAsia" w:ascii="宋体" w:hAnsi="宋体" w:cs="宋体"/>
                <w:bCs/>
                <w:sz w:val="24"/>
              </w:rPr>
            </w:pPr>
            <w:r>
              <w:rPr>
                <w:rFonts w:hint="eastAsia" w:ascii="宋体" w:hAnsi="宋体" w:cs="宋体"/>
                <w:bCs/>
                <w:sz w:val="24"/>
              </w:rPr>
              <w:t>采购人应当对投标人及工作人员开展常态化安全保密教育，组织签订安全保密承诺书，明确具体安全管理内容、安全保密义务和责任。</w:t>
            </w:r>
          </w:p>
          <w:p w14:paraId="6E789D5B">
            <w:pPr>
              <w:widowControl/>
              <w:spacing w:line="360" w:lineRule="auto"/>
              <w:jc w:val="left"/>
              <w:outlineLvl w:val="3"/>
              <w:rPr>
                <w:rFonts w:hint="eastAsia" w:ascii="宋体" w:hAnsi="宋体" w:cs="宋体"/>
                <w:bCs/>
                <w:sz w:val="24"/>
              </w:rPr>
            </w:pPr>
            <w:r>
              <w:rPr>
                <w:rFonts w:hint="eastAsia" w:ascii="宋体" w:hAnsi="宋体" w:cs="宋体"/>
                <w:bCs/>
                <w:sz w:val="24"/>
              </w:rPr>
              <w:t>投标人及工作人员违反安全管理要求，构成违法犯罪的，采购人将追究相关责任。</w:t>
            </w:r>
          </w:p>
          <w:p w14:paraId="24398EE4">
            <w:pPr>
              <w:widowControl/>
              <w:spacing w:line="360" w:lineRule="auto"/>
              <w:jc w:val="left"/>
              <w:outlineLvl w:val="3"/>
              <w:rPr>
                <w:rFonts w:hint="eastAsia" w:ascii="宋体" w:hAnsi="宋体" w:cs="宋体"/>
                <w:bCs/>
                <w:sz w:val="24"/>
              </w:rPr>
            </w:pPr>
            <w:r>
              <w:rPr>
                <w:rFonts w:hint="eastAsia" w:ascii="宋体" w:hAnsi="宋体" w:cs="宋体"/>
                <w:bCs/>
                <w:sz w:val="24"/>
              </w:rPr>
              <w:t>投标人应严格按照采购人规定使用、存储、处理文档资料和数据。合同终止时，应当交还全部公安资料和数据。</w:t>
            </w:r>
          </w:p>
        </w:tc>
      </w:tr>
      <w:tr w14:paraId="03D6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1" w:type="dxa"/>
            <w:noWrap/>
            <w:vAlign w:val="center"/>
          </w:tcPr>
          <w:p w14:paraId="5477FF36">
            <w:pPr>
              <w:widowControl/>
              <w:spacing w:line="360" w:lineRule="auto"/>
              <w:jc w:val="center"/>
              <w:outlineLvl w:val="3"/>
              <w:rPr>
                <w:rFonts w:hint="eastAsia" w:ascii="宋体" w:hAnsi="宋体" w:cs="宋体"/>
                <w:bCs/>
                <w:sz w:val="24"/>
              </w:rPr>
            </w:pPr>
            <w:r>
              <w:rPr>
                <w:rFonts w:hint="eastAsia" w:ascii="宋体" w:hAnsi="宋体" w:cs="宋体"/>
                <w:bCs/>
                <w:sz w:val="24"/>
              </w:rPr>
              <w:t>4</w:t>
            </w:r>
          </w:p>
        </w:tc>
        <w:tc>
          <w:tcPr>
            <w:tcW w:w="1515" w:type="dxa"/>
            <w:vAlign w:val="center"/>
          </w:tcPr>
          <w:p w14:paraId="1A868B51">
            <w:pPr>
              <w:widowControl/>
              <w:spacing w:line="360" w:lineRule="auto"/>
              <w:jc w:val="center"/>
              <w:rPr>
                <w:rFonts w:hint="eastAsia" w:ascii="宋体" w:hAnsi="宋体" w:cs="宋体"/>
                <w:bCs/>
                <w:sz w:val="24"/>
              </w:rPr>
            </w:pPr>
            <w:r>
              <w:rPr>
                <w:rFonts w:hint="eastAsia" w:ascii="宋体" w:hAnsi="宋体" w:cs="宋体"/>
                <w:bCs/>
                <w:sz w:val="24"/>
              </w:rPr>
              <w:t>巡检</w:t>
            </w:r>
          </w:p>
        </w:tc>
        <w:tc>
          <w:tcPr>
            <w:tcW w:w="6811" w:type="dxa"/>
            <w:vAlign w:val="center"/>
          </w:tcPr>
          <w:p w14:paraId="369B6DF4">
            <w:pPr>
              <w:widowControl/>
              <w:spacing w:line="360" w:lineRule="auto"/>
              <w:jc w:val="left"/>
              <w:rPr>
                <w:rFonts w:hint="eastAsia" w:ascii="宋体" w:hAnsi="宋体" w:cs="宋体"/>
                <w:bCs/>
                <w:sz w:val="24"/>
              </w:rPr>
            </w:pPr>
            <w:r>
              <w:rPr>
                <w:rFonts w:hint="eastAsia" w:ascii="宋体" w:hAnsi="宋体" w:cs="宋体"/>
                <w:bCs/>
                <w:sz w:val="24"/>
              </w:rPr>
              <w:t>巡检次数、巡检时间、巡检工作、巡检报告按合同及承诺实现情况</w:t>
            </w:r>
          </w:p>
        </w:tc>
      </w:tr>
      <w:tr w14:paraId="507C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1" w:type="dxa"/>
            <w:noWrap/>
            <w:vAlign w:val="center"/>
          </w:tcPr>
          <w:p w14:paraId="44DA5126">
            <w:pPr>
              <w:widowControl/>
              <w:spacing w:line="360" w:lineRule="auto"/>
              <w:jc w:val="center"/>
              <w:outlineLvl w:val="3"/>
              <w:rPr>
                <w:rFonts w:hint="eastAsia" w:ascii="宋体" w:hAnsi="宋体" w:cs="宋体"/>
                <w:bCs/>
                <w:sz w:val="24"/>
              </w:rPr>
            </w:pPr>
            <w:r>
              <w:rPr>
                <w:rFonts w:hint="eastAsia" w:ascii="宋体" w:hAnsi="宋体" w:cs="宋体"/>
                <w:bCs/>
                <w:sz w:val="24"/>
              </w:rPr>
              <w:t>5</w:t>
            </w:r>
          </w:p>
        </w:tc>
        <w:tc>
          <w:tcPr>
            <w:tcW w:w="1515" w:type="dxa"/>
            <w:vAlign w:val="center"/>
          </w:tcPr>
          <w:p w14:paraId="0667F234">
            <w:pPr>
              <w:widowControl/>
              <w:spacing w:line="360" w:lineRule="auto"/>
              <w:jc w:val="center"/>
              <w:rPr>
                <w:rFonts w:hint="eastAsia" w:ascii="宋体" w:hAnsi="宋体" w:cs="宋体"/>
                <w:bCs/>
                <w:sz w:val="24"/>
              </w:rPr>
            </w:pPr>
            <w:r>
              <w:rPr>
                <w:rFonts w:hint="eastAsia" w:ascii="宋体" w:hAnsi="宋体" w:cs="宋体"/>
                <w:bCs/>
                <w:sz w:val="24"/>
              </w:rPr>
              <w:t>损耗部件</w:t>
            </w:r>
          </w:p>
        </w:tc>
        <w:tc>
          <w:tcPr>
            <w:tcW w:w="6811" w:type="dxa"/>
            <w:vAlign w:val="center"/>
          </w:tcPr>
          <w:p w14:paraId="5CC36EBC">
            <w:pPr>
              <w:widowControl/>
              <w:spacing w:line="360" w:lineRule="auto"/>
              <w:jc w:val="left"/>
              <w:rPr>
                <w:rFonts w:hint="eastAsia" w:ascii="宋体" w:hAnsi="宋体" w:cs="宋体"/>
                <w:bCs/>
                <w:sz w:val="24"/>
              </w:rPr>
            </w:pPr>
            <w:r>
              <w:rPr>
                <w:rFonts w:hint="eastAsia" w:ascii="宋体" w:hAnsi="宋体" w:cs="宋体"/>
                <w:kern w:val="0"/>
                <w:sz w:val="24"/>
              </w:rPr>
              <w:t>损耗部件满足合同要求</w:t>
            </w:r>
          </w:p>
        </w:tc>
      </w:tr>
      <w:tr w14:paraId="16C0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61" w:type="dxa"/>
            <w:noWrap/>
            <w:vAlign w:val="center"/>
          </w:tcPr>
          <w:p w14:paraId="40D20D63">
            <w:pPr>
              <w:widowControl/>
              <w:spacing w:line="360" w:lineRule="auto"/>
              <w:jc w:val="center"/>
              <w:outlineLvl w:val="3"/>
              <w:rPr>
                <w:rFonts w:hint="eastAsia" w:ascii="宋体" w:hAnsi="宋体" w:cs="宋体"/>
                <w:bCs/>
                <w:sz w:val="24"/>
              </w:rPr>
            </w:pPr>
            <w:r>
              <w:rPr>
                <w:rFonts w:hint="eastAsia" w:ascii="宋体" w:hAnsi="宋体" w:cs="宋体"/>
                <w:bCs/>
                <w:sz w:val="24"/>
              </w:rPr>
              <w:t>6</w:t>
            </w:r>
          </w:p>
        </w:tc>
        <w:tc>
          <w:tcPr>
            <w:tcW w:w="1515" w:type="dxa"/>
            <w:vAlign w:val="center"/>
          </w:tcPr>
          <w:p w14:paraId="555856AC">
            <w:pPr>
              <w:widowControl/>
              <w:spacing w:line="360" w:lineRule="auto"/>
              <w:jc w:val="center"/>
              <w:outlineLvl w:val="3"/>
              <w:rPr>
                <w:rFonts w:hint="eastAsia" w:ascii="宋体" w:hAnsi="宋体" w:cs="宋体"/>
                <w:bCs/>
                <w:sz w:val="24"/>
              </w:rPr>
            </w:pPr>
            <w:r>
              <w:rPr>
                <w:rFonts w:hint="eastAsia" w:ascii="宋体" w:hAnsi="宋体" w:cs="宋体"/>
                <w:bCs/>
                <w:sz w:val="24"/>
              </w:rPr>
              <w:t>其他工作</w:t>
            </w:r>
          </w:p>
        </w:tc>
        <w:tc>
          <w:tcPr>
            <w:tcW w:w="6811" w:type="dxa"/>
            <w:vAlign w:val="center"/>
          </w:tcPr>
          <w:p w14:paraId="3901D7CE">
            <w:pPr>
              <w:widowControl/>
              <w:spacing w:line="360" w:lineRule="auto"/>
              <w:jc w:val="left"/>
              <w:outlineLvl w:val="3"/>
              <w:rPr>
                <w:rFonts w:hint="eastAsia" w:ascii="宋体" w:hAnsi="宋体" w:cs="宋体"/>
                <w:bCs/>
                <w:sz w:val="24"/>
              </w:rPr>
            </w:pPr>
            <w:r>
              <w:rPr>
                <w:rFonts w:hint="eastAsia" w:ascii="宋体" w:hAnsi="宋体" w:cs="宋体"/>
                <w:bCs/>
                <w:sz w:val="24"/>
              </w:rPr>
              <w:t>履行项目采购文件、投标文件、合同条款中涉及的其他承诺的情况</w:t>
            </w:r>
          </w:p>
        </w:tc>
      </w:tr>
    </w:tbl>
    <w:p w14:paraId="7E6E668D">
      <w:pPr>
        <w:spacing w:line="360" w:lineRule="auto"/>
        <w:ind w:firstLine="420"/>
        <w:jc w:val="left"/>
        <w:rPr>
          <w:rFonts w:hint="eastAsia" w:ascii="宋体" w:hAnsi="宋体" w:cs="宋体"/>
          <w:sz w:val="24"/>
        </w:rPr>
      </w:pPr>
      <w:r>
        <w:rPr>
          <w:rFonts w:hint="eastAsia" w:ascii="宋体" w:hAnsi="宋体" w:cs="宋体"/>
          <w:sz w:val="24"/>
        </w:rPr>
        <w:t>4.2 验收资料：</w:t>
      </w:r>
    </w:p>
    <w:p w14:paraId="6C612994">
      <w:pPr>
        <w:snapToGrid w:val="0"/>
        <w:spacing w:line="360" w:lineRule="auto"/>
        <w:ind w:firstLine="480" w:firstLineChars="200"/>
        <w:rPr>
          <w:rFonts w:hint="eastAsia" w:ascii="宋体" w:hAnsi="宋体" w:cs="宋体"/>
          <w:sz w:val="24"/>
        </w:rPr>
      </w:pPr>
      <w:r>
        <w:rPr>
          <w:rFonts w:hint="eastAsia" w:ascii="宋体" w:hAnsi="宋体" w:cs="宋体"/>
          <w:sz w:val="24"/>
        </w:rPr>
        <w:t>验收资料和文件是项目验收的重要依据，投标人从项目实施开始就应完整地积累和保管，验收时在职能部门的指导、配合下按照采购人有关要求编目建档。</w:t>
      </w:r>
    </w:p>
    <w:p w14:paraId="6685046E">
      <w:pPr>
        <w:pStyle w:val="7"/>
        <w:snapToGrid w:val="0"/>
        <w:spacing w:line="360" w:lineRule="auto"/>
        <w:ind w:right="-512" w:firstLine="540" w:firstLineChars="225"/>
        <w:rPr>
          <w:rFonts w:hint="eastAsia" w:hAnsi="宋体" w:cs="宋体"/>
          <w:sz w:val="24"/>
          <w:szCs w:val="24"/>
        </w:rPr>
      </w:pPr>
      <w:r>
        <w:rPr>
          <w:rFonts w:hint="eastAsia" w:hAnsi="宋体" w:cs="宋体"/>
          <w:sz w:val="24"/>
          <w:szCs w:val="24"/>
        </w:rPr>
        <w:t>验收资料要求包括（不限于）以下内容：</w:t>
      </w:r>
    </w:p>
    <w:p w14:paraId="1807DEEF">
      <w:pPr>
        <w:numPr>
          <w:ilvl w:val="0"/>
          <w:numId w:val="3"/>
        </w:numPr>
        <w:tabs>
          <w:tab w:val="left" w:pos="904"/>
        </w:tabs>
        <w:snapToGrid w:val="0"/>
        <w:spacing w:line="360" w:lineRule="auto"/>
        <w:jc w:val="left"/>
        <w:rPr>
          <w:rFonts w:hint="eastAsia" w:ascii="宋体" w:hAnsi="宋体" w:cs="宋体"/>
          <w:sz w:val="24"/>
        </w:rPr>
      </w:pPr>
      <w:r>
        <w:rPr>
          <w:rFonts w:hint="eastAsia" w:ascii="宋体" w:hAnsi="宋体" w:cs="宋体"/>
          <w:sz w:val="24"/>
        </w:rPr>
        <w:t>采购文件</w:t>
      </w:r>
    </w:p>
    <w:p w14:paraId="01002AAE">
      <w:pPr>
        <w:numPr>
          <w:ilvl w:val="0"/>
          <w:numId w:val="3"/>
        </w:numPr>
        <w:tabs>
          <w:tab w:val="left" w:pos="904"/>
        </w:tabs>
        <w:snapToGrid w:val="0"/>
        <w:spacing w:line="360" w:lineRule="auto"/>
        <w:jc w:val="left"/>
        <w:rPr>
          <w:rFonts w:hint="eastAsia" w:ascii="宋体" w:hAnsi="宋体" w:cs="宋体"/>
          <w:sz w:val="24"/>
        </w:rPr>
      </w:pPr>
      <w:r>
        <w:rPr>
          <w:rFonts w:hint="eastAsia" w:ascii="宋体" w:hAnsi="宋体" w:cs="宋体"/>
          <w:sz w:val="24"/>
        </w:rPr>
        <w:t>投标文件</w:t>
      </w:r>
    </w:p>
    <w:p w14:paraId="7E71FCFF">
      <w:pPr>
        <w:numPr>
          <w:ilvl w:val="0"/>
          <w:numId w:val="3"/>
        </w:numPr>
        <w:tabs>
          <w:tab w:val="left" w:pos="904"/>
        </w:tabs>
        <w:snapToGrid w:val="0"/>
        <w:spacing w:line="360" w:lineRule="auto"/>
        <w:jc w:val="left"/>
        <w:rPr>
          <w:rFonts w:hint="eastAsia" w:ascii="宋体" w:hAnsi="宋体" w:cs="宋体"/>
          <w:sz w:val="24"/>
        </w:rPr>
      </w:pPr>
      <w:r>
        <w:rPr>
          <w:rFonts w:hint="eastAsia" w:ascii="宋体" w:hAnsi="宋体" w:cs="宋体"/>
          <w:sz w:val="24"/>
        </w:rPr>
        <w:t>采购合同</w:t>
      </w:r>
    </w:p>
    <w:p w14:paraId="7603ADC8">
      <w:pPr>
        <w:numPr>
          <w:ilvl w:val="0"/>
          <w:numId w:val="3"/>
        </w:numPr>
        <w:tabs>
          <w:tab w:val="left" w:pos="904"/>
        </w:tabs>
        <w:snapToGrid w:val="0"/>
        <w:spacing w:line="360" w:lineRule="auto"/>
        <w:jc w:val="left"/>
        <w:rPr>
          <w:rFonts w:hint="eastAsia" w:ascii="宋体" w:hAnsi="宋体" w:cs="宋体"/>
          <w:sz w:val="24"/>
        </w:rPr>
      </w:pPr>
      <w:r>
        <w:rPr>
          <w:rFonts w:hint="eastAsia" w:ascii="宋体" w:hAnsi="宋体" w:cs="宋体"/>
          <w:sz w:val="24"/>
        </w:rPr>
        <w:t>月度考核表：需采购人经办人、复核人签字及盖章、投标人项目负责人签字及盖章。</w:t>
      </w:r>
    </w:p>
    <w:p w14:paraId="062ED3A9">
      <w:pPr>
        <w:numPr>
          <w:ilvl w:val="0"/>
          <w:numId w:val="3"/>
        </w:numPr>
        <w:tabs>
          <w:tab w:val="left" w:pos="904"/>
        </w:tabs>
        <w:snapToGrid w:val="0"/>
        <w:spacing w:line="360" w:lineRule="auto"/>
        <w:jc w:val="left"/>
        <w:rPr>
          <w:rFonts w:hint="eastAsia" w:ascii="宋体" w:hAnsi="宋体" w:cs="宋体"/>
          <w:sz w:val="24"/>
        </w:rPr>
      </w:pPr>
      <w:r>
        <w:rPr>
          <w:rFonts w:hint="eastAsia" w:ascii="宋体" w:hAnsi="宋体" w:cs="宋体"/>
          <w:sz w:val="24"/>
        </w:rPr>
        <w:t>维护期间的资料包括：维护校正报告、巡检报告、故障维修记录等。</w:t>
      </w:r>
    </w:p>
    <w:p w14:paraId="4D7AB390">
      <w:pPr>
        <w:numPr>
          <w:ilvl w:val="0"/>
          <w:numId w:val="3"/>
        </w:numPr>
        <w:tabs>
          <w:tab w:val="left" w:pos="904"/>
        </w:tabs>
        <w:snapToGrid w:val="0"/>
        <w:spacing w:line="360" w:lineRule="auto"/>
        <w:jc w:val="left"/>
        <w:rPr>
          <w:rFonts w:hint="eastAsia" w:ascii="宋体" w:hAnsi="宋体" w:cs="宋体"/>
          <w:sz w:val="24"/>
        </w:rPr>
      </w:pPr>
      <w:r>
        <w:rPr>
          <w:rFonts w:hint="eastAsia" w:ascii="宋体" w:hAnsi="宋体" w:cs="宋体"/>
          <w:sz w:val="24"/>
        </w:rPr>
        <w:t>项目组人员清单、人员资历证明材料、人员社保缴纳证明、人员更换审批（如有）</w:t>
      </w:r>
    </w:p>
    <w:p w14:paraId="77478BDA">
      <w:pPr>
        <w:numPr>
          <w:ilvl w:val="0"/>
          <w:numId w:val="3"/>
        </w:numPr>
        <w:tabs>
          <w:tab w:val="left" w:pos="904"/>
        </w:tabs>
        <w:snapToGrid w:val="0"/>
        <w:spacing w:line="360" w:lineRule="auto"/>
        <w:jc w:val="left"/>
        <w:rPr>
          <w:rFonts w:hint="eastAsia" w:ascii="宋体" w:hAnsi="宋体" w:cs="宋体"/>
          <w:sz w:val="24"/>
        </w:rPr>
      </w:pPr>
      <w:r>
        <w:rPr>
          <w:rFonts w:hint="eastAsia" w:ascii="宋体" w:hAnsi="宋体" w:cs="宋体"/>
          <w:sz w:val="24"/>
        </w:rPr>
        <w:t>损耗部件使用清单（如有）</w:t>
      </w:r>
    </w:p>
    <w:p w14:paraId="0ECD23A8">
      <w:pPr>
        <w:numPr>
          <w:ilvl w:val="0"/>
          <w:numId w:val="3"/>
        </w:numPr>
        <w:tabs>
          <w:tab w:val="left" w:pos="904"/>
        </w:tabs>
        <w:snapToGrid w:val="0"/>
        <w:spacing w:line="360" w:lineRule="auto"/>
        <w:jc w:val="left"/>
        <w:rPr>
          <w:rFonts w:hint="eastAsia" w:ascii="宋体" w:hAnsi="宋体" w:cs="宋体"/>
          <w:sz w:val="24"/>
        </w:rPr>
      </w:pPr>
      <w:r>
        <w:rPr>
          <w:rFonts w:hint="eastAsia" w:ascii="宋体" w:hAnsi="宋体" w:cs="宋体"/>
          <w:sz w:val="24"/>
        </w:rPr>
        <w:t>保密协议、个人安全保密承诺书、日常教育保密台账；</w:t>
      </w:r>
    </w:p>
    <w:p w14:paraId="6EDDA870">
      <w:pPr>
        <w:numPr>
          <w:ilvl w:val="0"/>
          <w:numId w:val="3"/>
        </w:numPr>
        <w:tabs>
          <w:tab w:val="left" w:pos="904"/>
        </w:tabs>
        <w:snapToGrid w:val="0"/>
        <w:spacing w:line="360" w:lineRule="auto"/>
        <w:jc w:val="left"/>
        <w:rPr>
          <w:rFonts w:hint="eastAsia" w:ascii="宋体" w:hAnsi="宋体" w:cs="宋体"/>
          <w:sz w:val="24"/>
        </w:rPr>
      </w:pPr>
      <w:r>
        <w:rPr>
          <w:rFonts w:hint="eastAsia" w:ascii="宋体" w:hAnsi="宋体" w:cs="宋体"/>
          <w:sz w:val="24"/>
        </w:rPr>
        <w:t>其他需提供的相关材料。</w:t>
      </w:r>
    </w:p>
    <w:p w14:paraId="4893CAAC">
      <w:pPr>
        <w:spacing w:line="360" w:lineRule="auto"/>
        <w:ind w:firstLine="420"/>
        <w:jc w:val="left"/>
        <w:rPr>
          <w:rFonts w:hint="eastAsia" w:ascii="宋体" w:hAnsi="宋体" w:cs="宋体"/>
          <w:iCs/>
          <w:sz w:val="24"/>
        </w:rPr>
      </w:pPr>
      <w:r>
        <w:rPr>
          <w:rFonts w:hint="eastAsia" w:ascii="宋体" w:hAnsi="宋体" w:cs="宋体"/>
          <w:iCs/>
          <w:sz w:val="24"/>
        </w:rPr>
        <w:t>（六）履约验收标准：根据采购文件确定的技术指标或者服务要求确定验收指标和标准。未进行相应约定的，应当符合国家强制性规定、政策要求、安全标准、行业或企业有关标准等。</w:t>
      </w:r>
    </w:p>
    <w:p w14:paraId="68D2F73B">
      <w:pPr>
        <w:spacing w:line="360" w:lineRule="auto"/>
        <w:ind w:firstLine="420"/>
        <w:jc w:val="left"/>
        <w:rPr>
          <w:rFonts w:hint="eastAsia" w:ascii="宋体" w:hAnsi="宋体" w:cs="宋体"/>
          <w:sz w:val="24"/>
        </w:rPr>
      </w:pPr>
      <w:r>
        <w:rPr>
          <w:rFonts w:hint="eastAsia" w:ascii="宋体" w:hAnsi="宋体" w:cs="宋体"/>
          <w:sz w:val="24"/>
        </w:rPr>
        <w:t>（七）履约验收其他事项：</w:t>
      </w:r>
      <w:r>
        <w:rPr>
          <w:rFonts w:hint="eastAsia" w:ascii="宋体" w:hAnsi="宋体" w:cs="宋体"/>
          <w:iCs/>
          <w:sz w:val="24"/>
        </w:rPr>
        <w:t>无。</w:t>
      </w:r>
    </w:p>
    <w:p w14:paraId="00638EF8">
      <w:pPr>
        <w:spacing w:before="312" w:beforeLines="100" w:line="360" w:lineRule="auto"/>
        <w:jc w:val="left"/>
        <w:rPr>
          <w:rFonts w:hint="eastAsia" w:ascii="宋体" w:hAnsi="宋体" w:cs="宋体"/>
          <w:b/>
          <w:sz w:val="28"/>
          <w:szCs w:val="28"/>
        </w:rPr>
      </w:pPr>
      <w:r>
        <w:rPr>
          <w:rFonts w:hint="eastAsia" w:ascii="宋体" w:hAnsi="宋体" w:cs="宋体"/>
          <w:b/>
          <w:sz w:val="28"/>
          <w:szCs w:val="28"/>
        </w:rPr>
        <w:t>七、其他采购和合同履行过程的风险及应对措施：无</w:t>
      </w:r>
    </w:p>
    <w:p w14:paraId="06706F3A">
      <w:pPr>
        <w:spacing w:line="360" w:lineRule="auto"/>
        <w:rPr>
          <w:rFonts w:hint="eastAsia" w:ascii="宋体" w:hAnsi="宋体" w:cs="宋体"/>
          <w:sz w:val="24"/>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0A71">
    <w:pPr>
      <w:pStyle w:val="11"/>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291A">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4AEE3"/>
    <w:multiLevelType w:val="singleLevel"/>
    <w:tmpl w:val="9A14AEE3"/>
    <w:lvl w:ilvl="0" w:tentative="0">
      <w:start w:val="2"/>
      <w:numFmt w:val="chineseCounting"/>
      <w:suff w:val="nothing"/>
      <w:lvlText w:val="（%1）"/>
      <w:lvlJc w:val="left"/>
      <w:rPr>
        <w:rFonts w:hint="eastAsia"/>
      </w:rPr>
    </w:lvl>
  </w:abstractNum>
  <w:abstractNum w:abstractNumId="1">
    <w:nsid w:val="765316F3"/>
    <w:multiLevelType w:val="multilevel"/>
    <w:tmpl w:val="765316F3"/>
    <w:lvl w:ilvl="0" w:tentative="0">
      <w:start w:val="1"/>
      <w:numFmt w:val="chineseCountingThousand"/>
      <w:pStyle w:val="3"/>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2">
    <w:nsid w:val="782023D0"/>
    <w:multiLevelType w:val="multilevel"/>
    <w:tmpl w:val="782023D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ZWNlOWFmNjI3OGExZTYxOWY2ZTEyNTkzMDU3NTUifQ=="/>
    <w:docVar w:name="KSO_WPS_MARK_KEY" w:val="1d352ec2-71c1-4cde-9085-32353b88bfc7"/>
  </w:docVars>
  <w:rsids>
    <w:rsidRoot w:val="006F0877"/>
    <w:rsid w:val="0001702B"/>
    <w:rsid w:val="00021224"/>
    <w:rsid w:val="00026EF0"/>
    <w:rsid w:val="000311FD"/>
    <w:rsid w:val="00064381"/>
    <w:rsid w:val="000918DD"/>
    <w:rsid w:val="00092F4E"/>
    <w:rsid w:val="000B05A4"/>
    <w:rsid w:val="000C0F74"/>
    <w:rsid w:val="000C3B64"/>
    <w:rsid w:val="000C3D7C"/>
    <w:rsid w:val="000C6507"/>
    <w:rsid w:val="000D0C5A"/>
    <w:rsid w:val="000F58B1"/>
    <w:rsid w:val="0011504D"/>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44E6"/>
    <w:rsid w:val="001C5914"/>
    <w:rsid w:val="001D2C73"/>
    <w:rsid w:val="001D73CE"/>
    <w:rsid w:val="001E59BD"/>
    <w:rsid w:val="001F0BAE"/>
    <w:rsid w:val="0021449A"/>
    <w:rsid w:val="0021484F"/>
    <w:rsid w:val="00222CE7"/>
    <w:rsid w:val="0024056D"/>
    <w:rsid w:val="002427E8"/>
    <w:rsid w:val="00251D5B"/>
    <w:rsid w:val="00265E4D"/>
    <w:rsid w:val="0026741D"/>
    <w:rsid w:val="002678A2"/>
    <w:rsid w:val="00280777"/>
    <w:rsid w:val="00286AAF"/>
    <w:rsid w:val="00295E38"/>
    <w:rsid w:val="002964A8"/>
    <w:rsid w:val="002B6FA5"/>
    <w:rsid w:val="002C19A5"/>
    <w:rsid w:val="002C20BC"/>
    <w:rsid w:val="002C4305"/>
    <w:rsid w:val="002E3751"/>
    <w:rsid w:val="002F781A"/>
    <w:rsid w:val="00321278"/>
    <w:rsid w:val="00322903"/>
    <w:rsid w:val="00340773"/>
    <w:rsid w:val="003507DB"/>
    <w:rsid w:val="0037377F"/>
    <w:rsid w:val="0037672F"/>
    <w:rsid w:val="0039420F"/>
    <w:rsid w:val="00394A71"/>
    <w:rsid w:val="003B451A"/>
    <w:rsid w:val="003C77ED"/>
    <w:rsid w:val="003D0FAE"/>
    <w:rsid w:val="003D6C8D"/>
    <w:rsid w:val="003F6DB7"/>
    <w:rsid w:val="00402F07"/>
    <w:rsid w:val="00405CAF"/>
    <w:rsid w:val="004066EE"/>
    <w:rsid w:val="004141FE"/>
    <w:rsid w:val="004148A9"/>
    <w:rsid w:val="00415C14"/>
    <w:rsid w:val="00427428"/>
    <w:rsid w:val="0046019E"/>
    <w:rsid w:val="00473949"/>
    <w:rsid w:val="004956AF"/>
    <w:rsid w:val="004978DB"/>
    <w:rsid w:val="004A0291"/>
    <w:rsid w:val="004B0115"/>
    <w:rsid w:val="004C633C"/>
    <w:rsid w:val="004D4E89"/>
    <w:rsid w:val="004E1E58"/>
    <w:rsid w:val="004F655B"/>
    <w:rsid w:val="00504F13"/>
    <w:rsid w:val="0050595D"/>
    <w:rsid w:val="00506D54"/>
    <w:rsid w:val="00537974"/>
    <w:rsid w:val="005408BD"/>
    <w:rsid w:val="00552A9C"/>
    <w:rsid w:val="005545EC"/>
    <w:rsid w:val="00561A6F"/>
    <w:rsid w:val="005737F2"/>
    <w:rsid w:val="005B1E45"/>
    <w:rsid w:val="005C009E"/>
    <w:rsid w:val="005C0A71"/>
    <w:rsid w:val="005C0CCF"/>
    <w:rsid w:val="005E4745"/>
    <w:rsid w:val="005F622B"/>
    <w:rsid w:val="00601EDD"/>
    <w:rsid w:val="006038BD"/>
    <w:rsid w:val="00607AAD"/>
    <w:rsid w:val="006100E1"/>
    <w:rsid w:val="00626E7E"/>
    <w:rsid w:val="006323DA"/>
    <w:rsid w:val="006678D9"/>
    <w:rsid w:val="00674484"/>
    <w:rsid w:val="00681123"/>
    <w:rsid w:val="0068268F"/>
    <w:rsid w:val="00687581"/>
    <w:rsid w:val="00692769"/>
    <w:rsid w:val="00694299"/>
    <w:rsid w:val="006A72B1"/>
    <w:rsid w:val="006C6381"/>
    <w:rsid w:val="006D049B"/>
    <w:rsid w:val="006D7DD7"/>
    <w:rsid w:val="006E6DC5"/>
    <w:rsid w:val="006F0877"/>
    <w:rsid w:val="00707218"/>
    <w:rsid w:val="00721F76"/>
    <w:rsid w:val="00725D7C"/>
    <w:rsid w:val="007264D4"/>
    <w:rsid w:val="00765A2F"/>
    <w:rsid w:val="00773C97"/>
    <w:rsid w:val="00790BCE"/>
    <w:rsid w:val="007959E8"/>
    <w:rsid w:val="007B2CBB"/>
    <w:rsid w:val="007C4D23"/>
    <w:rsid w:val="007D2FB8"/>
    <w:rsid w:val="007D4985"/>
    <w:rsid w:val="007E4973"/>
    <w:rsid w:val="007F38B3"/>
    <w:rsid w:val="008020B2"/>
    <w:rsid w:val="0080466B"/>
    <w:rsid w:val="00812139"/>
    <w:rsid w:val="00814F5F"/>
    <w:rsid w:val="00823618"/>
    <w:rsid w:val="00840D73"/>
    <w:rsid w:val="0087065E"/>
    <w:rsid w:val="00880915"/>
    <w:rsid w:val="00881DC6"/>
    <w:rsid w:val="008877AC"/>
    <w:rsid w:val="00891EF2"/>
    <w:rsid w:val="0089598D"/>
    <w:rsid w:val="00896E24"/>
    <w:rsid w:val="008C58C5"/>
    <w:rsid w:val="008D34CD"/>
    <w:rsid w:val="008E73BC"/>
    <w:rsid w:val="008F4E3B"/>
    <w:rsid w:val="0090340B"/>
    <w:rsid w:val="00917BE6"/>
    <w:rsid w:val="0092280E"/>
    <w:rsid w:val="00924EB1"/>
    <w:rsid w:val="0092766B"/>
    <w:rsid w:val="00927AE6"/>
    <w:rsid w:val="00932CFC"/>
    <w:rsid w:val="00945456"/>
    <w:rsid w:val="00947A5D"/>
    <w:rsid w:val="00970BA3"/>
    <w:rsid w:val="00975ECD"/>
    <w:rsid w:val="00987C9E"/>
    <w:rsid w:val="00994A11"/>
    <w:rsid w:val="009A09E5"/>
    <w:rsid w:val="009B4006"/>
    <w:rsid w:val="009C7390"/>
    <w:rsid w:val="009D0BEE"/>
    <w:rsid w:val="009D4944"/>
    <w:rsid w:val="00A02CC7"/>
    <w:rsid w:val="00A21567"/>
    <w:rsid w:val="00A55C7D"/>
    <w:rsid w:val="00A63E98"/>
    <w:rsid w:val="00A70AEB"/>
    <w:rsid w:val="00A7297B"/>
    <w:rsid w:val="00A8253E"/>
    <w:rsid w:val="00A84889"/>
    <w:rsid w:val="00A855A9"/>
    <w:rsid w:val="00A91983"/>
    <w:rsid w:val="00AA13CF"/>
    <w:rsid w:val="00AF280F"/>
    <w:rsid w:val="00AF3EC7"/>
    <w:rsid w:val="00AF6CC0"/>
    <w:rsid w:val="00AF71DD"/>
    <w:rsid w:val="00B20E34"/>
    <w:rsid w:val="00B517EC"/>
    <w:rsid w:val="00B532F2"/>
    <w:rsid w:val="00B56246"/>
    <w:rsid w:val="00B65A0B"/>
    <w:rsid w:val="00B779AD"/>
    <w:rsid w:val="00BB4B73"/>
    <w:rsid w:val="00BE63D2"/>
    <w:rsid w:val="00C0392D"/>
    <w:rsid w:val="00C07E8B"/>
    <w:rsid w:val="00C43ED0"/>
    <w:rsid w:val="00C5094F"/>
    <w:rsid w:val="00C5772C"/>
    <w:rsid w:val="00C728F5"/>
    <w:rsid w:val="00C97E24"/>
    <w:rsid w:val="00CB2D28"/>
    <w:rsid w:val="00CB6081"/>
    <w:rsid w:val="00CB7952"/>
    <w:rsid w:val="00CD2D8D"/>
    <w:rsid w:val="00CD6397"/>
    <w:rsid w:val="00CF4EA2"/>
    <w:rsid w:val="00D15600"/>
    <w:rsid w:val="00D2445C"/>
    <w:rsid w:val="00D3294B"/>
    <w:rsid w:val="00D35879"/>
    <w:rsid w:val="00D373A6"/>
    <w:rsid w:val="00D41BDD"/>
    <w:rsid w:val="00D55150"/>
    <w:rsid w:val="00D6434D"/>
    <w:rsid w:val="00D7623C"/>
    <w:rsid w:val="00D84530"/>
    <w:rsid w:val="00DC08EA"/>
    <w:rsid w:val="00DC40DF"/>
    <w:rsid w:val="00DD464D"/>
    <w:rsid w:val="00DD4C65"/>
    <w:rsid w:val="00DD7DD1"/>
    <w:rsid w:val="00DF4B7B"/>
    <w:rsid w:val="00E132E8"/>
    <w:rsid w:val="00E36214"/>
    <w:rsid w:val="00E44747"/>
    <w:rsid w:val="00E47794"/>
    <w:rsid w:val="00E5680E"/>
    <w:rsid w:val="00E608EB"/>
    <w:rsid w:val="00E62F47"/>
    <w:rsid w:val="00E725FF"/>
    <w:rsid w:val="00E777CD"/>
    <w:rsid w:val="00E8326E"/>
    <w:rsid w:val="00EB34AE"/>
    <w:rsid w:val="00EC2D15"/>
    <w:rsid w:val="00EE281D"/>
    <w:rsid w:val="00EF014A"/>
    <w:rsid w:val="00F32EBD"/>
    <w:rsid w:val="00F37314"/>
    <w:rsid w:val="00F53627"/>
    <w:rsid w:val="00F5458A"/>
    <w:rsid w:val="00F560D0"/>
    <w:rsid w:val="00F60D27"/>
    <w:rsid w:val="00F61373"/>
    <w:rsid w:val="00F75DE4"/>
    <w:rsid w:val="00F80F1F"/>
    <w:rsid w:val="00F97CF8"/>
    <w:rsid w:val="00FA2D23"/>
    <w:rsid w:val="00FA3A38"/>
    <w:rsid w:val="00FA681C"/>
    <w:rsid w:val="00FA7052"/>
    <w:rsid w:val="00FC3796"/>
    <w:rsid w:val="00FC4248"/>
    <w:rsid w:val="00FE2C0D"/>
    <w:rsid w:val="00FE46D0"/>
    <w:rsid w:val="00FF6893"/>
    <w:rsid w:val="01480D49"/>
    <w:rsid w:val="016A347B"/>
    <w:rsid w:val="0226633E"/>
    <w:rsid w:val="02D437BA"/>
    <w:rsid w:val="031B7B9F"/>
    <w:rsid w:val="03406E16"/>
    <w:rsid w:val="043C7E24"/>
    <w:rsid w:val="0553688F"/>
    <w:rsid w:val="05585E03"/>
    <w:rsid w:val="066565F6"/>
    <w:rsid w:val="067F1A0F"/>
    <w:rsid w:val="08030372"/>
    <w:rsid w:val="08A45538"/>
    <w:rsid w:val="0ACB174A"/>
    <w:rsid w:val="0DD03988"/>
    <w:rsid w:val="0E890453"/>
    <w:rsid w:val="0ECC5F60"/>
    <w:rsid w:val="0FEB244D"/>
    <w:rsid w:val="0FFAA126"/>
    <w:rsid w:val="100E2AC7"/>
    <w:rsid w:val="11001A4A"/>
    <w:rsid w:val="1174783D"/>
    <w:rsid w:val="12473EDF"/>
    <w:rsid w:val="12E017EF"/>
    <w:rsid w:val="14B16F41"/>
    <w:rsid w:val="14C91E0F"/>
    <w:rsid w:val="17620335"/>
    <w:rsid w:val="17866623"/>
    <w:rsid w:val="17956E6D"/>
    <w:rsid w:val="18552337"/>
    <w:rsid w:val="1A573514"/>
    <w:rsid w:val="1A5A4D90"/>
    <w:rsid w:val="1C984BCC"/>
    <w:rsid w:val="1CC16B5A"/>
    <w:rsid w:val="1FBE5B17"/>
    <w:rsid w:val="1FBF5987"/>
    <w:rsid w:val="23A0183B"/>
    <w:rsid w:val="23EE0A87"/>
    <w:rsid w:val="24B223D6"/>
    <w:rsid w:val="25D32935"/>
    <w:rsid w:val="26917175"/>
    <w:rsid w:val="26C258A9"/>
    <w:rsid w:val="278B2C87"/>
    <w:rsid w:val="282A1737"/>
    <w:rsid w:val="28DB620A"/>
    <w:rsid w:val="29357D40"/>
    <w:rsid w:val="29800E6A"/>
    <w:rsid w:val="29A660BF"/>
    <w:rsid w:val="2AB15698"/>
    <w:rsid w:val="2C3E3883"/>
    <w:rsid w:val="2C651A1F"/>
    <w:rsid w:val="2CA5066A"/>
    <w:rsid w:val="2CFDEC3D"/>
    <w:rsid w:val="2D116541"/>
    <w:rsid w:val="2D9F44BA"/>
    <w:rsid w:val="2DAC6317"/>
    <w:rsid w:val="2DB30F71"/>
    <w:rsid w:val="2DD3A25E"/>
    <w:rsid w:val="2FF78ACD"/>
    <w:rsid w:val="310671D8"/>
    <w:rsid w:val="318F27E0"/>
    <w:rsid w:val="31C37F79"/>
    <w:rsid w:val="32CB1C6E"/>
    <w:rsid w:val="35140F99"/>
    <w:rsid w:val="357C4B02"/>
    <w:rsid w:val="35874D3A"/>
    <w:rsid w:val="364830F1"/>
    <w:rsid w:val="379F2C97"/>
    <w:rsid w:val="38BB0E13"/>
    <w:rsid w:val="39A73815"/>
    <w:rsid w:val="3A8D6BC9"/>
    <w:rsid w:val="3D1D73D6"/>
    <w:rsid w:val="3DF379C7"/>
    <w:rsid w:val="3FFFE3D5"/>
    <w:rsid w:val="42876F2F"/>
    <w:rsid w:val="431C4E62"/>
    <w:rsid w:val="43D57C27"/>
    <w:rsid w:val="44B244EA"/>
    <w:rsid w:val="466034BD"/>
    <w:rsid w:val="46DA56D2"/>
    <w:rsid w:val="48D955E7"/>
    <w:rsid w:val="4C7551A3"/>
    <w:rsid w:val="4C9B3AB5"/>
    <w:rsid w:val="4D362249"/>
    <w:rsid w:val="4F277448"/>
    <w:rsid w:val="4F3651C0"/>
    <w:rsid w:val="4FB77C3C"/>
    <w:rsid w:val="50A8054F"/>
    <w:rsid w:val="5165537E"/>
    <w:rsid w:val="51ED3C43"/>
    <w:rsid w:val="526E367D"/>
    <w:rsid w:val="52E722C8"/>
    <w:rsid w:val="52E97F49"/>
    <w:rsid w:val="53EF29C8"/>
    <w:rsid w:val="53FC12DE"/>
    <w:rsid w:val="5520265B"/>
    <w:rsid w:val="557C7262"/>
    <w:rsid w:val="564C5E20"/>
    <w:rsid w:val="568F74EB"/>
    <w:rsid w:val="56D14B9B"/>
    <w:rsid w:val="59230E04"/>
    <w:rsid w:val="59594AC9"/>
    <w:rsid w:val="597A64B2"/>
    <w:rsid w:val="5A4D3E87"/>
    <w:rsid w:val="5BBF1A8D"/>
    <w:rsid w:val="5D677578"/>
    <w:rsid w:val="5D8411E2"/>
    <w:rsid w:val="5D9F79E0"/>
    <w:rsid w:val="5DBFE6CB"/>
    <w:rsid w:val="5DEA16A0"/>
    <w:rsid w:val="5EFB6B15"/>
    <w:rsid w:val="5F090D52"/>
    <w:rsid w:val="5F5DEEF0"/>
    <w:rsid w:val="5F63625F"/>
    <w:rsid w:val="5F7B0613"/>
    <w:rsid w:val="5FAE7E85"/>
    <w:rsid w:val="5FB1B10F"/>
    <w:rsid w:val="62C751AC"/>
    <w:rsid w:val="62FD1469"/>
    <w:rsid w:val="63965B19"/>
    <w:rsid w:val="6499554C"/>
    <w:rsid w:val="64C15214"/>
    <w:rsid w:val="66C16076"/>
    <w:rsid w:val="67386FAF"/>
    <w:rsid w:val="675250E7"/>
    <w:rsid w:val="67F5AD5B"/>
    <w:rsid w:val="69AD4281"/>
    <w:rsid w:val="6AC36824"/>
    <w:rsid w:val="6B8013A9"/>
    <w:rsid w:val="6B824D4C"/>
    <w:rsid w:val="6BC749A9"/>
    <w:rsid w:val="6BFFC72E"/>
    <w:rsid w:val="6C7FD9C9"/>
    <w:rsid w:val="6DD57A72"/>
    <w:rsid w:val="6E423939"/>
    <w:rsid w:val="6FA82ABB"/>
    <w:rsid w:val="6FC303C5"/>
    <w:rsid w:val="6FC9F4BB"/>
    <w:rsid w:val="6FEF5868"/>
    <w:rsid w:val="74BFF378"/>
    <w:rsid w:val="75FB23CF"/>
    <w:rsid w:val="76BE283A"/>
    <w:rsid w:val="7747C58A"/>
    <w:rsid w:val="7775E090"/>
    <w:rsid w:val="77FDC161"/>
    <w:rsid w:val="788A7D09"/>
    <w:rsid w:val="79F006D6"/>
    <w:rsid w:val="7A37456E"/>
    <w:rsid w:val="7A7F1594"/>
    <w:rsid w:val="7B097E4E"/>
    <w:rsid w:val="7B6B6ADF"/>
    <w:rsid w:val="7B8E733B"/>
    <w:rsid w:val="7BEA5002"/>
    <w:rsid w:val="7BF55B1A"/>
    <w:rsid w:val="7CAD58D7"/>
    <w:rsid w:val="7CF3DF71"/>
    <w:rsid w:val="7CF76844"/>
    <w:rsid w:val="7CFB60DC"/>
    <w:rsid w:val="7D500D30"/>
    <w:rsid w:val="7D577ACC"/>
    <w:rsid w:val="7DBBA619"/>
    <w:rsid w:val="7DFF8764"/>
    <w:rsid w:val="7E774BE7"/>
    <w:rsid w:val="7EDC7CD8"/>
    <w:rsid w:val="7EDE5296"/>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97F48F1"/>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Normal Indent"/>
    <w:basedOn w:val="1"/>
    <w:qFormat/>
    <w:uiPriority w:val="0"/>
    <w:pPr>
      <w:widowControl/>
      <w:ind w:firstLine="420"/>
      <w:jc w:val="left"/>
    </w:pPr>
    <w:rPr>
      <w:rFonts w:ascii="Calibri" w:hAnsi="Calibri" w:eastAsia="??"/>
      <w:kern w:val="0"/>
      <w:sz w:val="24"/>
    </w:rPr>
  </w:style>
  <w:style w:type="paragraph" w:styleId="5">
    <w:name w:val="annotation text"/>
    <w:basedOn w:val="1"/>
    <w:semiHidden/>
    <w:unhideWhenUsed/>
    <w:qFormat/>
    <w:uiPriority w:val="0"/>
    <w:pPr>
      <w:jc w:val="left"/>
    </w:p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qFormat/>
    <w:uiPriority w:val="0"/>
    <w:pPr>
      <w:autoSpaceDN w:val="0"/>
    </w:pPr>
    <w:rPr>
      <w:rFonts w:ascii="宋体" w:hAnsi="Courier New"/>
      <w:szCs w:val="20"/>
    </w:rPr>
  </w:style>
  <w:style w:type="paragraph" w:styleId="8">
    <w:name w:val="Date"/>
    <w:basedOn w:val="1"/>
    <w:next w:val="1"/>
    <w:qFormat/>
    <w:uiPriority w:val="0"/>
    <w:pPr>
      <w:ind w:left="100" w:leftChars="2500"/>
    </w:pPr>
  </w:style>
  <w:style w:type="paragraph" w:styleId="9">
    <w:name w:val="Body Text Indent 2"/>
    <w:basedOn w:val="1"/>
    <w:qFormat/>
    <w:uiPriority w:val="0"/>
    <w:pPr>
      <w:spacing w:line="360" w:lineRule="auto"/>
      <w:ind w:firstLine="601"/>
      <w:textAlignment w:val="baseline"/>
    </w:pPr>
    <w:rPr>
      <w:rFonts w:ascii="宋体"/>
      <w:kern w:val="0"/>
      <w:sz w:val="28"/>
      <w:szCs w:val="20"/>
    </w:rPr>
  </w:style>
  <w:style w:type="paragraph" w:styleId="10">
    <w:name w:val="Balloon Text"/>
    <w:basedOn w:val="1"/>
    <w:semiHidden/>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qFormat/>
    <w:uiPriority w:val="0"/>
  </w:style>
  <w:style w:type="character" w:styleId="17">
    <w:name w:val="annotation reference"/>
    <w:basedOn w:val="15"/>
    <w:semiHidden/>
    <w:unhideWhenUsed/>
    <w:qFormat/>
    <w:uiPriority w:val="0"/>
    <w:rPr>
      <w:sz w:val="21"/>
      <w:szCs w:val="21"/>
    </w:rPr>
  </w:style>
  <w:style w:type="paragraph" w:customStyle="1" w:styleId="18">
    <w:name w:val="正文空2字"/>
    <w:basedOn w:val="1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9">
    <w:name w:val="左对齐正文"/>
    <w:autoRedefine/>
    <w:qFormat/>
    <w:uiPriority w:val="99"/>
    <w:rPr>
      <w:rFonts w:ascii="Calibri" w:hAnsi="Calibri" w:eastAsia="仿宋_GB2312" w:cs="Calibri"/>
      <w:kern w:val="2"/>
      <w:sz w:val="32"/>
      <w:szCs w:val="32"/>
      <w:lang w:val="en-US" w:eastAsia="zh-CN" w:bidi="ar-SA"/>
    </w:rPr>
  </w:style>
  <w:style w:type="character" w:customStyle="1" w:styleId="20">
    <w:name w:val="页脚 字符"/>
    <w:link w:val="11"/>
    <w:qFormat/>
    <w:uiPriority w:val="99"/>
    <w:rPr>
      <w:kern w:val="2"/>
      <w:sz w:val="18"/>
      <w:szCs w:val="18"/>
    </w:rPr>
  </w:style>
  <w:style w:type="character" w:customStyle="1" w:styleId="21">
    <w:name w:val="页脚 Char"/>
    <w:autoRedefine/>
    <w:qFormat/>
    <w:uiPriority w:val="99"/>
    <w:rPr>
      <w:rFonts w:eastAsia="Calibri"/>
      <w:sz w:val="21"/>
    </w:rPr>
  </w:style>
  <w:style w:type="paragraph" w:customStyle="1" w:styleId="22">
    <w:name w:val="p0"/>
    <w:basedOn w:val="1"/>
    <w:qFormat/>
    <w:uiPriority w:val="0"/>
    <w:pPr>
      <w:widowControl/>
    </w:pPr>
    <w:rPr>
      <w:kern w:val="0"/>
      <w:szCs w:val="21"/>
    </w:rPr>
  </w:style>
  <w:style w:type="paragraph" w:customStyle="1" w:styleId="23">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24">
    <w:name w:val="font41"/>
    <w:qFormat/>
    <w:uiPriority w:val="0"/>
    <w:rPr>
      <w:rFonts w:hint="eastAsia" w:ascii="宋体" w:hAnsi="宋体" w:eastAsia="宋体" w:cs="宋体"/>
      <w:color w:val="FF0000"/>
      <w:sz w:val="22"/>
      <w:szCs w:val="22"/>
      <w:u w:val="none"/>
    </w:rPr>
  </w:style>
  <w:style w:type="character" w:customStyle="1" w:styleId="25">
    <w:name w:val="font6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11</Pages>
  <Words>5205</Words>
  <Characters>5558</Characters>
  <Lines>240</Lines>
  <Paragraphs>289</Paragraphs>
  <TotalTime>0</TotalTime>
  <ScaleCrop>false</ScaleCrop>
  <LinksUpToDate>false</LinksUpToDate>
  <CharactersWithSpaces>5830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2021-09-10T06:10:00Z</dcterms:created>
  <dc:creator>MC SYSTEM</dc:creator>
  <cp:lastModifiedBy>王磊</cp:lastModifiedBy>
  <cp:lastPrinted>2024-05-07T06:54:00Z</cp:lastPrinted>
  <dcterms:modified xsi:type="dcterms:W3CDTF">2025-06-18T03:22:44Z</dcterms:modified>
  <dc:title>厦财采〔2021〕9号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ECC8F5ACF2FB4596840E648112078366</vt:lpwstr>
  </property>
  <property fmtid="{D5CDD505-2E9C-101B-9397-08002B2CF9AE}" pid="4" name="KSOTemplateDocerSaveRecord">
    <vt:lpwstr>eyJoZGlkIjoiOWRmZWNlOWFmNjI3OGExZTYxOWY2ZTEyNTkzMDU3NTUiLCJ1c2VySWQiOiI0NjUxMTU4NDgifQ==</vt:lpwstr>
  </property>
</Properties>
</file>