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897C">
      <w:pPr>
        <w:numPr>
          <w:ilvl w:val="0"/>
          <w:numId w:val="1"/>
        </w:numPr>
        <w:spacing w:line="360" w:lineRule="auto"/>
        <w:rPr>
          <w:rFonts w:hint="eastAsia"/>
          <w:sz w:val="24"/>
          <w:szCs w:val="32"/>
          <w:lang w:val="en-US" w:eastAsia="zh-CN"/>
        </w:rPr>
      </w:pPr>
      <w:r>
        <w:rPr>
          <w:rFonts w:hint="eastAsia"/>
          <w:b/>
          <w:bCs/>
          <w:sz w:val="24"/>
          <w:szCs w:val="32"/>
          <w:lang w:val="en-US" w:eastAsia="zh-CN"/>
        </w:rPr>
        <w:t>保险方案</w:t>
      </w:r>
    </w:p>
    <w:p w14:paraId="03211C51">
      <w:pPr>
        <w:widowControl w:val="0"/>
        <w:numPr>
          <w:ilvl w:val="0"/>
          <w:numId w:val="0"/>
        </w:numPr>
        <w:spacing w:line="360" w:lineRule="auto"/>
        <w:jc w:val="both"/>
        <w:rPr>
          <w:rFonts w:hint="eastAsia"/>
          <w:b/>
          <w:bCs/>
          <w:i w:val="0"/>
          <w:iCs w:val="0"/>
          <w:sz w:val="24"/>
          <w:szCs w:val="32"/>
          <w:lang w:val="en-US" w:eastAsia="zh-CN"/>
        </w:rPr>
      </w:pPr>
      <w:r>
        <w:rPr>
          <w:rFonts w:hint="eastAsia"/>
          <w:b/>
          <w:bCs/>
          <w:i w:val="0"/>
          <w:iCs w:val="0"/>
          <w:sz w:val="24"/>
          <w:szCs w:val="32"/>
          <w:lang w:val="en-US" w:eastAsia="zh-CN"/>
        </w:rPr>
        <w:t>（一）投保险种</w:t>
      </w:r>
    </w:p>
    <w:p w14:paraId="6DEA6A8D">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合同签订之日起1年，以保险单载明的起讫时间为准，团体意外伤害保险及相关附加险（包括团体意外伤害保险、附加意外伤害医疗保险、附加意外伤害住院津贴保险、重症监护津贴）。保障内容：</w:t>
      </w:r>
    </w:p>
    <w:p w14:paraId="76E9CE6D">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1、意外伤害身故、伤残，保额60万元。</w:t>
      </w:r>
    </w:p>
    <w:p w14:paraId="6F36DA46">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2、意外伤害医疗（免赔100元，按照100%赔付），保额10万元。</w:t>
      </w:r>
    </w:p>
    <w:p w14:paraId="6668D59B">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3、意外伤害住院津贴（200元/天，每次事故90天，累计180天）保额3.6万元。</w:t>
      </w:r>
    </w:p>
    <w:p w14:paraId="00D3E01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4、重症监护津贴（100元/天，免赔0天，每次90天，累计180天）保额1.8万元。</w:t>
      </w:r>
    </w:p>
    <w:p w14:paraId="6FD324D5">
      <w:pPr>
        <w:widowControl w:val="0"/>
        <w:numPr>
          <w:ilvl w:val="0"/>
          <w:numId w:val="0"/>
        </w:numPr>
        <w:spacing w:line="360" w:lineRule="auto"/>
        <w:jc w:val="both"/>
        <w:rPr>
          <w:rFonts w:hint="eastAsia"/>
          <w:b/>
          <w:bCs/>
          <w:sz w:val="24"/>
          <w:szCs w:val="32"/>
          <w:lang w:val="en-US" w:eastAsia="zh-CN"/>
        </w:rPr>
      </w:pPr>
      <w:r>
        <w:rPr>
          <w:rFonts w:hint="eastAsia"/>
          <w:b/>
          <w:bCs/>
          <w:sz w:val="24"/>
          <w:szCs w:val="32"/>
          <w:lang w:val="en-US" w:eastAsia="zh-CN"/>
        </w:rPr>
        <w:t>（二）保险方案基本要求</w:t>
      </w:r>
    </w:p>
    <w:p w14:paraId="798B6D70">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1、由供应商在磋商响应文件中提供针对本项目的保险方案，包括但不限于提供科学合理的、可行的、高效率的承保、理赔以及增值服务实施计划。</w:t>
      </w:r>
    </w:p>
    <w:p w14:paraId="45E34328">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保险责任：在保险期间内，采购人自获得被保资格之日起在中华人民共和国境内（不包括港、澳、台地区）遭受意外伤害，并因该意外伤害导致身故、伤残的，在二级及二级以上医院或供应商认可的医疗机构进行治疗，供应商按约定给付保险金。</w:t>
      </w:r>
    </w:p>
    <w:p w14:paraId="44E94001">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（1）意外伤害身故保险责任：</w:t>
      </w:r>
    </w:p>
    <w:p w14:paraId="69A58BEF">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采购人自该意外伤害发生之日起180日内因该意外伤害身故的，供应商按该采购人的本项保险责任的保险金额给付身故保险金，对该采购人的保险责任终止。</w:t>
      </w:r>
    </w:p>
    <w:p w14:paraId="7A276F47">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遭受意外伤害且自该意外伤害发生日起下落不明，后经人民法院宣告死亡的，供应商按本项保险责任的保险金额给付身故保险金。但若采购人被宣告死亡后生还的，保险金受领人应于知道或应当知道采购人生还后30日内退还供应商给付的身故保险金。</w:t>
      </w:r>
    </w:p>
    <w:p w14:paraId="6741BC65">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采购人身故前供应商已给付约定的伤残保险金的，身故保险金应扣除已给付的保险金。</w:t>
      </w:r>
    </w:p>
    <w:p w14:paraId="6C7A3BD5">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（2）意外伤害伤残保险责任</w:t>
      </w:r>
    </w:p>
    <w:p w14:paraId="071744A5">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采购人自该意外伤害发生之日起180日内因该意外伤害造成《人身保险伤残评定标准及代码》（保监发【2014】6号、标准编号JR/T 0083-2013，简称《评定标准》，如该标准重新修订，则以最新修订的文件版本为准）所列伤残程度之一的，供应商按《评定标准》所对应伤残等级的给付比例乘以该采购人的本项保险责任的保险金额给付伤残保险金。如第180日治疗仍未结束的，按当日的身体情况进行伤残评定，并据此给付伤残保险金。</w:t>
      </w:r>
    </w:p>
    <w:p w14:paraId="060A1E0A">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采购人因同一意外伤害造成两处或两处以上伤残时，供应商根据《评定标准》规定的多处伤残评定原则给付伤残保险金。</w:t>
      </w:r>
    </w:p>
    <w:p w14:paraId="435C416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（3）意外伤害医疗赔付保险责任</w:t>
      </w:r>
    </w:p>
    <w:p w14:paraId="1B01269F">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对采购人所支出的必要合理的、符合中华人民共和国境内（不包括港、澳、台地区）二级或二级以上医院或供应商认可的医疗机构进行治疗规定可报销的医疗费用，供应商每次在保险金额范围内扣除人民币100元免赔额后，按100%比例给付医疗赔付。</w:t>
      </w:r>
    </w:p>
    <w:p w14:paraId="5A36C03A">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（4）意外伤害住院津贴</w:t>
      </w:r>
    </w:p>
    <w:p w14:paraId="6304DC41">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在保险期间内，采购人遭受意外伤害并因该意外伤害在保险期间内在二级以上医疗机构接受住院治疗，对于该采购人的实际住院日数，供应商按照约定给付意外伤害住院津贴。</w:t>
      </w:r>
    </w:p>
    <w:p w14:paraId="0FFCE7A5">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（5）重症监护津贴</w:t>
      </w:r>
    </w:p>
    <w:p w14:paraId="54027267">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在保险期间内，采购人遭受意外伤害，并因该意外伤害在保险期间内在二级以上医疗机构入住重症监护病房，供应商按照约定给付意外伤害重症监护住院津贴。</w:t>
      </w:r>
    </w:p>
    <w:p w14:paraId="578D0617">
      <w:pPr>
        <w:widowControl w:val="0"/>
        <w:numPr>
          <w:ilvl w:val="0"/>
          <w:numId w:val="0"/>
        </w:numPr>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3、增值服务</w:t>
      </w:r>
    </w:p>
    <w:p w14:paraId="6E0B8CCE">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如本项目发生第三者责任事故，涉及法律诉讼问题，供应商将根据采购人的需求，提供法律咨询服务，对案件有重大减损意义的，供应商将提供律师服务。对于采购人涉及其他方面的法律问题，如有需要，供应商也将提供法律咨询服务。</w:t>
      </w:r>
    </w:p>
    <w:p w14:paraId="241EF17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（2）建立快速应急救援绿色通道，一旦发生人员伤害事故，供应商将派负责人与就近的医院进行协调，以最快的速度协助救援。</w:t>
      </w:r>
    </w:p>
    <w:p w14:paraId="117F9DB3">
      <w:pPr>
        <w:widowControl w:val="0"/>
        <w:numPr>
          <w:ilvl w:val="0"/>
          <w:numId w:val="0"/>
        </w:numPr>
        <w:spacing w:line="360" w:lineRule="auto"/>
        <w:jc w:val="both"/>
        <w:rPr>
          <w:rFonts w:hint="eastAsia"/>
          <w:b/>
          <w:bCs/>
          <w:sz w:val="24"/>
          <w:szCs w:val="32"/>
          <w:lang w:val="en-US" w:eastAsia="zh-CN"/>
        </w:rPr>
      </w:pPr>
      <w:r>
        <w:rPr>
          <w:rFonts w:hint="eastAsia"/>
          <w:b/>
          <w:bCs/>
          <w:sz w:val="24"/>
          <w:szCs w:val="32"/>
          <w:lang w:val="en-US" w:eastAsia="zh-CN"/>
        </w:rPr>
        <w:t>（三）服务要求</w:t>
      </w:r>
    </w:p>
    <w:p w14:paraId="2BAF8FF8">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1、供应商提供7*24小时全天候报案服务热线电话，供应商自接到报案后，派专人30分钟内到达现场，并对各类保险事故进行准确、迅速和便捷的服务。收到理赔材料后3个</w:t>
      </w:r>
      <w:bookmarkStart w:id="0" w:name="_GoBack"/>
      <w:bookmarkEnd w:id="0"/>
      <w:r>
        <w:rPr>
          <w:rFonts w:hint="eastAsia"/>
          <w:sz w:val="24"/>
          <w:szCs w:val="32"/>
          <w:lang w:val="en-US" w:eastAsia="zh-CN"/>
        </w:rPr>
        <w:t>工作日内给予反馈。在保险责任明确，理赔资料齐全的前提下，供应商理赔时间应满足下列要求：赔款金额1万元及以下，1个工作日；赔款金额1万元以上5万元以下，3个工作日；赔款金额5万元以上20万元以下，5个工作日；赔款金额20万元以上，10个工作日。</w:t>
      </w:r>
    </w:p>
    <w:p w14:paraId="5DD8BB63">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采购人因特殊原因不能在出险后48小时内报案的，可以在事后出具证明材料，供应商视为及时报案。</w:t>
      </w:r>
    </w:p>
    <w:p w14:paraId="7D33DF8A">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2、出险报案由采购人经办部门报案，如遇长假等特殊情形可由个人报案。报案方式，服务渠道具备网络、手机APP、电话、短信等方式。</w:t>
      </w:r>
    </w:p>
    <w:p w14:paraId="30D2A414">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提供简单、方便的理赔程序，开通保险知识咨询、理赔报案等一站式服务，提供预付赔款（如伤案时间周期一年以上的）、送赔上门、协助安抚出险家属解释工作等的理赔服务。供应商需提供的清晰，可操作性、及时性强的服务内容及方案，并提供采购人服务手册。</w:t>
      </w:r>
    </w:p>
    <w:p w14:paraId="325E6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sz w:val="24"/>
          <w:szCs w:val="32"/>
          <w:lang w:val="en-US" w:eastAsia="zh-CN"/>
        </w:rPr>
      </w:pPr>
      <w:r>
        <w:rPr>
          <w:rFonts w:hint="eastAsia"/>
          <w:sz w:val="24"/>
          <w:szCs w:val="32"/>
          <w:lang w:val="en-US" w:eastAsia="zh-CN"/>
        </w:rPr>
        <w:t>3、项目负责人对采购人经办人员进行培训，培训时间不少于1天，在采购人所在单位或供应商所在单位。培训人员不少于2人。培训的内容包括报案理赔时应该注意的事项及其他所必须培训的内容。</w:t>
      </w:r>
    </w:p>
    <w:p w14:paraId="7A3CEA0C">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4、人员要求：配备1名项目负责人，项目负责人提供7*24小时响应服务，负责与采购人对接。</w:t>
      </w:r>
    </w:p>
    <w:p w14:paraId="68EC9B18">
      <w:pPr>
        <w:widowControl w:val="0"/>
        <w:numPr>
          <w:ilvl w:val="0"/>
          <w:numId w:val="0"/>
        </w:numPr>
        <w:spacing w:line="360" w:lineRule="auto"/>
        <w:jc w:val="both"/>
        <w:rPr>
          <w:rFonts w:hint="default"/>
          <w:sz w:val="24"/>
          <w:szCs w:val="32"/>
          <w:lang w:val="en-US" w:eastAsia="zh-CN"/>
        </w:rPr>
      </w:pPr>
      <w:r>
        <w:rPr>
          <w:rFonts w:hint="eastAsia"/>
          <w:sz w:val="24"/>
          <w:szCs w:val="32"/>
          <w:lang w:val="en-US" w:eastAsia="zh-CN"/>
        </w:rPr>
        <w:t>5、增减人要求：每次增减人需追溯至被保险人实际入职离职日，追溯时间不低于60天，且追溯期间承担保险责任。</w:t>
      </w:r>
    </w:p>
    <w:p w14:paraId="2F2F2072">
      <w:pPr>
        <w:widowControl w:val="0"/>
        <w:numPr>
          <w:ilvl w:val="0"/>
          <w:numId w:val="0"/>
        </w:numPr>
        <w:spacing w:line="360" w:lineRule="auto"/>
        <w:jc w:val="both"/>
        <w:rPr>
          <w:rFonts w:hint="eastAsia"/>
          <w:sz w:val="24"/>
          <w:szCs w:val="32"/>
          <w:lang w:val="en-US" w:eastAsia="zh-CN"/>
        </w:rPr>
      </w:pPr>
    </w:p>
    <w:p w14:paraId="11759CCC">
      <w:pPr>
        <w:numPr>
          <w:ilvl w:val="0"/>
          <w:numId w:val="1"/>
        </w:numPr>
        <w:spacing w:line="360" w:lineRule="auto"/>
        <w:rPr>
          <w:rFonts w:hint="default"/>
          <w:b/>
          <w:bCs/>
          <w:sz w:val="24"/>
          <w:szCs w:val="32"/>
          <w:lang w:val="en-US" w:eastAsia="zh-CN"/>
        </w:rPr>
      </w:pPr>
      <w:r>
        <w:rPr>
          <w:rFonts w:hint="eastAsia"/>
          <w:b/>
          <w:bCs/>
          <w:sz w:val="24"/>
          <w:szCs w:val="32"/>
          <w:lang w:val="en-US" w:eastAsia="zh-CN"/>
        </w:rPr>
        <w:t>其他要求</w:t>
      </w:r>
    </w:p>
    <w:p w14:paraId="77009F17">
      <w:pPr>
        <w:spacing w:line="360" w:lineRule="auto"/>
        <w:rPr>
          <w:rFonts w:hint="default"/>
          <w:b/>
          <w:bCs/>
          <w:sz w:val="24"/>
          <w:szCs w:val="32"/>
          <w:lang w:val="en-US" w:eastAsia="zh-CN"/>
        </w:rPr>
      </w:pPr>
      <w:r>
        <w:rPr>
          <w:rFonts w:hint="eastAsia"/>
          <w:b/>
          <w:bCs/>
          <w:sz w:val="24"/>
          <w:szCs w:val="32"/>
          <w:lang w:eastAsia="zh-CN"/>
        </w:rPr>
        <w:t>（</w:t>
      </w:r>
      <w:r>
        <w:rPr>
          <w:rFonts w:hint="eastAsia"/>
          <w:b/>
          <w:bCs/>
          <w:sz w:val="24"/>
          <w:szCs w:val="32"/>
          <w:lang w:val="en-US" w:eastAsia="zh-CN"/>
        </w:rPr>
        <w:t>一）申请人资格要求</w:t>
      </w:r>
    </w:p>
    <w:p w14:paraId="0CE81398">
      <w:pPr>
        <w:spacing w:line="360" w:lineRule="auto"/>
        <w:rPr>
          <w:rFonts w:hint="eastAsia"/>
          <w:sz w:val="24"/>
          <w:szCs w:val="32"/>
          <w:lang w:eastAsia="zh-CN"/>
        </w:rPr>
      </w:pPr>
      <w:r>
        <w:rPr>
          <w:rFonts w:hint="eastAsia"/>
          <w:sz w:val="24"/>
          <w:szCs w:val="32"/>
          <w:lang w:val="en-US" w:eastAsia="zh-CN"/>
        </w:rPr>
        <w:t>1、</w:t>
      </w:r>
      <w:r>
        <w:rPr>
          <w:rFonts w:hint="eastAsia"/>
          <w:sz w:val="24"/>
          <w:szCs w:val="32"/>
          <w:lang w:eastAsia="zh-CN"/>
        </w:rPr>
        <w:t>参照《中华人民共和国政府采购法》第二十二条规定；未被“信用中国”（www.creditchina.gov.cn)、中国政府采购网（www.ccgp.gov.cn）列入失信被执行人、重大税收违法案件当事人名单、政府采购严重违法失信行为记录名单。</w:t>
      </w:r>
    </w:p>
    <w:p w14:paraId="03566C58">
      <w:pPr>
        <w:spacing w:line="360" w:lineRule="auto"/>
        <w:rPr>
          <w:rFonts w:hint="eastAsia"/>
          <w:sz w:val="24"/>
          <w:szCs w:val="32"/>
          <w:lang w:eastAsia="zh-CN"/>
        </w:rPr>
      </w:pPr>
      <w:r>
        <w:rPr>
          <w:rFonts w:hint="eastAsia"/>
          <w:sz w:val="24"/>
          <w:szCs w:val="32"/>
          <w:lang w:val="en-US" w:eastAsia="zh-CN"/>
        </w:rPr>
        <w:t>2、最近一年（2024年）</w:t>
      </w:r>
      <w:r>
        <w:rPr>
          <w:rFonts w:hint="eastAsia"/>
          <w:sz w:val="24"/>
          <w:szCs w:val="32"/>
          <w:lang w:eastAsia="zh-CN"/>
        </w:rPr>
        <w:t>综合偿付能力充足率不低于</w:t>
      </w:r>
      <w:r>
        <w:rPr>
          <w:rFonts w:hint="eastAsia"/>
          <w:sz w:val="24"/>
          <w:szCs w:val="32"/>
          <w:lang w:val="en-US" w:eastAsia="zh-CN"/>
        </w:rPr>
        <w:t>200</w:t>
      </w:r>
      <w:r>
        <w:rPr>
          <w:rFonts w:hint="eastAsia"/>
          <w:sz w:val="24"/>
          <w:szCs w:val="32"/>
          <w:lang w:eastAsia="zh-CN"/>
        </w:rPr>
        <w:t>%</w:t>
      </w:r>
    </w:p>
    <w:p w14:paraId="20CD7DE3">
      <w:pPr>
        <w:spacing w:line="360" w:lineRule="auto"/>
        <w:rPr>
          <w:rFonts w:hint="eastAsia"/>
          <w:sz w:val="24"/>
          <w:szCs w:val="32"/>
          <w:lang w:eastAsia="zh-CN"/>
        </w:rPr>
      </w:pPr>
      <w:r>
        <w:rPr>
          <w:rFonts w:hint="eastAsia"/>
          <w:sz w:val="24"/>
          <w:szCs w:val="32"/>
          <w:lang w:val="en-US" w:eastAsia="zh-CN"/>
        </w:rPr>
        <w:t>3、最近一年</w:t>
      </w:r>
      <w:r>
        <w:rPr>
          <w:rFonts w:hint="eastAsia"/>
          <w:sz w:val="24"/>
          <w:szCs w:val="32"/>
          <w:lang w:eastAsia="zh-CN"/>
        </w:rPr>
        <w:t>风险综合评级</w:t>
      </w:r>
      <w:r>
        <w:rPr>
          <w:rFonts w:hint="eastAsia"/>
          <w:sz w:val="24"/>
          <w:szCs w:val="32"/>
          <w:lang w:val="en-US" w:eastAsia="zh-CN"/>
        </w:rPr>
        <w:t>均为A</w:t>
      </w:r>
      <w:r>
        <w:rPr>
          <w:rFonts w:hint="eastAsia"/>
          <w:sz w:val="24"/>
          <w:szCs w:val="32"/>
          <w:lang w:eastAsia="zh-CN"/>
        </w:rPr>
        <w:t>类</w:t>
      </w:r>
      <w:r>
        <w:rPr>
          <w:rFonts w:hint="eastAsia"/>
          <w:sz w:val="24"/>
          <w:szCs w:val="32"/>
          <w:lang w:val="en-US" w:eastAsia="zh-CN"/>
        </w:rPr>
        <w:t>及</w:t>
      </w:r>
      <w:r>
        <w:rPr>
          <w:rFonts w:hint="eastAsia"/>
          <w:sz w:val="24"/>
          <w:szCs w:val="32"/>
          <w:lang w:eastAsia="zh-CN"/>
        </w:rPr>
        <w:t>以上</w:t>
      </w:r>
    </w:p>
    <w:p w14:paraId="15877710">
      <w:pPr>
        <w:spacing w:line="360" w:lineRule="auto"/>
        <w:rPr>
          <w:rFonts w:hint="default" w:eastAsiaTheme="minorEastAsia"/>
          <w:b/>
          <w:bCs/>
          <w:sz w:val="24"/>
          <w:szCs w:val="32"/>
          <w:lang w:val="en-US" w:eastAsia="zh-CN"/>
        </w:rPr>
      </w:pPr>
      <w:r>
        <w:rPr>
          <w:rFonts w:hint="eastAsia"/>
          <w:b/>
          <w:bCs/>
          <w:sz w:val="24"/>
          <w:szCs w:val="32"/>
          <w:lang w:eastAsia="zh-CN"/>
        </w:rPr>
        <w:t>（</w:t>
      </w:r>
      <w:r>
        <w:rPr>
          <w:rFonts w:hint="eastAsia"/>
          <w:b/>
          <w:bCs/>
          <w:sz w:val="24"/>
          <w:szCs w:val="32"/>
          <w:lang w:val="en-US" w:eastAsia="zh-CN"/>
        </w:rPr>
        <w:t>二）供应商的业绩要求</w:t>
      </w:r>
    </w:p>
    <w:p w14:paraId="02E2F6F0">
      <w:pPr>
        <w:spacing w:line="360" w:lineRule="auto"/>
        <w:ind w:firstLine="480" w:firstLineChars="200"/>
        <w:rPr>
          <w:sz w:val="24"/>
          <w:szCs w:val="32"/>
        </w:rPr>
      </w:pPr>
      <w:r>
        <w:rPr>
          <w:rFonts w:hint="eastAsia"/>
          <w:sz w:val="24"/>
          <w:szCs w:val="32"/>
        </w:rPr>
        <w:t>供应商具有与交警支队类似保险服务项目的合作经验：至投标截止时间前三年以来，供应商需提供合同或保单（否则视为不满足此需求），合作项目类似程度及数量需符合采购人要求。</w:t>
      </w:r>
    </w:p>
    <w:p w14:paraId="50B54BF2">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9C86E"/>
    <w:multiLevelType w:val="singleLevel"/>
    <w:tmpl w:val="FB59C8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jNkNWM3MDdiYzcxNDg0MzdiMzNmNTE5OGFkNDAifQ=="/>
  </w:docVars>
  <w:rsids>
    <w:rsidRoot w:val="00000000"/>
    <w:rsid w:val="05693B81"/>
    <w:rsid w:val="06FA3352"/>
    <w:rsid w:val="08C47915"/>
    <w:rsid w:val="09F75AC8"/>
    <w:rsid w:val="0B785CA6"/>
    <w:rsid w:val="0F557518"/>
    <w:rsid w:val="10292DA8"/>
    <w:rsid w:val="15E607A9"/>
    <w:rsid w:val="18CD4E3E"/>
    <w:rsid w:val="1DA33B45"/>
    <w:rsid w:val="1F354C71"/>
    <w:rsid w:val="21DD069A"/>
    <w:rsid w:val="249266C1"/>
    <w:rsid w:val="26306192"/>
    <w:rsid w:val="2AC179B2"/>
    <w:rsid w:val="3372008C"/>
    <w:rsid w:val="35A2796E"/>
    <w:rsid w:val="45D14F86"/>
    <w:rsid w:val="4F1520F6"/>
    <w:rsid w:val="4FB05ACA"/>
    <w:rsid w:val="4FD55530"/>
    <w:rsid w:val="512247A5"/>
    <w:rsid w:val="6285474B"/>
    <w:rsid w:val="63624ED5"/>
    <w:rsid w:val="6A2471B2"/>
    <w:rsid w:val="6CFC78B0"/>
    <w:rsid w:val="6ECF0E39"/>
    <w:rsid w:val="7A0F2F8F"/>
    <w:rsid w:val="7A1E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2210</Words>
  <Characters>2319</Characters>
  <Lines>0</Lines>
  <Paragraphs>0</Paragraphs>
  <TotalTime>66</TotalTime>
  <ScaleCrop>false</ScaleCrop>
  <LinksUpToDate>false</LinksUpToDate>
  <CharactersWithSpaces>2320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2024-03-04T06:30:00Z</dcterms:created>
  <dc:creator>Administrator</dc:creator>
  <cp:lastModifiedBy>蛮</cp:lastModifiedBy>
  <dcterms:modified xsi:type="dcterms:W3CDTF">2025-04-07T01:57:14Z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C6B78C0541564301BCB1F9290C516A06_13</vt:lpwstr>
  </property>
  <property fmtid="{D5CDD505-2E9C-101B-9397-08002B2CF9AE}" pid="4" name="KSOTemplateDocerSaveRecord">
    <vt:lpwstr>eyJoZGlkIjoiOTE2MjNkNWM3MDdiYzcxNDg0MzdiMzNmNTE5OGFkNDAiLCJ1c2VySWQiOiIzODAxNDg5NjQifQ==</vt:lpwstr>
  </property>
</Properties>
</file>