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CF109">
      <w:pPr>
        <w:pStyle w:val="2"/>
        <w:snapToGrid w:val="0"/>
        <w:jc w:val="center"/>
        <w:rPr>
          <w:rFonts w:ascii="Times New Roman" w:hAnsi="Times New Roman"/>
          <w:color w:val="auto"/>
        </w:rPr>
      </w:pPr>
      <w:bookmarkStart w:id="0" w:name="_Toc495317669"/>
      <w:r>
        <w:rPr>
          <w:rFonts w:ascii="Times New Roman" w:hAnsi="Times New Roman"/>
          <w:color w:val="auto"/>
        </w:rPr>
        <w:t>采购内容及需求</w:t>
      </w:r>
      <w:bookmarkEnd w:id="0"/>
    </w:p>
    <w:p w14:paraId="158787E7">
      <w:pPr>
        <w:pStyle w:val="3"/>
        <w:spacing w:line="360" w:lineRule="auto"/>
        <w:ind w:firstLine="0" w:firstLineChars="0"/>
        <w:rPr>
          <w:rFonts w:hint="eastAsia" w:ascii="宋体" w:hAnsi="宋体"/>
          <w:szCs w:val="21"/>
        </w:rPr>
      </w:pPr>
      <w:bookmarkStart w:id="1" w:name="_Toc426996356"/>
      <w:r>
        <w:t>一、</w:t>
      </w:r>
      <w:r>
        <w:rPr>
          <w:rFonts w:hint="eastAsia"/>
        </w:rPr>
        <w:t>采购内容</w:t>
      </w:r>
    </w:p>
    <w:tbl>
      <w:tblPr>
        <w:tblStyle w:val="4"/>
        <w:tblW w:w="8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65"/>
        <w:gridCol w:w="1658"/>
        <w:gridCol w:w="3600"/>
        <w:gridCol w:w="869"/>
      </w:tblGrid>
      <w:tr w14:paraId="224C7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8A36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ED256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产品名称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064D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3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B388B">
            <w:pPr>
              <w:ind w:firstLine="420" w:firstLineChars="20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数量（预估）</w:t>
            </w:r>
          </w:p>
        </w:tc>
        <w:tc>
          <w:tcPr>
            <w:tcW w:w="8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2F395"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服务期限</w:t>
            </w:r>
          </w:p>
        </w:tc>
      </w:tr>
      <w:tr w14:paraId="5F91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9D1E73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2BFC88E2">
            <w:pPr>
              <w:jc w:val="center"/>
              <w:rPr>
                <w:kern w:val="0"/>
                <w:szCs w:val="21"/>
              </w:rPr>
            </w:pPr>
            <w:bookmarkStart w:id="7" w:name="_GoBack"/>
            <w:r>
              <w:rPr>
                <w:rFonts w:hint="eastAsia"/>
                <w:kern w:val="0"/>
                <w:szCs w:val="21"/>
              </w:rPr>
              <w:t>医用氧</w:t>
            </w:r>
            <w:bookmarkEnd w:id="7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7A08A6B0"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40</w:t>
            </w:r>
            <w:r>
              <w:rPr>
                <w:kern w:val="0"/>
                <w:szCs w:val="21"/>
              </w:rPr>
              <w:t>L/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2263E08C">
            <w:pPr>
              <w:jc w:val="center"/>
              <w:rPr>
                <w:rFonts w:hint="default" w:eastAsia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600瓶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2DC664AA"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3年</w:t>
            </w:r>
          </w:p>
        </w:tc>
      </w:tr>
      <w:tr w14:paraId="55BD8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1CBEF"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F13F3"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二氧化碳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BAD47">
            <w:pPr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40L/瓶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F43F7">
            <w:pPr>
              <w:jc w:val="center"/>
              <w:rPr>
                <w:rFonts w:hint="default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60瓶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A0271">
            <w:pPr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3年</w:t>
            </w:r>
          </w:p>
        </w:tc>
      </w:tr>
    </w:tbl>
    <w:p w14:paraId="5B65F33D">
      <w:r>
        <w:rPr>
          <w:rFonts w:hint="eastAsia"/>
        </w:rPr>
        <w:t>注：根据采购人要求按实按需分批供货，实际用量按月结算。</w:t>
      </w:r>
    </w:p>
    <w:p w14:paraId="3F32A974">
      <w:pPr>
        <w:rPr>
          <w:rFonts w:hint="eastAsia"/>
        </w:rPr>
      </w:pPr>
    </w:p>
    <w:p w14:paraId="001333F8">
      <w:pPr>
        <w:rPr>
          <w:rFonts w:hint="eastAsia"/>
        </w:rPr>
      </w:pPr>
    </w:p>
    <w:p w14:paraId="0BE2F73B">
      <w:pPr>
        <w:pStyle w:val="3"/>
        <w:numPr>
          <w:ilvl w:val="0"/>
          <w:numId w:val="1"/>
        </w:numPr>
        <w:spacing w:line="360" w:lineRule="auto"/>
        <w:ind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技术规格要求</w:t>
      </w:r>
    </w:p>
    <w:p w14:paraId="281D4F81"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90D5A31">
      <w:pPr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t>1</w:t>
      </w:r>
      <w:r>
        <w:rPr>
          <w:rFonts w:hint="eastAsia"/>
        </w:rPr>
        <w:t>、医用氧符合</w:t>
      </w:r>
      <w:r>
        <w:t>2020</w:t>
      </w:r>
      <w:r>
        <w:rPr>
          <w:rFonts w:hint="eastAsia"/>
        </w:rPr>
        <w:t>版药典二部要求，氧含量≥</w:t>
      </w:r>
      <w:r>
        <w:t>99.5%</w:t>
      </w:r>
      <w:r>
        <w:rPr>
          <w:rFonts w:hint="eastAsia"/>
        </w:rPr>
        <w:t>。为淡蓝色液体，透明且易于流动，气化后为无色气体，无臭、无味。氧含量，</w:t>
      </w:r>
      <w:r>
        <w:t>(V/V)</w:t>
      </w:r>
      <w:r>
        <w:rPr>
          <w:rFonts w:hint="eastAsia"/>
        </w:rPr>
        <w:t>≥</w:t>
      </w:r>
      <w:r>
        <w:t>99.5%</w:t>
      </w:r>
      <w:r>
        <w:rPr>
          <w:rFonts w:hint="eastAsia"/>
        </w:rPr>
        <w:t>所供医用氧必须有质量检验证明以及合格证。具有医用氧的国家药监局的药品注册批件</w:t>
      </w:r>
      <w:r>
        <w:rPr>
          <w:rFonts w:hint="eastAsia"/>
          <w:lang w:eastAsia="zh-CN"/>
        </w:rPr>
        <w:t>、</w:t>
      </w:r>
      <w:r>
        <w:rPr>
          <w:rFonts w:hint="eastAsia" w:ascii="Times New Roman" w:hAnsi="Times New Roman" w:eastAsia="宋体" w:cs="Times New Roman"/>
          <w:lang w:val="en-US" w:eastAsia="zh-CN"/>
        </w:rPr>
        <w:t>药品生产许可证、气瓶充装许可证、危险化学品经营许可证。</w:t>
      </w:r>
    </w:p>
    <w:p w14:paraId="75EB6BF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kern w:val="0"/>
          <w:szCs w:val="21"/>
          <w:lang w:val="en-US" w:eastAsia="zh-CN"/>
        </w:rPr>
        <w:t>二氧化碳符合GB/T23938-2021标准要求，二氧化碳含量≥99.995%</w:t>
      </w:r>
    </w:p>
    <w:p w14:paraId="23653CB8">
      <w:pPr>
        <w:spacing w:line="360" w:lineRule="auto"/>
      </w:pPr>
    </w:p>
    <w:p w14:paraId="2B7B1E6A">
      <w:pPr>
        <w:pStyle w:val="3"/>
        <w:spacing w:line="360" w:lineRule="auto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三、服务要求</w:t>
      </w:r>
    </w:p>
    <w:p w14:paraId="0560C6E7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1、基本要求</w:t>
      </w:r>
    </w:p>
    <w:p w14:paraId="454581AC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1.1投标人自有售后服务部门，本项目固定的售后服务人员、并配备售后服务专员一名及以上、危险化学品运输车辆需满足本项目日常运输。</w:t>
      </w:r>
    </w:p>
    <w:p w14:paraId="04FBEC4F">
      <w:pPr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1.2</w:t>
      </w:r>
      <w:r>
        <w:rPr>
          <w:rFonts w:hint="eastAsia" w:ascii="Times New Roman" w:hAnsi="Times New Roman" w:eastAsia="宋体" w:cs="Times New Roman"/>
        </w:rPr>
        <w:t>、投标人须按特种设备检验要求完成对</w:t>
      </w:r>
      <w:r>
        <w:rPr>
          <w:rFonts w:hint="eastAsia" w:ascii="Times New Roman" w:hAnsi="Times New Roman" w:eastAsia="宋体" w:cs="Times New Roman"/>
          <w:lang w:val="en-US" w:eastAsia="zh-CN"/>
        </w:rPr>
        <w:t>医用氧的容器以及</w:t>
      </w:r>
      <w:r>
        <w:rPr>
          <w:rFonts w:hint="eastAsia" w:ascii="Times New Roman" w:hAnsi="Times New Roman" w:eastAsia="宋体" w:cs="Times New Roman"/>
        </w:rPr>
        <w:t>配套阀门定期检定，且保证在检定效期届满前完成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 w14:paraId="5B21A1A8">
      <w:pPr>
        <w:spacing w:line="360" w:lineRule="auto"/>
      </w:pPr>
      <w:r>
        <w:rPr>
          <w:rFonts w:hint="eastAsia"/>
        </w:rPr>
        <w:t>2、供货要求</w:t>
      </w:r>
    </w:p>
    <w:p w14:paraId="4CCEFF70">
      <w:pPr>
        <w:spacing w:line="360" w:lineRule="auto"/>
      </w:pPr>
      <w:r>
        <w:rPr>
          <w:rFonts w:hint="eastAsia"/>
        </w:rPr>
        <w:t>2.</w:t>
      </w:r>
      <w:r>
        <w:t>1</w:t>
      </w:r>
      <w:r>
        <w:rPr>
          <w:rFonts w:hint="eastAsia"/>
        </w:rPr>
        <w:t>必须足量保质、按时供货、保障安全运输。</w:t>
      </w:r>
    </w:p>
    <w:p w14:paraId="11169937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2.</w:t>
      </w:r>
      <w:r>
        <w:t>2</w:t>
      </w:r>
      <w:r>
        <w:rPr>
          <w:rFonts w:hint="eastAsia"/>
        </w:rPr>
        <w:t>由投标人负责</w:t>
      </w:r>
      <w:r>
        <w:rPr>
          <w:rFonts w:hint="eastAsia"/>
          <w:lang w:val="en-US" w:eastAsia="zh-CN"/>
        </w:rPr>
        <w:t>医用氧气瓶</w:t>
      </w:r>
      <w:r>
        <w:rPr>
          <w:rFonts w:hint="eastAsia"/>
        </w:rPr>
        <w:t>的维</w:t>
      </w:r>
      <w:r>
        <w:rPr>
          <w:rFonts w:hint="eastAsia" w:ascii="Times New Roman" w:hAnsi="Times New Roman" w:eastAsia="宋体" w:cs="Times New Roman"/>
        </w:rPr>
        <w:t>修维护，由投标人</w:t>
      </w:r>
      <w:r>
        <w:rPr>
          <w:rFonts w:hint="eastAsia"/>
        </w:rPr>
        <w:t>保证</w:t>
      </w:r>
      <w:r>
        <w:rPr>
          <w:rFonts w:hint="eastAsia"/>
          <w:lang w:val="en-US" w:eastAsia="zh-CN"/>
        </w:rPr>
        <w:t>医用氧</w:t>
      </w:r>
      <w:r>
        <w:rPr>
          <w:rFonts w:hint="eastAsia"/>
        </w:rPr>
        <w:t>的正常</w:t>
      </w:r>
      <w:r>
        <w:rPr>
          <w:rFonts w:hint="eastAsia"/>
          <w:lang w:val="en-US" w:eastAsia="zh-CN"/>
        </w:rPr>
        <w:t>使用。</w:t>
      </w:r>
    </w:p>
    <w:p w14:paraId="0670EFAD">
      <w:pPr>
        <w:spacing w:line="360" w:lineRule="auto"/>
      </w:pPr>
      <w:r>
        <w:rPr>
          <w:rFonts w:hint="eastAsia"/>
        </w:rPr>
        <w:t>2.</w:t>
      </w:r>
      <w:r>
        <w:t>3</w:t>
      </w:r>
      <w:r>
        <w:rPr>
          <w:rFonts w:hint="eastAsia"/>
        </w:rPr>
        <w:t>医用气体必须符合国家相关标准</w:t>
      </w:r>
      <w:r>
        <w:rPr>
          <w:rFonts w:hint="eastAsia" w:ascii="Times New Roman" w:hAnsi="Times New Roman" w:eastAsia="宋体" w:cs="Times New Roman"/>
        </w:rPr>
        <w:t>，在正常使</w:t>
      </w:r>
      <w:r>
        <w:rPr>
          <w:rFonts w:hint="eastAsia"/>
        </w:rPr>
        <w:t>用</w:t>
      </w:r>
      <w:r>
        <w:rPr>
          <w:rFonts w:hint="eastAsia" w:ascii="Times New Roman" w:hAnsi="Times New Roman" w:eastAsia="宋体" w:cs="Times New Roman"/>
        </w:rPr>
        <w:t>情况下，能确保</w:t>
      </w:r>
      <w:r>
        <w:rPr>
          <w:rFonts w:hint="eastAsia"/>
        </w:rPr>
        <w:t>运输、贮存、使用安全，并保证不会对相关设施如储罐、输气管道等造成不良影响。</w:t>
      </w:r>
    </w:p>
    <w:p w14:paraId="200E39D2">
      <w:pPr>
        <w:spacing w:line="360" w:lineRule="auto"/>
      </w:pPr>
      <w:r>
        <w:rPr>
          <w:rFonts w:hint="eastAsia"/>
        </w:rPr>
        <w:t>2.</w:t>
      </w:r>
      <w:r>
        <w:t>4</w:t>
      </w:r>
      <w:r>
        <w:rPr>
          <w:rFonts w:hint="eastAsia"/>
        </w:rPr>
        <w:t>所供医用气体须在接到采购人通知后</w:t>
      </w:r>
      <w:r>
        <w:rPr>
          <w:rFonts w:hint="eastAsia" w:ascii="Times New Roman" w:hAnsi="Times New Roman" w:eastAsia="宋体" w:cs="Times New Roman"/>
          <w:lang w:val="en-US" w:eastAsia="zh-CN"/>
        </w:rPr>
        <w:t>48</w:t>
      </w:r>
      <w:r>
        <w:rPr>
          <w:rFonts w:hint="eastAsia" w:ascii="Times New Roman" w:hAnsi="Times New Roman" w:eastAsia="宋体" w:cs="Times New Roman"/>
        </w:rPr>
        <w:t>小时内送达指</w:t>
      </w:r>
      <w:r>
        <w:rPr>
          <w:rFonts w:hint="eastAsia"/>
        </w:rPr>
        <w:t>定地点，应急响应</w:t>
      </w:r>
      <w:r>
        <w:t>4</w:t>
      </w:r>
      <w:r>
        <w:rPr>
          <w:rFonts w:hint="eastAsia"/>
        </w:rPr>
        <w:t>小时内，须采用专用车运输。</w:t>
      </w:r>
    </w:p>
    <w:p w14:paraId="1C718C52">
      <w:pPr>
        <w:spacing w:line="360" w:lineRule="auto"/>
      </w:pPr>
      <w:r>
        <w:rPr>
          <w:rFonts w:hint="eastAsia"/>
        </w:rPr>
        <w:t>2.</w:t>
      </w:r>
      <w:r>
        <w:t>5</w:t>
      </w:r>
      <w:r>
        <w:rPr>
          <w:rFonts w:hint="eastAsia"/>
        </w:rPr>
        <w:t>所供医用气体必须有质量检验证明以及合格证。</w:t>
      </w:r>
    </w:p>
    <w:p w14:paraId="462B7C4A">
      <w:pPr>
        <w:spacing w:line="360" w:lineRule="auto"/>
      </w:pPr>
      <w:r>
        <w:rPr>
          <w:rFonts w:hint="eastAsia"/>
        </w:rPr>
        <w:t>2.</w:t>
      </w:r>
      <w:r>
        <w:t>6</w:t>
      </w:r>
      <w:r>
        <w:rPr>
          <w:rFonts w:hint="eastAsia"/>
        </w:rPr>
        <w:t>投标人不得以市场行情紧张等为借口，少送或迟送采购人通知的送货量。</w:t>
      </w:r>
    </w:p>
    <w:p w14:paraId="6ED04B64">
      <w:pPr>
        <w:spacing w:line="360" w:lineRule="auto"/>
      </w:pPr>
      <w:r>
        <w:rPr>
          <w:rFonts w:hint="eastAsia"/>
        </w:rPr>
        <w:t>2.</w:t>
      </w:r>
      <w:r>
        <w:t>7</w:t>
      </w:r>
      <w:r>
        <w:rPr>
          <w:rFonts w:hint="eastAsia"/>
        </w:rPr>
        <w:t>投标人需针对本项目，指定供货服务方案及供货保障措施，内容包括但不限于：医用</w:t>
      </w:r>
      <w:r>
        <w:rPr>
          <w:rFonts w:hint="eastAsia"/>
          <w:lang w:val="en-US" w:eastAsia="zh-CN"/>
        </w:rPr>
        <w:t>气体</w:t>
      </w:r>
      <w:r>
        <w:rPr>
          <w:rFonts w:hint="eastAsia"/>
        </w:rPr>
        <w:t>的供货计划和运输服务方案；内部管理制度和服务质量的保障措施；运输途中及灌装过程中的安全保障措施及突发情况的应急预案。</w:t>
      </w:r>
    </w:p>
    <w:p w14:paraId="28A63DD9">
      <w:pPr>
        <w:widowControl/>
        <w:rPr>
          <w:rFonts w:hint="eastAsia" w:ascii="宋体" w:hAnsi="宋体" w:cs="宋体"/>
          <w:szCs w:val="21"/>
        </w:rPr>
      </w:pPr>
    </w:p>
    <w:p w14:paraId="19E777D5">
      <w:pPr>
        <w:pStyle w:val="3"/>
        <w:spacing w:line="360" w:lineRule="auto"/>
        <w:ind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四、商务要求</w:t>
      </w:r>
    </w:p>
    <w:bookmarkEnd w:id="1"/>
    <w:p w14:paraId="4E2FDAAB">
      <w:pPr>
        <w:spacing w:line="360" w:lineRule="auto"/>
        <w:rPr>
          <w:rFonts w:hint="eastAsia" w:ascii="Times New Roman" w:hAnsi="Times New Roman" w:eastAsia="宋体" w:cs="Times New Roman"/>
        </w:rPr>
      </w:pPr>
      <w:bookmarkStart w:id="2" w:name="_Toc82338233"/>
      <w:bookmarkStart w:id="3" w:name="_Toc273624872"/>
      <w:bookmarkStart w:id="4" w:name="_Toc211745565"/>
      <w:bookmarkStart w:id="5" w:name="_Toc495317670"/>
      <w:bookmarkStart w:id="6" w:name="_Toc82873316"/>
      <w:r>
        <w:rPr>
          <w:rFonts w:hint="eastAsia" w:ascii="Times New Roman" w:hAnsi="Times New Roman" w:eastAsia="宋体" w:cs="Times New Roman"/>
        </w:rPr>
        <w:t>1、服务期：服务期为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年，合同采取逐年签订方式。合同期内，供应商能严格履行合同，通过采购人的考核，符合相关规定的，可以续签合同，总服务期限不超过3年。</w:t>
      </w:r>
    </w:p>
    <w:p w14:paraId="5994143E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2、交货时间、方式</w:t>
      </w:r>
    </w:p>
    <w:p w14:paraId="5243D79C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2.1中标人负责合同项下的货物运送、人员管理相关服务费用，一切费用由中标人负责。</w:t>
      </w:r>
    </w:p>
    <w:p w14:paraId="79E74B24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2.2 中标人运送货物时须对各场地内的其它设备、设施有良好保护措施。</w:t>
      </w:r>
    </w:p>
    <w:p w14:paraId="20D8BABA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2.3 合同签订后，中标人须做好供货准备，在接到采购人正常要货通知的情况下，在</w:t>
      </w:r>
      <w:r>
        <w:rPr>
          <w:rFonts w:hint="eastAsia" w:ascii="Times New Roman" w:hAnsi="Times New Roman" w:eastAsia="宋体" w:cs="Times New Roman"/>
          <w:lang w:val="en-US" w:eastAsia="zh-CN"/>
        </w:rPr>
        <w:t>48</w:t>
      </w:r>
      <w:r>
        <w:rPr>
          <w:rFonts w:hint="eastAsia" w:ascii="Times New Roman" w:hAnsi="Times New Roman" w:eastAsia="宋体" w:cs="Times New Roman"/>
        </w:rPr>
        <w:t>小时内配送产品到采购人院内的</w:t>
      </w:r>
      <w:r>
        <w:rPr>
          <w:rFonts w:hint="eastAsia" w:ascii="Times New Roman" w:hAnsi="Times New Roman" w:eastAsia="宋体" w:cs="Times New Roman"/>
          <w:lang w:val="en-US" w:eastAsia="zh-CN"/>
        </w:rPr>
        <w:t>气体存放点</w:t>
      </w:r>
      <w:r>
        <w:rPr>
          <w:rFonts w:hint="eastAsia" w:ascii="Times New Roman" w:hAnsi="Times New Roman" w:eastAsia="宋体" w:cs="Times New Roman"/>
        </w:rPr>
        <w:t>。如接到采购人应急要货电话通知的情况下，中标人将在接到通知后的4小时内将产品送到采购人院内的</w:t>
      </w:r>
      <w:r>
        <w:rPr>
          <w:rFonts w:hint="eastAsia" w:ascii="Times New Roman" w:hAnsi="Times New Roman" w:eastAsia="宋体" w:cs="Times New Roman"/>
          <w:lang w:val="en-US" w:eastAsia="zh-CN"/>
        </w:rPr>
        <w:t>气体存放点</w:t>
      </w:r>
      <w:r>
        <w:rPr>
          <w:rFonts w:hint="eastAsia" w:ascii="Times New Roman" w:hAnsi="Times New Roman" w:eastAsia="宋体" w:cs="Times New Roman"/>
        </w:rPr>
        <w:t>，以确保采购人的紧急需求。</w:t>
      </w:r>
    </w:p>
    <w:p w14:paraId="458D80A0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2.4交货方式：所有合同货物均由中标人装运至采购人指定地点，所有货物的包装费用、运输费用及运输安全均由中标人负责。货物装运后由中标人办理保险，费用已含在合同价中。如国家对此类货物的运输有特殊要求的，中标人负责办理相关手续并承担一切费用。</w:t>
      </w:r>
      <w:r>
        <w:rPr>
          <w:rFonts w:hint="eastAsia" w:cs="Times New Roman"/>
          <w:lang w:val="en-US" w:eastAsia="zh-CN"/>
        </w:rPr>
        <w:t>医用</w:t>
      </w:r>
      <w:r>
        <w:rPr>
          <w:rFonts w:hint="eastAsia" w:ascii="Times New Roman" w:hAnsi="Times New Roman" w:eastAsia="宋体" w:cs="Times New Roman"/>
        </w:rPr>
        <w:t>氧在运输过程中的一切安全问题由中标人负责。</w:t>
      </w:r>
    </w:p>
    <w:p w14:paraId="7CAB8C5F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、责任</w:t>
      </w:r>
    </w:p>
    <w:p w14:paraId="276F479F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.1如因中标人供货不及时或成交货物质量不合格发生的事故，使用户遭受损失的，中标人应承担一切责任赔偿损失。</w:t>
      </w:r>
    </w:p>
    <w:p w14:paraId="498B3D4B">
      <w:pPr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.2中标人提供的全部货物采用相应标准的保护措施进行包装。中标人应承担由于包装不妥而引起的全部损失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 w14:paraId="7893A03E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.3投标人应拥有完善的储存、中转和装卸等配套设施。其中：配备的储存、中转、装卸设备必须符合国家有关要求。</w:t>
      </w:r>
    </w:p>
    <w:p w14:paraId="2BFA9FEA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eastAsia" w:ascii="Times New Roman" w:hAnsi="Times New Roman" w:eastAsia="宋体" w:cs="Times New Roman"/>
        </w:rPr>
        <w:t>、付款方式</w:t>
      </w:r>
    </w:p>
    <w:p w14:paraId="10D7FF48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5.1本项目为分批次供货采购项目，按月支付货款，结算期为当月1日至当月31日止，并在次月提交发票和结算核实单，甲方在收到所有付款资料并审核通过后两个月内付清全款。</w:t>
      </w:r>
    </w:p>
    <w:p w14:paraId="2274EC57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6、报价要求：</w:t>
      </w:r>
    </w:p>
    <w:p w14:paraId="514E1043"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6.1投标报价：报每</w:t>
      </w:r>
      <w:r>
        <w:rPr>
          <w:rFonts w:hint="eastAsia" w:cs="Times New Roman"/>
          <w:lang w:val="en-US" w:eastAsia="zh-CN"/>
        </w:rPr>
        <w:t>瓶</w:t>
      </w:r>
      <w:r>
        <w:rPr>
          <w:rFonts w:hint="eastAsia" w:ascii="Times New Roman" w:hAnsi="Times New Roman" w:eastAsia="宋体" w:cs="Times New Roman"/>
        </w:rPr>
        <w:t>单价（该价格包括</w:t>
      </w:r>
      <w:r>
        <w:rPr>
          <w:rFonts w:hint="eastAsia" w:cs="Times New Roman"/>
          <w:lang w:val="en-US" w:eastAsia="zh-CN"/>
        </w:rPr>
        <w:t>医用气体</w:t>
      </w:r>
      <w:r>
        <w:rPr>
          <w:rFonts w:hint="eastAsia" w:ascii="Times New Roman" w:hAnsi="Times New Roman" w:eastAsia="宋体" w:cs="Times New Roman"/>
        </w:rPr>
        <w:t>货价和货物的供应、运输、检验、发货、送货、保险、装卸、仓储、保管、技术服务以及人员管理相关服务，各种税费、质保、售后服务及其他伴随服务等一切必须费用）。</w:t>
      </w:r>
    </w:p>
    <w:bookmarkEnd w:id="2"/>
    <w:bookmarkEnd w:id="3"/>
    <w:bookmarkEnd w:id="4"/>
    <w:bookmarkEnd w:id="5"/>
    <w:bookmarkEnd w:id="6"/>
    <w:p w14:paraId="4D5BFE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DB7B6"/>
    <w:multiLevelType w:val="singleLevel"/>
    <w:tmpl w:val="2ECDB7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F0360"/>
    <w:rsid w:val="6E5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/>
      <w:b/>
      <w:color w:val="000000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2874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2025-01-15T00:23:00Z</dcterms:created>
  <dc:creator>文宏鑫</dc:creator>
  <cp:lastModifiedBy>文宏鑫</cp:lastModifiedBy>
  <dcterms:modified xsi:type="dcterms:W3CDTF">2025-01-20T01:23:49Z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FEA0C152865E450495A2FEBA5876474D_11</vt:lpwstr>
  </property>
  <property fmtid="{D5CDD505-2E9C-101B-9397-08002B2CF9AE}" pid="4" name="KSOTemplateDocerSaveRecord">
    <vt:lpwstr>eyJoZGlkIjoiNGIxMjdiZDNlMWZhNDc2ZjI1ODUzY2NmNjVhMmM3ZGUiLCJ1c2VySWQiOiIyODc4MzMzNDkifQ==</vt:lpwstr>
  </property>
</Properties>
</file>