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3"/>
        <w:gridCol w:w="2295"/>
        <w:gridCol w:w="4184"/>
      </w:tblGrid>
      <w:tr w14:paraId="5EC7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422" w:type="dxa"/>
            <w:gridSpan w:val="3"/>
          </w:tcPr>
          <w:p w14:paraId="521D7AD6">
            <w:pPr>
              <w:numPr>
                <w:ilvl w:val="0"/>
                <w:numId w:val="0"/>
              </w:numPr>
              <w:spacing w:line="360" w:lineRule="auto"/>
              <w:ind w:leftChars="0"/>
              <w:jc w:val="left"/>
              <w:rPr>
                <w:rFonts w:hint="default"/>
                <w:b/>
                <w:bCs/>
                <w:color w:val="auto"/>
                <w:spacing w:val="0"/>
                <w:w w:val="90"/>
                <w:position w:val="0"/>
                <w:sz w:val="24"/>
                <w:szCs w:val="24"/>
                <w:vertAlign w:val="baseline"/>
                <w:lang w:val="en-US" w:eastAsia="zh-CN"/>
              </w:rPr>
            </w:pPr>
          </w:p>
        </w:tc>
      </w:tr>
      <w:tr w14:paraId="5FF9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43" w:type="dxa"/>
            <w:vMerge w:val="restart"/>
            <w:tcBorders>
              <w:right w:val="single" w:color="auto" w:sz="4" w:space="0"/>
            </w:tcBorders>
          </w:tcPr>
          <w:p w14:paraId="5B3E910D">
            <w:pPr>
              <w:jc w:val="center"/>
              <w:rPr>
                <w:rFonts w:hint="eastAsia" w:eastAsiaTheme="minorEastAsia"/>
                <w:color w:val="auto"/>
                <w:spacing w:val="0"/>
                <w:w w:val="90"/>
                <w:position w:val="0"/>
                <w:vertAlign w:val="baseline"/>
                <w:lang w:eastAsia="zh-CN"/>
              </w:rPr>
            </w:pPr>
            <w:r>
              <w:drawing>
                <wp:inline distT="0" distB="0" distL="114300" distR="114300">
                  <wp:extent cx="1256030" cy="1423670"/>
                  <wp:effectExtent l="0" t="0" r="8890" b="8890"/>
                  <wp:docPr id="14" name="ID_C7DF3EF570A44D69AB6D9B584ECAD4A1" descr="热风循环消毒存储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D_C7DF3EF570A44D69AB6D9B584ECAD4A1" descr="热风循环消毒存储库"/>
                          <pic:cNvPicPr>
                            <a:picLocks noChangeAspect="1"/>
                          </pic:cNvPicPr>
                        </pic:nvPicPr>
                        <pic:blipFill>
                          <a:blip r:embed="rId6"/>
                          <a:stretch>
                            <a:fillRect/>
                          </a:stretch>
                        </pic:blipFill>
                        <pic:spPr>
                          <a:xfrm flipH="1">
                            <a:off x="0" y="0"/>
                            <a:ext cx="1256030" cy="1423670"/>
                          </a:xfrm>
                          <a:prstGeom prst="rect">
                            <a:avLst/>
                          </a:prstGeom>
                          <a:noFill/>
                          <a:ln w="9525">
                            <a:noFill/>
                          </a:ln>
                        </pic:spPr>
                      </pic:pic>
                    </a:graphicData>
                  </a:graphic>
                </wp:inline>
              </w:drawing>
            </w:r>
          </w:p>
        </w:tc>
        <w:tc>
          <w:tcPr>
            <w:tcW w:w="2295" w:type="dxa"/>
            <w:tcBorders>
              <w:left w:val="single" w:color="auto" w:sz="4" w:space="0"/>
            </w:tcBorders>
            <w:vAlign w:val="center"/>
          </w:tcPr>
          <w:p w14:paraId="0FDF9CCB">
            <w:pPr>
              <w:numPr>
                <w:ilvl w:val="0"/>
                <w:numId w:val="0"/>
              </w:numPr>
              <w:tabs>
                <w:tab w:val="center" w:pos="1094"/>
                <w:tab w:val="right" w:pos="2079"/>
              </w:tabs>
              <w:spacing w:line="360" w:lineRule="auto"/>
              <w:ind w:left="0" w:leftChars="0" w:firstLine="0" w:firstLineChars="0"/>
              <w:jc w:val="left"/>
              <w:rPr>
                <w:rFonts w:hint="eastAsia"/>
                <w:b/>
                <w:bCs/>
                <w:color w:val="auto"/>
                <w:spacing w:val="0"/>
                <w:w w:val="90"/>
                <w:position w:val="0"/>
                <w:sz w:val="24"/>
                <w:szCs w:val="24"/>
                <w:vertAlign w:val="baseline"/>
                <w:lang w:eastAsia="zh-CN"/>
              </w:rPr>
            </w:pPr>
            <w:r>
              <w:rPr>
                <w:rFonts w:hint="eastAsia"/>
                <w:b/>
                <w:bCs/>
                <w:color w:val="auto"/>
                <w:spacing w:val="0"/>
                <w:w w:val="90"/>
                <w:position w:val="0"/>
                <w:sz w:val="24"/>
                <w:szCs w:val="24"/>
                <w:vertAlign w:val="baseline"/>
                <w:lang w:eastAsia="zh-CN"/>
              </w:rPr>
              <w:tab/>
            </w:r>
            <w:r>
              <w:rPr>
                <w:rFonts w:hint="eastAsia"/>
                <w:b/>
                <w:bCs/>
                <w:sz w:val="22"/>
                <w:szCs w:val="22"/>
                <w:vertAlign w:val="baseline"/>
                <w:lang w:val="en-US" w:eastAsia="zh-CN"/>
              </w:rPr>
              <w:t>品  牌</w:t>
            </w:r>
          </w:p>
        </w:tc>
        <w:tc>
          <w:tcPr>
            <w:tcW w:w="4184" w:type="dxa"/>
            <w:tcBorders>
              <w:right w:val="single" w:color="auto" w:sz="4" w:space="0"/>
            </w:tcBorders>
            <w:vAlign w:val="center"/>
          </w:tcPr>
          <w:p w14:paraId="607C096F">
            <w:pPr>
              <w:numPr>
                <w:ilvl w:val="0"/>
                <w:numId w:val="0"/>
              </w:numPr>
              <w:spacing w:line="360" w:lineRule="auto"/>
              <w:ind w:left="0" w:leftChars="0" w:firstLine="0" w:firstLineChars="0"/>
              <w:jc w:val="center"/>
              <w:rPr>
                <w:rFonts w:hint="default"/>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宝源央厨</w:t>
            </w:r>
          </w:p>
        </w:tc>
      </w:tr>
      <w:tr w14:paraId="3968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943" w:type="dxa"/>
            <w:vMerge w:val="continue"/>
            <w:tcBorders>
              <w:right w:val="single" w:color="auto" w:sz="4" w:space="0"/>
            </w:tcBorders>
          </w:tcPr>
          <w:p w14:paraId="7A9DD43A">
            <w:pPr>
              <w:rPr>
                <w:color w:val="auto"/>
                <w:spacing w:val="0"/>
                <w:w w:val="90"/>
                <w:position w:val="0"/>
                <w:vertAlign w:val="baseline"/>
              </w:rPr>
            </w:pPr>
          </w:p>
        </w:tc>
        <w:tc>
          <w:tcPr>
            <w:tcW w:w="2295" w:type="dxa"/>
            <w:tcBorders>
              <w:left w:val="single" w:color="auto" w:sz="4" w:space="0"/>
            </w:tcBorders>
            <w:vAlign w:val="center"/>
          </w:tcPr>
          <w:p w14:paraId="46E5FBF6">
            <w:pPr>
              <w:numPr>
                <w:ilvl w:val="0"/>
                <w:numId w:val="0"/>
              </w:numPr>
              <w:spacing w:line="360" w:lineRule="auto"/>
              <w:ind w:left="0" w:leftChars="0" w:firstLine="0" w:firstLineChars="0"/>
              <w:jc w:val="center"/>
              <w:rPr>
                <w:rFonts w:hint="eastAsia"/>
                <w:b/>
                <w:bCs/>
                <w:color w:val="auto"/>
                <w:spacing w:val="0"/>
                <w:w w:val="90"/>
                <w:position w:val="0"/>
                <w:sz w:val="24"/>
                <w:szCs w:val="24"/>
                <w:vertAlign w:val="baseline"/>
                <w:lang w:eastAsia="zh-CN"/>
              </w:rPr>
            </w:pPr>
            <w:r>
              <w:rPr>
                <w:rFonts w:hint="eastAsia"/>
                <w:b/>
                <w:bCs/>
                <w:sz w:val="22"/>
                <w:szCs w:val="22"/>
                <w:vertAlign w:val="baseline"/>
                <w:lang w:eastAsia="zh-CN"/>
              </w:rPr>
              <w:t>名</w:t>
            </w:r>
            <w:r>
              <w:rPr>
                <w:rFonts w:hint="eastAsia"/>
                <w:b/>
                <w:bCs/>
                <w:sz w:val="22"/>
                <w:szCs w:val="22"/>
                <w:vertAlign w:val="baseline"/>
                <w:lang w:val="en-US" w:eastAsia="zh-CN"/>
              </w:rPr>
              <w:t xml:space="preserve">  </w:t>
            </w:r>
            <w:r>
              <w:rPr>
                <w:rFonts w:hint="eastAsia"/>
                <w:b/>
                <w:bCs/>
                <w:sz w:val="22"/>
                <w:szCs w:val="22"/>
                <w:vertAlign w:val="baseline"/>
                <w:lang w:eastAsia="zh-CN"/>
              </w:rPr>
              <w:t>称</w:t>
            </w:r>
          </w:p>
        </w:tc>
        <w:tc>
          <w:tcPr>
            <w:tcW w:w="4184" w:type="dxa"/>
            <w:tcBorders>
              <w:right w:val="single" w:color="auto" w:sz="4" w:space="0"/>
            </w:tcBorders>
            <w:vAlign w:val="center"/>
          </w:tcPr>
          <w:p w14:paraId="4ADD5573">
            <w:pPr>
              <w:numPr>
                <w:ilvl w:val="0"/>
                <w:numId w:val="0"/>
              </w:numPr>
              <w:spacing w:line="360" w:lineRule="auto"/>
              <w:ind w:left="0" w:leftChars="0" w:firstLine="0" w:firstLineChars="0"/>
              <w:jc w:val="center"/>
              <w:rPr>
                <w:rFonts w:hint="default"/>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热风循环消毒房</w:t>
            </w:r>
          </w:p>
        </w:tc>
      </w:tr>
      <w:tr w14:paraId="2827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943" w:type="dxa"/>
            <w:vMerge w:val="continue"/>
            <w:tcBorders>
              <w:right w:val="single" w:color="auto" w:sz="4" w:space="0"/>
            </w:tcBorders>
          </w:tcPr>
          <w:p w14:paraId="464A3533">
            <w:pPr>
              <w:rPr>
                <w:color w:val="auto"/>
                <w:spacing w:val="0"/>
                <w:w w:val="90"/>
                <w:position w:val="0"/>
                <w:vertAlign w:val="baseline"/>
              </w:rPr>
            </w:pPr>
          </w:p>
        </w:tc>
        <w:tc>
          <w:tcPr>
            <w:tcW w:w="2295" w:type="dxa"/>
            <w:tcBorders>
              <w:left w:val="single" w:color="auto" w:sz="4" w:space="0"/>
            </w:tcBorders>
            <w:vAlign w:val="center"/>
          </w:tcPr>
          <w:p w14:paraId="1E76133D">
            <w:pPr>
              <w:numPr>
                <w:ilvl w:val="0"/>
                <w:numId w:val="0"/>
              </w:numPr>
              <w:spacing w:line="360" w:lineRule="auto"/>
              <w:ind w:left="0" w:leftChars="0" w:firstLine="0" w:firstLineChars="0"/>
              <w:jc w:val="center"/>
              <w:rPr>
                <w:rFonts w:hint="eastAsia"/>
                <w:b/>
                <w:bCs/>
                <w:color w:val="auto"/>
                <w:spacing w:val="0"/>
                <w:w w:val="90"/>
                <w:position w:val="0"/>
                <w:sz w:val="24"/>
                <w:szCs w:val="24"/>
                <w:vertAlign w:val="baseline"/>
                <w:lang w:eastAsia="zh-CN"/>
              </w:rPr>
            </w:pPr>
            <w:r>
              <w:rPr>
                <w:rFonts w:hint="eastAsia"/>
                <w:b/>
                <w:bCs/>
                <w:sz w:val="22"/>
                <w:szCs w:val="22"/>
                <w:vertAlign w:val="baseline"/>
                <w:lang w:eastAsia="zh-CN"/>
              </w:rPr>
              <w:t>型</w:t>
            </w:r>
            <w:r>
              <w:rPr>
                <w:rFonts w:hint="eastAsia"/>
                <w:b/>
                <w:bCs/>
                <w:sz w:val="22"/>
                <w:szCs w:val="22"/>
                <w:vertAlign w:val="baseline"/>
                <w:lang w:val="en-US" w:eastAsia="zh-CN"/>
              </w:rPr>
              <w:t xml:space="preserve">  </w:t>
            </w:r>
            <w:r>
              <w:rPr>
                <w:rFonts w:hint="eastAsia"/>
                <w:b/>
                <w:bCs/>
                <w:sz w:val="22"/>
                <w:szCs w:val="22"/>
                <w:vertAlign w:val="baseline"/>
                <w:lang w:eastAsia="zh-CN"/>
              </w:rPr>
              <w:t>号</w:t>
            </w:r>
          </w:p>
        </w:tc>
        <w:tc>
          <w:tcPr>
            <w:tcW w:w="4184" w:type="dxa"/>
            <w:tcBorders>
              <w:right w:val="single" w:color="auto" w:sz="4" w:space="0"/>
            </w:tcBorders>
            <w:vAlign w:val="center"/>
          </w:tcPr>
          <w:p w14:paraId="4FC83A44">
            <w:pPr>
              <w:numPr>
                <w:ilvl w:val="0"/>
                <w:numId w:val="0"/>
              </w:numPr>
              <w:spacing w:line="360" w:lineRule="auto"/>
              <w:ind w:left="0" w:leftChars="0" w:firstLine="0" w:firstLineChars="0"/>
              <w:jc w:val="center"/>
              <w:rPr>
                <w:rFonts w:hint="default"/>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定制</w:t>
            </w:r>
          </w:p>
        </w:tc>
      </w:tr>
      <w:tr w14:paraId="2DDA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943" w:type="dxa"/>
            <w:vMerge w:val="continue"/>
            <w:tcBorders>
              <w:right w:val="single" w:color="auto" w:sz="4" w:space="0"/>
            </w:tcBorders>
          </w:tcPr>
          <w:p w14:paraId="7A7ADF85">
            <w:pPr>
              <w:rPr>
                <w:color w:val="auto"/>
                <w:spacing w:val="0"/>
                <w:w w:val="90"/>
                <w:position w:val="0"/>
                <w:vertAlign w:val="baseline"/>
              </w:rPr>
            </w:pPr>
          </w:p>
        </w:tc>
        <w:tc>
          <w:tcPr>
            <w:tcW w:w="2295" w:type="dxa"/>
            <w:tcBorders>
              <w:left w:val="single" w:color="auto" w:sz="4" w:space="0"/>
            </w:tcBorders>
            <w:vAlign w:val="center"/>
          </w:tcPr>
          <w:p w14:paraId="0AC6B9A1">
            <w:pPr>
              <w:numPr>
                <w:ilvl w:val="0"/>
                <w:numId w:val="0"/>
              </w:numPr>
              <w:spacing w:line="360" w:lineRule="auto"/>
              <w:ind w:left="0" w:leftChars="0" w:firstLine="0" w:firstLineChars="0"/>
              <w:jc w:val="center"/>
              <w:rPr>
                <w:rFonts w:hint="default"/>
                <w:b/>
                <w:bCs/>
                <w:color w:val="auto"/>
                <w:spacing w:val="0"/>
                <w:w w:val="90"/>
                <w:position w:val="0"/>
                <w:sz w:val="24"/>
                <w:szCs w:val="24"/>
                <w:vertAlign w:val="baseline"/>
                <w:lang w:val="en-US" w:eastAsia="zh-CN"/>
              </w:rPr>
            </w:pPr>
            <w:r>
              <w:rPr>
                <w:rFonts w:hint="eastAsia"/>
                <w:b/>
                <w:bCs/>
                <w:sz w:val="22"/>
                <w:szCs w:val="22"/>
                <w:vertAlign w:val="baseline"/>
                <w:lang w:val="en-US" w:eastAsia="zh-CN"/>
              </w:rPr>
              <w:t>单价</w:t>
            </w:r>
          </w:p>
        </w:tc>
        <w:tc>
          <w:tcPr>
            <w:tcW w:w="4184" w:type="dxa"/>
            <w:tcBorders>
              <w:right w:val="single" w:color="auto" w:sz="4" w:space="0"/>
            </w:tcBorders>
            <w:vAlign w:val="center"/>
          </w:tcPr>
          <w:p w14:paraId="1680E65F">
            <w:pPr>
              <w:numPr>
                <w:ilvl w:val="0"/>
                <w:numId w:val="0"/>
              </w:numPr>
              <w:spacing w:line="360" w:lineRule="auto"/>
              <w:ind w:left="0" w:leftChars="0" w:firstLine="0" w:firstLineChars="0"/>
              <w:jc w:val="center"/>
              <w:rPr>
                <w:rFonts w:hint="default"/>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 xml:space="preserve">2600元/立方 </w:t>
            </w:r>
          </w:p>
        </w:tc>
      </w:tr>
      <w:tr w14:paraId="6979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943" w:type="dxa"/>
            <w:tcBorders>
              <w:right w:val="single" w:color="auto" w:sz="4" w:space="0"/>
            </w:tcBorders>
          </w:tcPr>
          <w:p w14:paraId="3EB22377">
            <w:pPr>
              <w:rPr>
                <w:rFonts w:hint="default" w:eastAsia="宋体"/>
                <w:color w:val="auto"/>
                <w:spacing w:val="0"/>
                <w:w w:val="90"/>
                <w:position w:val="0"/>
                <w:vertAlign w:val="baseline"/>
                <w:lang w:val="en-US" w:eastAsia="zh-CN"/>
              </w:rPr>
            </w:pPr>
            <w:bookmarkStart w:id="0" w:name="_GoBack"/>
            <w:bookmarkEnd w:id="0"/>
          </w:p>
        </w:tc>
        <w:tc>
          <w:tcPr>
            <w:tcW w:w="2295" w:type="dxa"/>
            <w:tcBorders>
              <w:left w:val="single" w:color="auto" w:sz="4" w:space="0"/>
            </w:tcBorders>
            <w:vAlign w:val="center"/>
          </w:tcPr>
          <w:p w14:paraId="7F4B84CC">
            <w:pPr>
              <w:numPr>
                <w:ilvl w:val="0"/>
                <w:numId w:val="0"/>
              </w:numPr>
              <w:spacing w:line="360" w:lineRule="auto"/>
              <w:ind w:left="0" w:leftChars="0" w:firstLine="0" w:firstLineChars="0"/>
              <w:jc w:val="center"/>
              <w:rPr>
                <w:rFonts w:hint="default"/>
                <w:b/>
                <w:bCs/>
                <w:sz w:val="22"/>
                <w:szCs w:val="22"/>
                <w:vertAlign w:val="baseline"/>
                <w:lang w:val="en-US" w:eastAsia="zh-CN"/>
              </w:rPr>
            </w:pPr>
          </w:p>
        </w:tc>
        <w:tc>
          <w:tcPr>
            <w:tcW w:w="4184" w:type="dxa"/>
            <w:tcBorders>
              <w:right w:val="single" w:color="auto" w:sz="4" w:space="0"/>
            </w:tcBorders>
            <w:vAlign w:val="center"/>
          </w:tcPr>
          <w:p w14:paraId="3471A82D">
            <w:pPr>
              <w:numPr>
                <w:ilvl w:val="0"/>
                <w:numId w:val="0"/>
              </w:numPr>
              <w:spacing w:line="360" w:lineRule="auto"/>
              <w:ind w:left="0" w:leftChars="0" w:firstLine="0" w:firstLineChars="0"/>
              <w:jc w:val="center"/>
              <w:rPr>
                <w:rFonts w:hint="default"/>
                <w:color w:val="auto"/>
                <w:spacing w:val="0"/>
                <w:w w:val="90"/>
                <w:position w:val="0"/>
                <w:sz w:val="24"/>
                <w:szCs w:val="24"/>
                <w:vertAlign w:val="baseline"/>
                <w:lang w:val="en-US" w:eastAsia="zh-CN"/>
              </w:rPr>
            </w:pPr>
          </w:p>
        </w:tc>
      </w:tr>
      <w:tr w14:paraId="121A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43" w:type="dxa"/>
            <w:tcBorders>
              <w:right w:val="single" w:color="auto" w:sz="4" w:space="0"/>
            </w:tcBorders>
          </w:tcPr>
          <w:p w14:paraId="6D3B87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spacing w:val="0"/>
                <w:w w:val="90"/>
                <w:position w:val="0"/>
                <w:sz w:val="24"/>
                <w:szCs w:val="24"/>
                <w:lang w:val="en-US" w:eastAsia="zh-CN"/>
              </w:rPr>
            </w:pPr>
            <w:r>
              <w:rPr>
                <w:rFonts w:hint="eastAsia"/>
                <w:b/>
                <w:bCs/>
                <w:color w:val="auto"/>
                <w:spacing w:val="0"/>
                <w:w w:val="90"/>
                <w:position w:val="0"/>
                <w:sz w:val="24"/>
                <w:szCs w:val="24"/>
                <w:lang w:val="en-US" w:eastAsia="zh-CN"/>
              </w:rPr>
              <w:t xml:space="preserve">产品功能 </w:t>
            </w:r>
            <w:r>
              <w:rPr>
                <w:rFonts w:hint="eastAsia"/>
                <w:color w:val="auto"/>
                <w:spacing w:val="0"/>
                <w:w w:val="90"/>
                <w:position w:val="0"/>
                <w:sz w:val="24"/>
                <w:szCs w:val="24"/>
                <w:lang w:val="en-US" w:eastAsia="zh-CN"/>
              </w:rPr>
              <w:t xml:space="preserve">  消毒库大容量设计能够消毒大件不锈桶、盆等餐具；主要功能：主要利用高温热风杀灭微生物。系统通过电热循环一体机产生高温热风，并通过物质循环风机将热风均匀地吹向库内物品表面。在高温的作用下，微生物的蛋白质结构会发生变化失去活性，从面达到杀菌效果，同时，高温热风还可以快速干燥表面的水分，防止微生物滋生。     </w:t>
            </w:r>
          </w:p>
          <w:p w14:paraId="0609EF47">
            <w:pPr>
              <w:rPr>
                <w:color w:val="auto"/>
                <w:spacing w:val="0"/>
                <w:w w:val="90"/>
                <w:position w:val="0"/>
                <w:sz w:val="24"/>
                <w:szCs w:val="24"/>
                <w:vertAlign w:val="baseline"/>
              </w:rPr>
            </w:pPr>
          </w:p>
        </w:tc>
        <w:tc>
          <w:tcPr>
            <w:tcW w:w="6479" w:type="dxa"/>
            <w:gridSpan w:val="2"/>
            <w:tcBorders>
              <w:left w:val="single" w:color="auto" w:sz="4" w:space="0"/>
              <w:right w:val="single" w:color="auto" w:sz="4" w:space="0"/>
            </w:tcBorders>
            <w:vAlign w:val="top"/>
          </w:tcPr>
          <w:p w14:paraId="409C76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spacing w:val="0"/>
                <w:w w:val="90"/>
                <w:position w:val="0"/>
                <w:sz w:val="24"/>
                <w:szCs w:val="24"/>
                <w:lang w:val="en-US" w:eastAsia="zh-CN"/>
              </w:rPr>
            </w:pPr>
            <w:r>
              <w:rPr>
                <w:rFonts w:hint="eastAsia"/>
                <w:b/>
                <w:bCs/>
                <w:color w:val="auto"/>
                <w:spacing w:val="0"/>
                <w:w w:val="90"/>
                <w:position w:val="0"/>
                <w:sz w:val="24"/>
                <w:szCs w:val="24"/>
                <w:lang w:val="en-US" w:eastAsia="zh-CN"/>
              </w:rPr>
              <w:t xml:space="preserve">适用场地 </w:t>
            </w:r>
            <w:r>
              <w:rPr>
                <w:rFonts w:hint="eastAsia"/>
                <w:color w:val="auto"/>
                <w:spacing w:val="0"/>
                <w:w w:val="90"/>
                <w:position w:val="0"/>
                <w:sz w:val="24"/>
                <w:szCs w:val="24"/>
                <w:lang w:val="en-US" w:eastAsia="zh-CN"/>
              </w:rPr>
              <w:t xml:space="preserve">       </w:t>
            </w:r>
          </w:p>
          <w:p w14:paraId="5FDB7A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olor w:val="auto"/>
                <w:spacing w:val="0"/>
                <w:w w:val="90"/>
                <w:position w:val="0"/>
                <w:sz w:val="24"/>
                <w:szCs w:val="24"/>
                <w:vertAlign w:val="baseline"/>
                <w:lang w:eastAsia="zh-CN"/>
              </w:rPr>
            </w:pPr>
            <w:r>
              <w:rPr>
                <w:rFonts w:hint="eastAsia"/>
                <w:color w:val="auto"/>
                <w:spacing w:val="0"/>
                <w:w w:val="90"/>
                <w:position w:val="0"/>
                <w:sz w:val="24"/>
                <w:szCs w:val="24"/>
                <w:lang w:val="en-US" w:eastAsia="zh-CN"/>
              </w:rPr>
              <w:t>适用于宾馆酒店、中小型餐厅、医院、员工食堂、学校食堂、和其他餐饮场所。</w:t>
            </w:r>
          </w:p>
        </w:tc>
      </w:tr>
      <w:tr w14:paraId="1343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0422" w:type="dxa"/>
            <w:gridSpan w:val="3"/>
            <w:tcBorders>
              <w:right w:val="single" w:color="auto" w:sz="4" w:space="0"/>
            </w:tcBorders>
          </w:tcPr>
          <w:p w14:paraId="04A312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b/>
                <w:bCs/>
                <w:sz w:val="24"/>
                <w:lang w:eastAsia="zh-CN"/>
              </w:rPr>
            </w:pPr>
            <w:r>
              <w:rPr>
                <w:rFonts w:hint="eastAsia"/>
                <w:b/>
                <w:bCs/>
                <w:sz w:val="24"/>
                <w:lang w:eastAsia="zh-CN"/>
              </w:rPr>
              <w:t>整机描述</w:t>
            </w:r>
          </w:p>
          <w:p w14:paraId="2946CBB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1、说明:库体部分：双面 304不锈钢100 保温手工板搭建而成，顶\四周围板厚度1.0mm，低板304/2.0mm花纹板厚耐高温型，六面密封，保温棉容重不低于 120k，进口高温胶复合，重型压床压制而成。防火等级 A 级。</w:t>
            </w:r>
          </w:p>
          <w:p w14:paraId="48A816B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2）工作一共为三个阶段： 烘干阶段、消毒阶段、保管阶段。</w:t>
            </w:r>
          </w:p>
          <w:p w14:paraId="4E5C28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 xml:space="preserve">3）预约功能： 设定启动时间。 </w:t>
            </w:r>
          </w:p>
          <w:p w14:paraId="3F9F752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default"/>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 xml:space="preserve">4）设备运行的温度、时间、湿度等参数，系统可以自动存储，方便导入电脑，作为 HACCP 溯源管理系统。                                                                        5、报警：超温报警，电机故障报警等，报警时同时切断电源，机械式超温双重保护。热源及功率--电源AC 380V/1KW/立方                                                                                       </w:t>
            </w:r>
            <w:r>
              <w:rPr>
                <w:rFonts w:hint="eastAsia"/>
                <w:b/>
                <w:bCs/>
                <w:color w:val="auto"/>
                <w:spacing w:val="0"/>
                <w:w w:val="90"/>
                <w:position w:val="0"/>
                <w:sz w:val="24"/>
                <w:szCs w:val="24"/>
                <w:vertAlign w:val="baseline"/>
                <w:lang w:val="en-US" w:eastAsia="zh-CN"/>
              </w:rPr>
              <w:t>资质：</w:t>
            </w:r>
          </w:p>
          <w:p w14:paraId="073C3CA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1.具有消毒产品生产企业卫生许可证                                                              2.产品标准技术要求符具有CQC食品接触安全认证证书及食品接触卫生认证证书。</w:t>
            </w:r>
          </w:p>
          <w:p w14:paraId="38B043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3.消毒后内部放置的快餐盘、保温桶、汤碗、汤桶、大盆符合GB 14934-2016《食品安全国家标准消毒餐(饮)具》的要求。提供检测报告</w:t>
            </w:r>
          </w:p>
          <w:p w14:paraId="4B7A24C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 xml:space="preserve">4.符合国家二星级高温消毒标准，通过《食具消毒柜安全和生要求》GB17988-2008二星级消毒标准目消毒库每层各试点对玻片载体上的脊髓灰质炎病毒I型疫苗株的灭活对数值均&gt;4.消毒库每层各测试点对玻片载体上的大肠杆菌的杀灭对数值均&gt;3.00。提供检测报告                                           </w:t>
            </w:r>
          </w:p>
          <w:p w14:paraId="5B4922F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5.拥有有毒有害物质限量认证证书，符合GB18584-2001.GB 28481-2012 标准要求。提供检测报告                                                                                       6.所用板材均采用食品级材质，无重金属污染，符合食品卫生使用安全。提供检测报告</w:t>
            </w:r>
          </w:p>
          <w:p w14:paraId="5D13255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eastAsia"/>
                <w:color w:val="auto"/>
                <w:spacing w:val="0"/>
                <w:w w:val="90"/>
                <w:position w:val="0"/>
                <w:sz w:val="24"/>
                <w:szCs w:val="24"/>
                <w:vertAlign w:val="baseline"/>
                <w:lang w:val="en-US" w:eastAsia="zh-CN"/>
              </w:rPr>
            </w:pPr>
            <w:r>
              <w:rPr>
                <w:rFonts w:hint="eastAsia"/>
                <w:color w:val="auto"/>
                <w:spacing w:val="0"/>
                <w:w w:val="90"/>
                <w:position w:val="0"/>
                <w:sz w:val="24"/>
                <w:szCs w:val="24"/>
                <w:vertAlign w:val="baseline"/>
                <w:lang w:val="en-US" w:eastAsia="zh-CN"/>
              </w:rPr>
              <w:t>7.抗菌标准依据 GB/T11170-2008、YB/T4171~2020含Cu元素，对大肠杆菌、沙门氏菌抗菌率&gt;99%，防止长时间清理卫生不及时，产生菌落滋生细菌。提供检测报告                                                                                                                                                  9.依据 GB/T10125-2021,GB/T6461-2002 保护评级 Rp，经 24h 中性盐雾试验后，保护评级 Rp不低于 10。提供检测报告</w:t>
            </w:r>
          </w:p>
          <w:p w14:paraId="1A05478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default"/>
                <w:color w:val="auto"/>
                <w:spacing w:val="0"/>
                <w:w w:val="90"/>
                <w:position w:val="0"/>
                <w:sz w:val="24"/>
                <w:szCs w:val="24"/>
                <w:vertAlign w:val="baseline"/>
                <w:lang w:val="en-US" w:eastAsia="zh-CN"/>
              </w:rPr>
            </w:pPr>
          </w:p>
          <w:p w14:paraId="4CC6939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default" w:asciiTheme="minorEastAsia" w:hAnsiTheme="minorEastAsia" w:eastAsiaTheme="minorEastAsia" w:cstheme="minorEastAsia"/>
                <w:color w:val="auto"/>
                <w:spacing w:val="0"/>
                <w:w w:val="90"/>
                <w:position w:val="0"/>
                <w:sz w:val="24"/>
                <w:szCs w:val="24"/>
                <w:lang w:val="en-US" w:eastAsia="zh-CN"/>
              </w:rPr>
            </w:pPr>
          </w:p>
          <w:p w14:paraId="0545DB9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9"/>
              <w:rPr>
                <w:rFonts w:hint="default" w:asciiTheme="minorEastAsia" w:hAnsiTheme="minorEastAsia" w:eastAsiaTheme="minorEastAsia" w:cstheme="minorEastAsia"/>
                <w:color w:val="auto"/>
                <w:spacing w:val="0"/>
                <w:w w:val="90"/>
                <w:position w:val="0"/>
                <w:sz w:val="24"/>
                <w:szCs w:val="24"/>
                <w:lang w:val="en-US" w:eastAsia="zh-CN"/>
              </w:rPr>
            </w:pPr>
          </w:p>
        </w:tc>
      </w:tr>
    </w:tbl>
    <w:p w14:paraId="5ABA4393">
      <w:pPr>
        <w:tabs>
          <w:tab w:val="left" w:pos="1443"/>
        </w:tabs>
        <w:bidi w:val="0"/>
        <w:jc w:val="left"/>
        <w:rPr>
          <w:rFonts w:hint="eastAsia"/>
          <w:lang w:val="en-US" w:eastAsia="zh-CN"/>
        </w:rPr>
      </w:pPr>
      <w:r>
        <w:rPr>
          <w:rFonts w:hint="eastAsia"/>
          <w:lang w:val="en-US" w:eastAsia="zh-CN"/>
        </w:rPr>
        <w:tab/>
      </w:r>
    </w:p>
    <w:sectPr>
      <w:headerReference r:id="rId3" w:type="default"/>
      <w:footerReference r:id="rId4" w:type="default"/>
      <w:pgSz w:w="11906" w:h="16838"/>
      <w:pgMar w:top="567" w:right="850" w:bottom="567" w:left="85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E841F">
    <w:pPr>
      <w:pStyle w:val="2"/>
      <w:rPr>
        <w:rFonts w:hint="eastAsia" w:ascii="宋体" w:hAnsi="宋体" w:eastAsia="宋体" w:cs="宋体"/>
        <w:b w:val="0"/>
        <w:bCs w:val="0"/>
        <w:sz w:val="20"/>
        <w:szCs w:val="20"/>
        <w:shd w:val="clear" w:color="auto" w:fill="auto"/>
        <w:lang w:val="en-US" w:eastAsia="zh-CN"/>
      </w:rPr>
    </w:pPr>
    <w:r>
      <w:rPr>
        <w:rFonts w:hint="eastAsia" w:ascii="宋体" w:hAnsi="宋体" w:eastAsia="宋体" w:cs="宋体"/>
        <w:b w:val="0"/>
        <w:bCs w:val="0"/>
        <w:sz w:val="20"/>
        <w:szCs w:val="20"/>
        <w:shd w:val="clear" w:color="auto" w:fill="auto"/>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E773">
    <w:pPr>
      <w:pStyle w:val="3"/>
      <w:jc w:val="center"/>
      <w:rPr>
        <w:rFonts w:hint="default" w:ascii="华文行楷" w:hAnsi="华文行楷" w:eastAsia="华文行楷" w:cs="华文行楷"/>
        <w:sz w:val="32"/>
        <w:szCs w:val="32"/>
        <w:lang w:val="en-US" w:eastAsia="zh-CN"/>
      </w:rPr>
    </w:pPr>
    <w:r>
      <w:rPr>
        <w:rFonts w:hint="eastAsia" w:ascii="华文行楷" w:hAnsi="华文行楷" w:eastAsia="华文行楷" w:cs="华文行楷"/>
        <w:sz w:val="48"/>
        <w:szCs w:val="48"/>
        <w:lang w:val="en-US" w:eastAsia="zh-CN"/>
      </w:rPr>
      <w:t>消毒房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NWZiM2VhZWE2MGI3MzBiYzJmZTYxMDA4MmExZGIifQ=="/>
  </w:docVars>
  <w:rsids>
    <w:rsidRoot w:val="00000000"/>
    <w:rsid w:val="09A96356"/>
    <w:rsid w:val="0B624552"/>
    <w:rsid w:val="0F3175DD"/>
    <w:rsid w:val="143F1874"/>
    <w:rsid w:val="244A67C2"/>
    <w:rsid w:val="250E54CB"/>
    <w:rsid w:val="26B15B2A"/>
    <w:rsid w:val="2B097FF7"/>
    <w:rsid w:val="2B483CE8"/>
    <w:rsid w:val="2C8C4BA7"/>
    <w:rsid w:val="2D7E579F"/>
    <w:rsid w:val="2EF70AB4"/>
    <w:rsid w:val="31FC4036"/>
    <w:rsid w:val="34653197"/>
    <w:rsid w:val="34F52B83"/>
    <w:rsid w:val="3A810141"/>
    <w:rsid w:val="48B3696C"/>
    <w:rsid w:val="4D313690"/>
    <w:rsid w:val="53BF24EA"/>
    <w:rsid w:val="55444689"/>
    <w:rsid w:val="5A44750F"/>
    <w:rsid w:val="5A85388B"/>
    <w:rsid w:val="5E363F9B"/>
    <w:rsid w:val="5EA229CB"/>
    <w:rsid w:val="61A615B4"/>
    <w:rsid w:val="66433C5A"/>
    <w:rsid w:val="68904707"/>
    <w:rsid w:val="68C83B85"/>
    <w:rsid w:val="6A9176F5"/>
    <w:rsid w:val="6C560C96"/>
    <w:rsid w:val="6F1959C7"/>
    <w:rsid w:val="6F2F7682"/>
    <w:rsid w:val="721227C4"/>
    <w:rsid w:val="73E42ED9"/>
    <w:rsid w:val="7DBB21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1006</Characters>
  <Lines>0</Lines>
  <Paragraphs>0</Paragraphs>
  <TotalTime>12</TotalTime>
  <ScaleCrop>false</ScaleCrop>
  <LinksUpToDate>false</LinksUpToDate>
  <CharactersWithSpaces>1550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2015-11-26T00:18:00Z</dcterms:created>
  <dc:creator>王冰</dc:creator>
  <cp:lastModifiedBy>思无邪</cp:lastModifiedBy>
  <cp:lastPrinted>2015-11-26T04:51:00Z</cp:lastPrinted>
  <dcterms:modified xsi:type="dcterms:W3CDTF">2025-07-17T04:04:26Z</dcterms:modified>
  <dc:title>篮传式洗碗机系列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94E6A1631E3E4EE0A0EC3E3001454E64_13</vt:lpwstr>
  </property>
  <property fmtid="{D5CDD505-2E9C-101B-9397-08002B2CF9AE}" pid="4" name="KSOTemplateDocerSaveRecord">
    <vt:lpwstr>eyJoZGlkIjoiMWFjZDQ2NGY0YzljNDZhYTU3MmUxNzY1NTBiNDU1YjYiLCJ1c2VySWQiOiIzOTAyMzIwMDQifQ==</vt:lpwstr>
  </property>
</Properties>
</file>