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24733">
      <w:pPr>
        <w:spacing w:line="360" w:lineRule="auto"/>
        <w:jc w:val="center"/>
        <w:rPr>
          <w:rFonts w:hint="eastAsia" w:ascii="宋体" w:hAnsi="宋体" w:eastAsia="宋体" w:cs="宋体"/>
          <w:b/>
          <w:bCs/>
          <w:sz w:val="36"/>
          <w:szCs w:val="44"/>
          <w:lang w:val="en-US" w:eastAsia="zh-CN"/>
        </w:rPr>
      </w:pPr>
      <w:r>
        <w:rPr>
          <w:rFonts w:hint="eastAsia" w:ascii="宋体" w:hAnsi="宋体" w:cs="宋体"/>
          <w:b/>
          <w:bCs/>
          <w:sz w:val="36"/>
          <w:szCs w:val="44"/>
          <w:lang w:val="en-US" w:eastAsia="zh-CN"/>
        </w:rPr>
        <w:t>浙江工商大学</w:t>
      </w:r>
      <w:r>
        <w:rPr>
          <w:rFonts w:hint="eastAsia" w:ascii="宋体" w:hAnsi="宋体" w:cs="宋体"/>
          <w:b/>
          <w:bCs/>
          <w:sz w:val="36"/>
          <w:szCs w:val="44"/>
        </w:rPr>
        <w:t>杭州商学院客梯维保服务采购</w:t>
      </w:r>
      <w:r>
        <w:rPr>
          <w:rFonts w:hint="eastAsia" w:ascii="宋体" w:hAnsi="宋体" w:cs="宋体"/>
          <w:b/>
          <w:bCs/>
          <w:sz w:val="36"/>
          <w:szCs w:val="44"/>
          <w:lang w:val="en-US" w:eastAsia="zh-CN"/>
        </w:rPr>
        <w:t>项目</w:t>
      </w:r>
    </w:p>
    <w:p w14:paraId="66874184">
      <w:pPr>
        <w:spacing w:line="440" w:lineRule="exact"/>
        <w:rPr>
          <w:rFonts w:ascii="仿宋" w:hAnsi="仿宋" w:eastAsia="仿宋" w:cs="仿宋"/>
          <w:sz w:val="28"/>
          <w:szCs w:val="28"/>
        </w:rPr>
      </w:pPr>
      <w:r>
        <w:rPr>
          <w:rFonts w:hint="eastAsia" w:ascii="仿宋" w:hAnsi="仿宋" w:eastAsia="仿宋" w:cs="仿宋"/>
          <w:b/>
          <w:bCs/>
          <w:sz w:val="28"/>
          <w:szCs w:val="28"/>
        </w:rPr>
        <w:t>一、采购内容</w:t>
      </w:r>
      <w:r>
        <w:rPr>
          <w:rFonts w:hint="eastAsia" w:ascii="仿宋" w:hAnsi="仿宋" w:eastAsia="仿宋" w:cs="仿宋"/>
          <w:sz w:val="28"/>
          <w:szCs w:val="28"/>
        </w:rPr>
        <w:t>：客梯维保服务</w:t>
      </w:r>
    </w:p>
    <w:p w14:paraId="44193F25">
      <w:pPr>
        <w:spacing w:line="440" w:lineRule="exact"/>
        <w:rPr>
          <w:rFonts w:ascii="仿宋" w:hAnsi="仿宋" w:eastAsia="仿宋" w:cs="仿宋"/>
          <w:sz w:val="28"/>
          <w:szCs w:val="28"/>
          <w:highlight w:val="none"/>
        </w:rPr>
      </w:pPr>
      <w:r>
        <w:rPr>
          <w:rFonts w:hint="eastAsia" w:ascii="仿宋" w:hAnsi="仿宋" w:eastAsia="仿宋" w:cs="仿宋"/>
          <w:b/>
          <w:bCs/>
          <w:sz w:val="28"/>
          <w:szCs w:val="28"/>
        </w:rPr>
        <w:t>二、采购数量与金额</w:t>
      </w:r>
      <w:r>
        <w:rPr>
          <w:rFonts w:hint="eastAsia" w:ascii="仿宋" w:hAnsi="仿宋" w:eastAsia="仿宋" w:cs="仿宋"/>
          <w:b/>
          <w:bCs/>
          <w:sz w:val="28"/>
          <w:szCs w:val="28"/>
          <w:highlight w:val="none"/>
        </w:rPr>
        <w:t>：</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台，总价</w:t>
      </w:r>
      <w:r>
        <w:rPr>
          <w:rFonts w:hint="eastAsia" w:ascii="仿宋" w:hAnsi="仿宋" w:eastAsia="仿宋" w:cs="仿宋"/>
          <w:sz w:val="28"/>
          <w:szCs w:val="28"/>
          <w:highlight w:val="none"/>
          <w:lang w:val="en-US" w:eastAsia="zh-CN"/>
        </w:rPr>
        <w:t>13.4</w:t>
      </w:r>
      <w:r>
        <w:rPr>
          <w:rFonts w:hint="eastAsia" w:ascii="仿宋" w:hAnsi="仿宋" w:eastAsia="仿宋" w:cs="仿宋"/>
          <w:sz w:val="28"/>
          <w:szCs w:val="28"/>
          <w:highlight w:val="none"/>
        </w:rPr>
        <w:t>万</w:t>
      </w:r>
    </w:p>
    <w:p w14:paraId="16DF92E5">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三、设备规格相关信息详见附件设备清单</w:t>
      </w:r>
    </w:p>
    <w:p w14:paraId="1A2052E4">
      <w:pPr>
        <w:spacing w:line="440" w:lineRule="exact"/>
        <w:rPr>
          <w:rFonts w:ascii="仿宋" w:hAnsi="仿宋" w:eastAsia="仿宋" w:cs="仿宋"/>
          <w:sz w:val="28"/>
          <w:szCs w:val="28"/>
          <w:highlight w:val="none"/>
        </w:rPr>
      </w:pPr>
      <w:r>
        <w:rPr>
          <w:rFonts w:hint="eastAsia" w:ascii="仿宋" w:hAnsi="仿宋" w:eastAsia="仿宋" w:cs="仿宋"/>
          <w:b/>
          <w:bCs/>
          <w:sz w:val="28"/>
          <w:szCs w:val="28"/>
          <w:highlight w:val="none"/>
        </w:rPr>
        <w:t>四、服务期限：</w:t>
      </w:r>
      <w:r>
        <w:rPr>
          <w:rFonts w:hint="eastAsia" w:ascii="仿宋" w:hAnsi="仿宋" w:eastAsia="仿宋" w:cs="仿宋"/>
          <w:b w:val="0"/>
          <w:bCs w:val="0"/>
          <w:sz w:val="28"/>
          <w:szCs w:val="28"/>
          <w:highlight w:val="none"/>
          <w:lang w:val="en-US" w:eastAsia="zh-CN"/>
        </w:rPr>
        <w:t>2</w:t>
      </w:r>
      <w:r>
        <w:rPr>
          <w:rFonts w:hint="eastAsia" w:ascii="仿宋" w:hAnsi="仿宋" w:eastAsia="仿宋" w:cs="仿宋"/>
          <w:b w:val="0"/>
          <w:bCs w:val="0"/>
          <w:sz w:val="28"/>
          <w:szCs w:val="28"/>
          <w:highlight w:val="none"/>
        </w:rPr>
        <w:t>年</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年8月28日至202</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年8月27日）</w:t>
      </w:r>
    </w:p>
    <w:p w14:paraId="20E9287B">
      <w:pPr>
        <w:spacing w:line="440" w:lineRule="exact"/>
        <w:rPr>
          <w:rFonts w:ascii="仿宋" w:hAnsi="仿宋" w:eastAsia="仿宋" w:cs="仿宋"/>
          <w:sz w:val="28"/>
          <w:szCs w:val="28"/>
          <w:highlight w:val="none"/>
        </w:rPr>
      </w:pPr>
      <w:r>
        <w:rPr>
          <w:rFonts w:hint="eastAsia" w:ascii="仿宋" w:hAnsi="仿宋" w:eastAsia="仿宋" w:cs="仿宋"/>
          <w:b/>
          <w:bCs/>
          <w:sz w:val="28"/>
          <w:szCs w:val="28"/>
          <w:highlight w:val="none"/>
        </w:rPr>
        <w:t>五、供应商资质：</w:t>
      </w:r>
      <w:r>
        <w:rPr>
          <w:rFonts w:hint="eastAsia" w:ascii="仿宋" w:hAnsi="仿宋" w:eastAsia="仿宋" w:cs="仿宋"/>
          <w:sz w:val="28"/>
          <w:szCs w:val="28"/>
          <w:highlight w:val="none"/>
        </w:rPr>
        <w:t>拥有曳引与强制驱动电梯改造、修理乘客电梯B级以上的合格供应商或生产厂家。</w:t>
      </w:r>
    </w:p>
    <w:p w14:paraId="4A3BAEEF">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六、服务内容：</w:t>
      </w:r>
    </w:p>
    <w:p w14:paraId="767DC6EF">
      <w:pPr>
        <w:spacing w:line="440" w:lineRule="exact"/>
        <w:ind w:left="420" w:hanging="420" w:hangingChars="150"/>
        <w:jc w:val="left"/>
        <w:rPr>
          <w:rFonts w:ascii="仿宋" w:hAnsi="仿宋" w:eastAsia="仿宋" w:cs="仿宋"/>
          <w:sz w:val="28"/>
          <w:szCs w:val="28"/>
          <w:highlight w:val="none"/>
        </w:rPr>
      </w:pPr>
      <w:r>
        <w:rPr>
          <w:rFonts w:hint="eastAsia" w:ascii="仿宋" w:hAnsi="仿宋" w:eastAsia="仿宋" w:cs="仿宋"/>
          <w:sz w:val="28"/>
          <w:szCs w:val="28"/>
          <w:highlight w:val="none"/>
        </w:rPr>
        <w:t>1、电梯日常维护保养，不包含修理、二保、大修、改造及更换零件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单价200元及以内的配件除外）</w:t>
      </w:r>
      <w:r>
        <w:rPr>
          <w:rFonts w:hint="eastAsia" w:ascii="仿宋" w:hAnsi="仿宋" w:eastAsia="仿宋" w:cs="仿宋"/>
          <w:sz w:val="28"/>
          <w:szCs w:val="28"/>
          <w:highlight w:val="none"/>
        </w:rPr>
        <w:t>。</w:t>
      </w:r>
    </w:p>
    <w:p w14:paraId="204F5B1A">
      <w:pPr>
        <w:spacing w:line="440" w:lineRule="exact"/>
        <w:ind w:left="560" w:hanging="560" w:hangingChars="200"/>
        <w:jc w:val="left"/>
        <w:rPr>
          <w:rFonts w:ascii="仿宋" w:hAnsi="仿宋" w:eastAsia="仿宋" w:cs="仿宋"/>
          <w:sz w:val="28"/>
          <w:szCs w:val="28"/>
          <w:highlight w:val="none"/>
        </w:rPr>
      </w:pPr>
      <w:r>
        <w:rPr>
          <w:rFonts w:hint="eastAsia" w:ascii="仿宋" w:hAnsi="仿宋" w:eastAsia="仿宋" w:cs="仿宋"/>
          <w:sz w:val="28"/>
          <w:szCs w:val="28"/>
          <w:highlight w:val="none"/>
        </w:rPr>
        <w:t>2、按TSG T5002-2017&lt;&lt;电梯维护保养规则&gt;&gt;和GB/T18775-2009《电梯、自动扶梯和自动人行道维修规范》及省、市特种设备安全监察办法和DB33/728-2016《电梯维修保养安全管理规范》和其他地方法律法规规定的维护的内容和规范进行作业。进行每月（间隔不大于15天）二次的日常维护（清洁、润滑、调整、检查及更换易损件）；季度保养、半年度保养和年度保养，确保采购方电梯正常运行。</w:t>
      </w:r>
    </w:p>
    <w:p w14:paraId="26B4E8B9">
      <w:pPr>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3、定期检验合格期满前一个月，采购方向当地质检部门申报定期检验，</w:t>
      </w:r>
      <w:r>
        <w:rPr>
          <w:rFonts w:hint="eastAsia" w:ascii="仿宋" w:hAnsi="仿宋" w:eastAsia="仿宋" w:cs="仿宋"/>
          <w:sz w:val="28"/>
          <w:szCs w:val="28"/>
          <w:highlight w:val="none"/>
          <w:lang w:val="en-US" w:eastAsia="zh-CN"/>
        </w:rPr>
        <w:t>中标人</w:t>
      </w:r>
      <w:r>
        <w:rPr>
          <w:rFonts w:hint="eastAsia" w:ascii="仿宋" w:hAnsi="仿宋" w:eastAsia="仿宋" w:cs="仿宋"/>
          <w:sz w:val="28"/>
          <w:szCs w:val="28"/>
          <w:highlight w:val="none"/>
        </w:rPr>
        <w:t>做好检验所需的相关事宜</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协助采购方做好年检的监检,检验费用由采购方承担。</w:t>
      </w:r>
    </w:p>
    <w:p w14:paraId="63B13C2C">
      <w:pPr>
        <w:spacing w:line="440" w:lineRule="exact"/>
        <w:ind w:left="585" w:hanging="585" w:hangingChars="209"/>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提供的日常维护保养工作一般在非公休假日的正常工作时间内进行。采购方如需在规定的时间外提供服务，另行收费，但应急处理不受此限制。</w:t>
      </w:r>
    </w:p>
    <w:p w14:paraId="0872F1CA">
      <w:pPr>
        <w:spacing w:line="440" w:lineRule="exact"/>
        <w:ind w:left="585" w:hanging="585" w:hangingChars="209"/>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提供24小时紧急故障的应急处理，市区关人事故30分钟内到达现场，市郊60分钟内到达现场。</w:t>
      </w:r>
    </w:p>
    <w:p w14:paraId="3858E153">
      <w:pPr>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协助采购方编制应急救援预案和应急救援演练。</w:t>
      </w:r>
    </w:p>
    <w:p w14:paraId="22C26EAD">
      <w:pPr>
        <w:spacing w:line="44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单价在</w:t>
      </w:r>
      <w:r>
        <w:rPr>
          <w:rFonts w:hint="eastAsia" w:ascii="仿宋" w:hAnsi="仿宋" w:eastAsia="仿宋" w:cs="仿宋"/>
          <w:sz w:val="28"/>
          <w:szCs w:val="28"/>
          <w:highlight w:val="none"/>
          <w:lang w:val="en-US" w:eastAsia="zh-CN"/>
        </w:rPr>
        <w:t>200元（含）以内的电梯配件，由中标人无偿提供并更换。</w:t>
      </w:r>
    </w:p>
    <w:p w14:paraId="6E50BE90">
      <w:pPr>
        <w:spacing w:line="440" w:lineRule="exact"/>
        <w:jc w:val="left"/>
        <w:rPr>
          <w:rFonts w:hint="eastAsia" w:ascii="仿宋" w:hAnsi="仿宋" w:eastAsia="仿宋" w:cs="仿宋"/>
          <w:sz w:val="28"/>
          <w:szCs w:val="28"/>
          <w:highlight w:val="none"/>
          <w:lang w:val="en-US" w:eastAsia="zh-CN"/>
        </w:rPr>
      </w:pPr>
      <w:r>
        <w:rPr>
          <w:rFonts w:hint="eastAsia" w:ascii="仿宋" w:hAnsi="仿宋" w:eastAsia="仿宋" w:cs="仿宋"/>
          <w:b/>
          <w:bCs/>
          <w:sz w:val="28"/>
          <w:szCs w:val="28"/>
          <w:lang w:val="en-US" w:eastAsia="zh-CN"/>
        </w:rPr>
        <w:t>七、其他</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1、合同签订时，中标人缴纳总价的1%作为履约保证金，缴入采购人帐户，合同服务期满后，无质量及售后服务问题，无息退还。</w:t>
      </w:r>
    </w:p>
    <w:p w14:paraId="2643B337">
      <w:pPr>
        <w:spacing w:line="44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2、付款方式：本项目先服务后支付，2026年9月30日前支付第一年维保服务费用，第二年服务费于本项目合同期满后支付。</w:t>
      </w:r>
    </w:p>
    <w:p w14:paraId="28E11C69">
      <w:pPr>
        <w:spacing w:line="44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3、其他条款请查看合同。</w:t>
      </w:r>
    </w:p>
    <w:p w14:paraId="4E122B3C">
      <w:pPr>
        <w:spacing w:line="44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4、项目具体联络人：郑老师（15968196623）</w:t>
      </w:r>
    </w:p>
    <w:p w14:paraId="271BAF7B">
      <w:pPr>
        <w:spacing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采购联络人：黄老师（0571-69936023）。</w:t>
      </w:r>
    </w:p>
    <w:p w14:paraId="72D3AA91">
      <w:pPr>
        <w:sectPr>
          <w:pgSz w:w="11906" w:h="16838"/>
          <w:pgMar w:top="1440" w:right="1800" w:bottom="1440" w:left="1800" w:header="851" w:footer="992" w:gutter="0"/>
          <w:cols w:space="425" w:num="1"/>
          <w:docGrid w:type="lines" w:linePitch="312" w:charSpace="0"/>
        </w:sectPr>
      </w:pPr>
    </w:p>
    <w:tbl>
      <w:tblPr>
        <w:tblStyle w:val="11"/>
        <w:tblW w:w="139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457"/>
        <w:gridCol w:w="2016"/>
        <w:gridCol w:w="1176"/>
        <w:gridCol w:w="936"/>
        <w:gridCol w:w="457"/>
        <w:gridCol w:w="943"/>
        <w:gridCol w:w="1393"/>
        <w:gridCol w:w="1554"/>
        <w:gridCol w:w="1768"/>
        <w:gridCol w:w="2796"/>
      </w:tblGrid>
      <w:tr w14:paraId="3B1E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FD01">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3FB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类别</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A99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型号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E4C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层/站/门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61D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载重量</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0FB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5BF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设备地址</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280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生产厂家</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4DD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投入时间</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CEE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现维保到期日</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94C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注册代码</w:t>
            </w:r>
          </w:p>
        </w:tc>
      </w:tr>
      <w:tr w14:paraId="50203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33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5B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C0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MCA-1050-C0105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C8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11/11/11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D9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12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F6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7#宿舍楼A楼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85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日立电梯</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9D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2016.8.22</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0FFC">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DC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31103301222016055028</w:t>
            </w:r>
          </w:p>
        </w:tc>
      </w:tr>
      <w:tr w14:paraId="1BA4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62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B3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A9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MCA-1050-C0105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49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11/11/11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25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62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75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7#宿舍楼A楼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E9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日立电梯</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0B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2016.8.22</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09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89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31103301222016055027</w:t>
            </w:r>
          </w:p>
        </w:tc>
      </w:tr>
      <w:tr w14:paraId="5AF2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4B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9F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05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MCA-1050-C060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98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E5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AC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ED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人文楼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FC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日立电梯</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38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2016.8.22</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E6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B8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31103301222016055026</w:t>
            </w:r>
          </w:p>
        </w:tc>
      </w:tr>
      <w:tr w14:paraId="19E8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7C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9A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FE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MCA-1050-C060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B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EF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A5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E1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经法楼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43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日立电梯</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2B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2016.8.22</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FA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73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31103301222016055025</w:t>
            </w:r>
          </w:p>
        </w:tc>
      </w:tr>
      <w:tr w14:paraId="0F17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68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4E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AE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MCA-1050-C060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DC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55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38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95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综合楼2#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E5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日立电梯</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EC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2016.8.22</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FD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4A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31103301222016055024</w:t>
            </w:r>
          </w:p>
        </w:tc>
      </w:tr>
      <w:tr w14:paraId="4FC5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5E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28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BC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MCA-1050-C060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DD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85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95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EF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综合楼1#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A5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日立电梯</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08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2016.8.22</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B8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BE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31103301222016055023</w:t>
            </w:r>
          </w:p>
        </w:tc>
      </w:tr>
      <w:tr w14:paraId="4C90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67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5C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82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SY-VF330(无机房)</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D7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00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81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98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2#食堂后厨</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25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沈阳三洋</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97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2014.11.11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48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5E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313033012220140950001</w:t>
            </w:r>
          </w:p>
        </w:tc>
      </w:tr>
      <w:tr w14:paraId="6780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5F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80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F0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SY-VF320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63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8D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13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04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D5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沈阳三洋</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68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2014.11.18</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1A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5D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31103301222014095001</w:t>
            </w:r>
          </w:p>
        </w:tc>
      </w:tr>
      <w:tr w14:paraId="699A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20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BF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2C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SY-VF320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9E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1B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CB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91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外语楼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99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沈阳三洋</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D9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2014.11.11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07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BA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31103301222015045036</w:t>
            </w:r>
          </w:p>
        </w:tc>
      </w:tr>
      <w:tr w14:paraId="55F5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00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33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FF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SY-VF320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A7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66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B0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14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图书馆2#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E1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沈阳三洋</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08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2017.7.24</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3C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04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31103301222016095005</w:t>
            </w:r>
          </w:p>
        </w:tc>
      </w:tr>
      <w:tr w14:paraId="42F7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D8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8F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7D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SY-VF320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6C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9D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56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D9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图书馆1#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77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沈阳三洋</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B0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2017.7.24</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2D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46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31103301222016095006</w:t>
            </w:r>
          </w:p>
        </w:tc>
      </w:tr>
      <w:tr w14:paraId="1360D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9F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2E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7F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SY-VF320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CD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2D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B0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E9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图书馆3#</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0D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沈阳三洋</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86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2017.7.24</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46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BB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31103301222016095007</w:t>
            </w:r>
          </w:p>
        </w:tc>
      </w:tr>
      <w:tr w14:paraId="6B8B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AF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12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FF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HPVN1000/1.75CP</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FF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B7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BA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7B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4#宿舍楼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5E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杭州霍普曼</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F2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2018.1.4</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4D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79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31103301222017115014</w:t>
            </w:r>
          </w:p>
        </w:tc>
      </w:tr>
      <w:tr w14:paraId="46CC3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FF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8E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58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HPVN1000/1.75CP</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B1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5C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69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34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5#宿舍楼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23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杭州霍普曼</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EE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2018.1.4</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70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08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31103301222017115015</w:t>
            </w:r>
          </w:p>
        </w:tc>
      </w:tr>
      <w:tr w14:paraId="3FB49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F7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EB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CC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HPVN1000/1.75CP</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6E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FC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5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9A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6#宿舍楼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2B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杭州霍普曼</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0A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2018.1.4</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D2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BE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31103301222017115016</w:t>
            </w:r>
          </w:p>
        </w:tc>
      </w:tr>
      <w:tr w14:paraId="630E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F4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A2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4A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HPVN1000/1.75CP</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58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A4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E3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C0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7#宿舍楼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9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杭州霍普曼</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AB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2018.1.4</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1F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D8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31103301222017115017</w:t>
            </w:r>
          </w:p>
        </w:tc>
      </w:tr>
      <w:tr w14:paraId="07CBD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87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3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69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HPVN1000/1.75CP</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88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FA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2B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FC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1#宿舍楼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7F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杭州霍普曼</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E7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2018.9.10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77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39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31103301222018085009</w:t>
            </w:r>
          </w:p>
        </w:tc>
      </w:tr>
      <w:tr w14:paraId="59C1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CD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C9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66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HPVN1000/1.75CP</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63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A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50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A9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2#宿舍楼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56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杭州霍普曼</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48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2018.9.10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52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1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311033012220180850011</w:t>
            </w:r>
          </w:p>
        </w:tc>
      </w:tr>
      <w:tr w14:paraId="6C77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C6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99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5C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HPVN1000/1.75CP</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F6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B7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13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34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3#宿舍楼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B0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杭州霍普曼</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72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2018.9.10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76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2025.8.27</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4F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311033012220180850010</w:t>
            </w:r>
          </w:p>
        </w:tc>
      </w:tr>
      <w:tr w14:paraId="5894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3D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AB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FE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AEP600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C9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FA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CF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9E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新兰苑后厨</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5F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杭州奥立达</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D8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2020.4.1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7F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2026.3.31</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E7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3110Z0122201800032</w:t>
            </w:r>
          </w:p>
        </w:tc>
      </w:tr>
      <w:tr w14:paraId="4E53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6D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9B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4A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AEP600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15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0F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10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5B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新兰苑大厅</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13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杭州奥立达</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82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2020.4.1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9F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2026.3.31</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C4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3110Z0122201800043</w:t>
            </w:r>
          </w:p>
        </w:tc>
      </w:tr>
      <w:tr w14:paraId="065B8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3A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EC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客梯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FC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AEP600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81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87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1000kg</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C5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5F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新兰苑大厅</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C4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杭州奥立达</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67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2020.4.1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E4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2026.3.31</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6C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3110Z0122201800044</w:t>
            </w:r>
          </w:p>
        </w:tc>
      </w:tr>
    </w:tbl>
    <w:p w14:paraId="215C5764"/>
    <w:p w14:paraId="71408EDC">
      <w:pPr>
        <w:pStyle w:val="2"/>
      </w:pPr>
    </w:p>
    <w:p w14:paraId="6A8DE499">
      <w:pPr>
        <w:pStyle w:val="2"/>
      </w:pPr>
    </w:p>
    <w:p w14:paraId="2FE31AFD">
      <w:pPr>
        <w:pStyle w:val="2"/>
      </w:pPr>
    </w:p>
    <w:p w14:paraId="6E163A52">
      <w:pPr>
        <w:pStyle w:val="2"/>
      </w:pPr>
    </w:p>
    <w:p w14:paraId="40A5DAE1">
      <w:pPr>
        <w:pStyle w:val="2"/>
        <w:jc w:val="center"/>
        <w:rPr>
          <w:rFonts w:hint="eastAsia"/>
          <w:lang w:val="en-US" w:eastAsia="zh-CN"/>
        </w:rPr>
      </w:pPr>
      <w:r>
        <w:rPr>
          <w:rFonts w:hint="eastAsia"/>
          <w:lang w:val="en-US" w:eastAsia="zh-CN"/>
        </w:rPr>
        <w:t>报价表</w:t>
      </w:r>
    </w:p>
    <w:p w14:paraId="00C59458">
      <w:pPr>
        <w:pStyle w:val="2"/>
        <w:jc w:val="right"/>
        <w:rPr>
          <w:rFonts w:hint="default"/>
          <w:lang w:val="en-US" w:eastAsia="zh-CN"/>
        </w:rPr>
      </w:pPr>
      <w:r>
        <w:rPr>
          <w:rFonts w:hint="eastAsia"/>
          <w:lang w:val="en-US" w:eastAsia="zh-CN"/>
        </w:rPr>
        <w:t>单位：元</w:t>
      </w:r>
    </w:p>
    <w:tbl>
      <w:tblPr>
        <w:tblStyle w:val="1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2319"/>
        <w:gridCol w:w="2879"/>
        <w:gridCol w:w="1968"/>
        <w:gridCol w:w="3403"/>
        <w:gridCol w:w="3276"/>
      </w:tblGrid>
      <w:tr w14:paraId="5E76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289" w:type="dxa"/>
            <w:vAlign w:val="center"/>
          </w:tcPr>
          <w:p w14:paraId="55CAFFAB">
            <w:pPr>
              <w:spacing w:line="360" w:lineRule="auto"/>
              <w:jc w:val="center"/>
              <w:rPr>
                <w:rFonts w:ascii="宋体" w:hAnsi="宋体" w:cs="宋体"/>
                <w:b/>
                <w:szCs w:val="21"/>
              </w:rPr>
            </w:pPr>
            <w:r>
              <w:rPr>
                <w:rFonts w:hint="eastAsia" w:ascii="宋体" w:hAnsi="宋体" w:cs="宋体"/>
                <w:b/>
                <w:szCs w:val="21"/>
              </w:rPr>
              <w:t>序号</w:t>
            </w:r>
          </w:p>
        </w:tc>
        <w:tc>
          <w:tcPr>
            <w:tcW w:w="2319" w:type="dxa"/>
            <w:vAlign w:val="center"/>
          </w:tcPr>
          <w:p w14:paraId="1DD7913A">
            <w:pPr>
              <w:spacing w:line="360" w:lineRule="auto"/>
              <w:jc w:val="center"/>
              <w:rPr>
                <w:rFonts w:ascii="宋体" w:hAnsi="宋体" w:cs="宋体"/>
                <w:b/>
                <w:szCs w:val="21"/>
              </w:rPr>
            </w:pPr>
            <w:r>
              <w:rPr>
                <w:rFonts w:hint="eastAsia" w:ascii="宋体" w:hAnsi="宋体" w:cs="宋体"/>
                <w:b/>
                <w:szCs w:val="21"/>
              </w:rPr>
              <w:t>名称</w:t>
            </w:r>
          </w:p>
        </w:tc>
        <w:tc>
          <w:tcPr>
            <w:tcW w:w="2879" w:type="dxa"/>
          </w:tcPr>
          <w:p w14:paraId="229DC3B1">
            <w:pPr>
              <w:spacing w:line="360" w:lineRule="auto"/>
              <w:jc w:val="center"/>
              <w:rPr>
                <w:rFonts w:ascii="宋体" w:hAnsi="宋体" w:cs="宋体"/>
                <w:b/>
                <w:szCs w:val="21"/>
              </w:rPr>
            </w:pPr>
          </w:p>
          <w:p w14:paraId="19BF828B">
            <w:pPr>
              <w:spacing w:line="360" w:lineRule="auto"/>
              <w:jc w:val="center"/>
              <w:rPr>
                <w:rFonts w:ascii="宋体" w:hAnsi="宋体" w:cs="宋体"/>
                <w:b/>
                <w:szCs w:val="21"/>
              </w:rPr>
            </w:pPr>
            <w:r>
              <w:rPr>
                <w:rFonts w:hint="eastAsia" w:ascii="宋体" w:hAnsi="宋体" w:cs="宋体"/>
                <w:b/>
                <w:szCs w:val="21"/>
              </w:rPr>
              <w:t>服务标准</w:t>
            </w:r>
          </w:p>
        </w:tc>
        <w:tc>
          <w:tcPr>
            <w:tcW w:w="1968" w:type="dxa"/>
            <w:vAlign w:val="center"/>
          </w:tcPr>
          <w:p w14:paraId="13112C3F">
            <w:pPr>
              <w:spacing w:line="36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数量</w:t>
            </w:r>
          </w:p>
        </w:tc>
        <w:tc>
          <w:tcPr>
            <w:tcW w:w="3403" w:type="dxa"/>
          </w:tcPr>
          <w:p w14:paraId="3B11BB3B">
            <w:pPr>
              <w:spacing w:line="360" w:lineRule="auto"/>
              <w:jc w:val="center"/>
              <w:rPr>
                <w:rFonts w:ascii="宋体" w:hAnsi="宋体" w:cs="宋体"/>
                <w:b/>
                <w:szCs w:val="21"/>
              </w:rPr>
            </w:pPr>
          </w:p>
          <w:p w14:paraId="22F8AEA0">
            <w:pPr>
              <w:spacing w:line="36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单价（元/台*年）</w:t>
            </w:r>
          </w:p>
        </w:tc>
        <w:tc>
          <w:tcPr>
            <w:tcW w:w="3276" w:type="dxa"/>
            <w:vAlign w:val="center"/>
          </w:tcPr>
          <w:p w14:paraId="6060FA31">
            <w:pPr>
              <w:spacing w:line="360" w:lineRule="auto"/>
              <w:jc w:val="center"/>
              <w:rPr>
                <w:rFonts w:ascii="宋体" w:hAnsi="宋体" w:cs="宋体"/>
                <w:b/>
                <w:szCs w:val="21"/>
              </w:rPr>
            </w:pPr>
          </w:p>
          <w:p w14:paraId="65D6F304">
            <w:pPr>
              <w:spacing w:line="360" w:lineRule="auto"/>
              <w:jc w:val="center"/>
              <w:rPr>
                <w:rFonts w:ascii="宋体" w:hAnsi="宋体" w:cs="宋体"/>
                <w:b/>
                <w:szCs w:val="21"/>
              </w:rPr>
            </w:pPr>
            <w:r>
              <w:rPr>
                <w:rFonts w:hint="eastAsia" w:ascii="宋体" w:hAnsi="宋体" w:cs="宋体"/>
                <w:b/>
                <w:szCs w:val="21"/>
              </w:rPr>
              <w:t>备注（如果有）</w:t>
            </w:r>
          </w:p>
          <w:p w14:paraId="7010950B">
            <w:pPr>
              <w:spacing w:line="360" w:lineRule="auto"/>
              <w:jc w:val="center"/>
              <w:rPr>
                <w:rFonts w:ascii="宋体" w:hAnsi="宋体" w:cs="宋体"/>
                <w:b/>
                <w:szCs w:val="21"/>
              </w:rPr>
            </w:pPr>
          </w:p>
        </w:tc>
      </w:tr>
      <w:tr w14:paraId="3994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89" w:type="dxa"/>
            <w:vAlign w:val="center"/>
          </w:tcPr>
          <w:p w14:paraId="185AB024">
            <w:pPr>
              <w:spacing w:line="360" w:lineRule="auto"/>
              <w:jc w:val="center"/>
              <w:rPr>
                <w:rFonts w:ascii="宋体" w:hAnsi="宋体" w:cs="宋体"/>
                <w:szCs w:val="21"/>
              </w:rPr>
            </w:pPr>
            <w:r>
              <w:rPr>
                <w:rFonts w:hint="eastAsia" w:ascii="宋体" w:hAnsi="宋体" w:cs="宋体"/>
                <w:szCs w:val="21"/>
              </w:rPr>
              <w:t>1</w:t>
            </w:r>
          </w:p>
        </w:tc>
        <w:tc>
          <w:tcPr>
            <w:tcW w:w="2319" w:type="dxa"/>
            <w:vAlign w:val="center"/>
          </w:tcPr>
          <w:p w14:paraId="0833DFC2">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电梯维保服务</w:t>
            </w:r>
          </w:p>
        </w:tc>
        <w:tc>
          <w:tcPr>
            <w:tcW w:w="2879" w:type="dxa"/>
            <w:vAlign w:val="center"/>
          </w:tcPr>
          <w:p w14:paraId="3178C6F8">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见采购文件</w:t>
            </w:r>
          </w:p>
        </w:tc>
        <w:tc>
          <w:tcPr>
            <w:tcW w:w="1968" w:type="dxa"/>
            <w:vAlign w:val="center"/>
          </w:tcPr>
          <w:p w14:paraId="797DA437">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22台</w:t>
            </w:r>
          </w:p>
        </w:tc>
        <w:tc>
          <w:tcPr>
            <w:tcW w:w="3403" w:type="dxa"/>
          </w:tcPr>
          <w:p w14:paraId="4058756F">
            <w:pPr>
              <w:spacing w:line="360" w:lineRule="auto"/>
              <w:jc w:val="center"/>
              <w:rPr>
                <w:rFonts w:ascii="宋体" w:hAnsi="宋体" w:cs="宋体"/>
                <w:szCs w:val="21"/>
              </w:rPr>
            </w:pPr>
          </w:p>
        </w:tc>
        <w:tc>
          <w:tcPr>
            <w:tcW w:w="3276" w:type="dxa"/>
            <w:vAlign w:val="center"/>
          </w:tcPr>
          <w:p w14:paraId="2608A1A7">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服务期2年</w:t>
            </w:r>
          </w:p>
        </w:tc>
      </w:tr>
      <w:tr w14:paraId="303C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487" w:type="dxa"/>
            <w:gridSpan w:val="3"/>
            <w:vAlign w:val="center"/>
          </w:tcPr>
          <w:p w14:paraId="154E4973">
            <w:pPr>
              <w:snapToGrid w:val="0"/>
              <w:spacing w:line="360" w:lineRule="auto"/>
              <w:jc w:val="center"/>
              <w:rPr>
                <w:rFonts w:hint="default" w:ascii="宋体" w:hAnsi="宋体" w:cs="宋体"/>
                <w:szCs w:val="21"/>
                <w:lang w:val="en-US" w:eastAsia="zh-CN"/>
              </w:rPr>
            </w:pPr>
            <w:r>
              <w:rPr>
                <w:rFonts w:hint="eastAsia" w:ascii="宋体" w:hAnsi="宋体" w:cs="宋体"/>
                <w:b/>
                <w:bCs/>
                <w:szCs w:val="21"/>
                <w:lang w:val="en-US" w:eastAsia="zh-CN"/>
              </w:rPr>
              <w:t>总价</w:t>
            </w:r>
          </w:p>
        </w:tc>
        <w:tc>
          <w:tcPr>
            <w:tcW w:w="8647" w:type="dxa"/>
            <w:gridSpan w:val="3"/>
            <w:vAlign w:val="center"/>
          </w:tcPr>
          <w:p w14:paraId="3DDF42BB">
            <w:pPr>
              <w:spacing w:line="360" w:lineRule="auto"/>
              <w:jc w:val="center"/>
              <w:rPr>
                <w:rFonts w:hint="default" w:ascii="宋体" w:hAnsi="宋体" w:cs="宋体"/>
                <w:szCs w:val="21"/>
                <w:lang w:val="en-US" w:eastAsia="zh-CN"/>
              </w:rPr>
            </w:pPr>
            <w:r>
              <w:rPr>
                <w:rFonts w:hint="eastAsia" w:ascii="宋体" w:hAnsi="宋体" w:cs="宋体"/>
                <w:szCs w:val="21"/>
                <w:u w:val="single"/>
                <w:lang w:val="en-US" w:eastAsia="zh-CN"/>
              </w:rPr>
              <w:t xml:space="preserve">                </w:t>
            </w:r>
            <w:r>
              <w:rPr>
                <w:rFonts w:hint="eastAsia" w:ascii="宋体" w:hAnsi="宋体" w:cs="宋体"/>
                <w:szCs w:val="21"/>
                <w:lang w:val="en-US" w:eastAsia="zh-CN"/>
              </w:rPr>
              <w:t>元</w:t>
            </w:r>
          </w:p>
        </w:tc>
      </w:tr>
    </w:tbl>
    <w:p w14:paraId="4DD3E2E9">
      <w:pPr>
        <w:spacing w:line="360" w:lineRule="auto"/>
        <w:jc w:val="left"/>
        <w:rPr>
          <w:rFonts w:hint="eastAsia" w:ascii="宋体" w:hAnsi="宋体" w:cs="宋体"/>
          <w:bCs/>
          <w:color w:val="000000"/>
          <w:spacing w:val="-6"/>
          <w:szCs w:val="21"/>
        </w:rPr>
      </w:pPr>
      <w:r>
        <w:rPr>
          <w:rFonts w:hint="eastAsia" w:ascii="宋体" w:hAnsi="宋体" w:cs="宋体"/>
          <w:bCs/>
          <w:color w:val="000000"/>
          <w:spacing w:val="-6"/>
          <w:szCs w:val="21"/>
        </w:rPr>
        <w:t>说明：</w:t>
      </w:r>
    </w:p>
    <w:p w14:paraId="05411079">
      <w:pPr>
        <w:spacing w:line="360" w:lineRule="auto"/>
        <w:jc w:val="left"/>
        <w:rPr>
          <w:rFonts w:ascii="宋体" w:hAnsi="宋体" w:cs="宋体"/>
          <w:szCs w:val="21"/>
        </w:rPr>
      </w:pPr>
      <w:r>
        <w:rPr>
          <w:rFonts w:hint="eastAsia" w:ascii="宋体" w:hAnsi="宋体" w:cs="宋体"/>
          <w:szCs w:val="21"/>
        </w:rPr>
        <w:t>1.报价一经涂改，应在涂改处加盖单位公章或者由法定代表人或其授权代表签字或盖章，否则其投标作无效投标处理。</w:t>
      </w:r>
    </w:p>
    <w:p w14:paraId="2FDE9EA6">
      <w:pPr>
        <w:snapToGrid w:val="0"/>
        <w:spacing w:line="288" w:lineRule="auto"/>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采购</w:t>
      </w:r>
      <w:r>
        <w:rPr>
          <w:rFonts w:hint="eastAsia" w:ascii="宋体" w:hAnsi="宋体" w:cs="宋体"/>
          <w:szCs w:val="21"/>
        </w:rPr>
        <w:t>人不接受某一标项中有2个(含)以上的报价或方案，若投标人在此表中有2个（含）以上的报价或方案，其投标作无效投标处理。</w:t>
      </w:r>
    </w:p>
    <w:p w14:paraId="2717A3BF">
      <w:pPr>
        <w:snapToGrid w:val="0"/>
        <w:spacing w:line="288" w:lineRule="auto"/>
        <w:rPr>
          <w:rFonts w:hint="default"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zh-CN"/>
        </w:rPr>
        <w:t>.有关本项目实施所涉及的一切费用均计入报价。</w:t>
      </w:r>
      <w:r>
        <w:rPr>
          <w:rFonts w:hint="eastAsia" w:ascii="宋体" w:hAnsi="宋体" w:cs="宋体"/>
          <w:kern w:val="0"/>
          <w:szCs w:val="21"/>
          <w:lang w:val="en-US" w:eastAsia="zh-CN"/>
        </w:rPr>
        <w:t>响应方承诺对上述采购需求完全响应。本项目不接受联合体投标。</w:t>
      </w:r>
      <w:bookmarkStart w:id="178" w:name="_GoBack"/>
      <w:bookmarkEnd w:id="178"/>
    </w:p>
    <w:p w14:paraId="183E3A8D">
      <w:pPr>
        <w:spacing w:line="360" w:lineRule="auto"/>
        <w:rPr>
          <w:rFonts w:hint="eastAsia" w:ascii="宋体" w:hAnsi="宋体" w:cs="宋体"/>
          <w:szCs w:val="21"/>
          <w:highlight w:val="yellow"/>
          <w:lang w:val="en-US" w:eastAsia="zh-CN"/>
        </w:rPr>
      </w:pPr>
      <w:r>
        <w:rPr>
          <w:rFonts w:hint="eastAsia" w:ascii="宋体" w:hAnsi="宋体" w:cs="宋体"/>
          <w:szCs w:val="21"/>
          <w:highlight w:val="yellow"/>
          <w:lang w:val="en-US" w:eastAsia="zh-CN"/>
        </w:rPr>
        <w:t>4.上述表格中序号为第20-22号电梯，维保时间自2026.3.31起算。</w:t>
      </w:r>
    </w:p>
    <w:p w14:paraId="1C12CF37">
      <w:pPr>
        <w:pStyle w:val="2"/>
        <w:ind w:left="0" w:leftChars="0" w:firstLine="0" w:firstLineChars="0"/>
        <w:rPr>
          <w:rFonts w:hint="default" w:ascii="宋体" w:hAnsi="宋体" w:cs="宋体"/>
          <w:szCs w:val="21"/>
          <w:highlight w:val="yellow"/>
          <w:lang w:val="en-US" w:eastAsia="zh-CN"/>
        </w:rPr>
      </w:pPr>
      <w:r>
        <w:rPr>
          <w:rFonts w:hint="eastAsia" w:ascii="宋体" w:hAnsi="宋体" w:cs="宋体"/>
          <w:szCs w:val="21"/>
          <w:highlight w:val="yellow"/>
          <w:lang w:val="en-US" w:eastAsia="zh-CN"/>
        </w:rPr>
        <w:t>5.维保服务费用按实际维保的电梯数量及维保服务时长（以天为单位）据实结算，具体结算标准以合同约定的单价为准。若服务期不足1年，维保费按实际服务天数占全年（365天）的比例计算。</w:t>
      </w:r>
    </w:p>
    <w:p w14:paraId="42914EBE">
      <w:pPr>
        <w:pStyle w:val="2"/>
      </w:pPr>
    </w:p>
    <w:p w14:paraId="618B1E63">
      <w:pPr>
        <w:spacing w:line="360" w:lineRule="auto"/>
        <w:jc w:val="left"/>
        <w:rPr>
          <w:rFonts w:ascii="宋体" w:hAnsi="宋体" w:cs="宋体"/>
          <w:szCs w:val="21"/>
          <w:u w:val="single"/>
        </w:rPr>
      </w:pPr>
      <w:r>
        <w:rPr>
          <w:rFonts w:hint="eastAsia" w:ascii="宋体" w:hAnsi="宋体" w:cs="宋体"/>
          <w:szCs w:val="21"/>
        </w:rPr>
        <w:t xml:space="preserve">    响应方全称（公章）：</w:t>
      </w:r>
      <w:r>
        <w:rPr>
          <w:rFonts w:hint="eastAsia" w:ascii="宋体" w:hAnsi="宋体" w:cs="宋体"/>
          <w:szCs w:val="21"/>
          <w:u w:val="single"/>
        </w:rPr>
        <w:t xml:space="preserve">                    </w:t>
      </w:r>
    </w:p>
    <w:p w14:paraId="33BFAE04">
      <w:pPr>
        <w:spacing w:line="360" w:lineRule="auto"/>
        <w:ind w:firstLine="420" w:firstLineChars="200"/>
        <w:jc w:val="left"/>
        <w:rPr>
          <w:rFonts w:ascii="宋体" w:hAnsi="宋体" w:cs="宋体"/>
          <w:szCs w:val="21"/>
          <w:u w:val="single"/>
        </w:rPr>
      </w:pPr>
      <w:r>
        <w:rPr>
          <w:rFonts w:hint="eastAsia" w:ascii="宋体" w:hAnsi="宋体" w:cs="宋体"/>
          <w:szCs w:val="21"/>
        </w:rPr>
        <w:t>全权代表签字：</w:t>
      </w:r>
      <w:r>
        <w:rPr>
          <w:rFonts w:hint="eastAsia" w:ascii="宋体" w:hAnsi="宋体" w:cs="宋体"/>
          <w:szCs w:val="21"/>
          <w:u w:val="single"/>
        </w:rPr>
        <w:t xml:space="preserve">                  </w:t>
      </w:r>
    </w:p>
    <w:p w14:paraId="159A4F73">
      <w:pPr>
        <w:spacing w:line="360" w:lineRule="auto"/>
        <w:ind w:firstLine="420" w:firstLineChars="200"/>
        <w:jc w:val="left"/>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4FEBFC0">
      <w:pPr>
        <w:pStyle w:val="2"/>
        <w:sectPr>
          <w:pgSz w:w="16838" w:h="11906" w:orient="landscape"/>
          <w:pgMar w:top="1800" w:right="1440" w:bottom="1800" w:left="1440" w:header="851" w:footer="992" w:gutter="0"/>
          <w:cols w:space="425" w:num="1"/>
          <w:docGrid w:type="lines" w:linePitch="312" w:charSpace="0"/>
        </w:sectPr>
      </w:pPr>
    </w:p>
    <w:p w14:paraId="1E6DCA84"/>
    <w:p w14:paraId="637A9846">
      <w:pPr>
        <w:spacing w:before="156" w:after="156"/>
        <w:jc w:val="center"/>
        <w:rPr>
          <w:rFonts w:ascii="宋体" w:hAnsi="宋体" w:cs="宋体"/>
          <w:b/>
          <w:bCs/>
          <w:szCs w:val="21"/>
        </w:rPr>
      </w:pPr>
    </w:p>
    <w:p w14:paraId="4EFDD995">
      <w:pPr>
        <w:pStyle w:val="2"/>
      </w:pPr>
    </w:p>
    <w:p w14:paraId="63A2224A">
      <w:pPr>
        <w:pStyle w:val="10"/>
        <w:spacing w:before="120" w:after="120" w:line="360" w:lineRule="auto"/>
        <w:ind w:firstLine="420"/>
        <w:jc w:val="center"/>
        <w:rPr>
          <w:rFonts w:hAnsi="宋体" w:cs="宋体"/>
          <w:b/>
          <w:sz w:val="24"/>
          <w:szCs w:val="24"/>
        </w:rPr>
      </w:pPr>
      <w:r>
        <w:rPr>
          <w:rFonts w:hint="eastAsia" w:hAnsi="宋体" w:cs="宋体"/>
          <w:sz w:val="24"/>
          <w:szCs w:val="24"/>
        </w:rPr>
        <w:t>（本合同为合同样稿，最终稿由双方协商后确定）</w:t>
      </w:r>
    </w:p>
    <w:p w14:paraId="175182DF">
      <w:pPr>
        <w:pStyle w:val="16"/>
        <w:ind w:firstLine="482"/>
        <w:jc w:val="center"/>
        <w:rPr>
          <w:rFonts w:ascii="宋体" w:hAnsi="宋体" w:cs="宋体"/>
          <w:b/>
          <w:sz w:val="21"/>
          <w:szCs w:val="21"/>
        </w:rPr>
      </w:pPr>
    </w:p>
    <w:p w14:paraId="61C54AF4">
      <w:pPr>
        <w:pStyle w:val="16"/>
        <w:ind w:firstLine="482"/>
        <w:jc w:val="center"/>
        <w:rPr>
          <w:rFonts w:ascii="宋体" w:hAnsi="宋体" w:cs="宋体"/>
          <w:b/>
          <w:sz w:val="21"/>
          <w:szCs w:val="21"/>
        </w:rPr>
      </w:pPr>
    </w:p>
    <w:p w14:paraId="70A5E3B6">
      <w:pPr>
        <w:spacing w:line="480" w:lineRule="auto"/>
        <w:jc w:val="center"/>
        <w:rPr>
          <w:rFonts w:ascii="宋体" w:hAnsi="宋体" w:cs="宋体"/>
          <w:b/>
          <w:sz w:val="44"/>
          <w:szCs w:val="44"/>
        </w:rPr>
      </w:pPr>
      <w:r>
        <w:rPr>
          <w:rFonts w:hint="eastAsia" w:ascii="宋体" w:hAnsi="宋体" w:cs="宋体"/>
          <w:b/>
          <w:sz w:val="44"/>
          <w:szCs w:val="44"/>
        </w:rPr>
        <w:t>服务买卖合同</w:t>
      </w:r>
    </w:p>
    <w:p w14:paraId="0FBAA01E">
      <w:pPr>
        <w:pStyle w:val="16"/>
        <w:ind w:firstLine="482"/>
        <w:jc w:val="center"/>
        <w:rPr>
          <w:rFonts w:ascii="宋体" w:hAnsi="宋体" w:cs="宋体"/>
          <w:b/>
        </w:rPr>
      </w:pPr>
    </w:p>
    <w:p w14:paraId="0B76E892">
      <w:pPr>
        <w:pStyle w:val="16"/>
        <w:ind w:firstLine="482"/>
        <w:jc w:val="center"/>
        <w:rPr>
          <w:rFonts w:ascii="宋体" w:hAnsi="宋体" w:cs="宋体"/>
          <w:b/>
        </w:rPr>
      </w:pPr>
    </w:p>
    <w:p w14:paraId="7D6FE8AB">
      <w:pPr>
        <w:pStyle w:val="16"/>
        <w:ind w:firstLine="482"/>
        <w:jc w:val="center"/>
        <w:rPr>
          <w:rFonts w:ascii="宋体" w:hAnsi="宋体" w:cs="宋体"/>
          <w:b/>
        </w:rPr>
      </w:pPr>
      <w:r>
        <w:rPr>
          <w:rFonts w:hint="eastAsia" w:ascii="宋体" w:hAnsi="宋体" w:cs="宋体"/>
          <w:b/>
        </w:rPr>
        <w:t>第一部分 合同书</w:t>
      </w:r>
    </w:p>
    <w:p w14:paraId="0F7B4054">
      <w:pPr>
        <w:pStyle w:val="16"/>
        <w:rPr>
          <w:rFonts w:ascii="宋体" w:hAnsi="宋体" w:cs="宋体"/>
        </w:rPr>
      </w:pPr>
    </w:p>
    <w:p w14:paraId="0ED6AAFA">
      <w:pPr>
        <w:pStyle w:val="16"/>
        <w:rPr>
          <w:rFonts w:ascii="宋体" w:hAnsi="宋体" w:cs="宋体"/>
        </w:rPr>
      </w:pPr>
    </w:p>
    <w:p w14:paraId="382DB7BF">
      <w:pPr>
        <w:spacing w:before="120" w:line="22" w:lineRule="atLeast"/>
        <w:rPr>
          <w:rFonts w:ascii="宋体" w:hAnsi="宋体" w:cs="宋体"/>
          <w:sz w:val="24"/>
        </w:rPr>
      </w:pPr>
    </w:p>
    <w:p w14:paraId="50610C66">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D3E84C6">
      <w:pPr>
        <w:pStyle w:val="17"/>
        <w:spacing w:before="120" w:line="22" w:lineRule="atLeast"/>
        <w:rPr>
          <w:rFonts w:ascii="宋体" w:hAnsi="宋体" w:eastAsia="宋体" w:cs="宋体"/>
          <w:szCs w:val="24"/>
        </w:rPr>
      </w:pPr>
    </w:p>
    <w:p w14:paraId="3F7E32E3">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浙江工商大学杭州商学院               </w:t>
      </w:r>
      <w:r>
        <w:rPr>
          <w:rFonts w:ascii="宋体" w:hAnsi="宋体" w:cs="宋体"/>
          <w:sz w:val="24"/>
          <w:u w:val="single"/>
        </w:rPr>
        <w:t xml:space="preserve">   </w:t>
      </w:r>
    </w:p>
    <w:p w14:paraId="6B56983F">
      <w:pPr>
        <w:spacing w:before="120" w:line="22" w:lineRule="atLeast"/>
        <w:rPr>
          <w:rFonts w:ascii="宋体" w:hAnsi="宋体" w:cs="宋体"/>
          <w:sz w:val="24"/>
        </w:rPr>
      </w:pPr>
    </w:p>
    <w:p w14:paraId="3E86FD96">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ascii="宋体" w:hAnsi="宋体" w:cs="宋体"/>
          <w:sz w:val="24"/>
          <w:u w:val="single"/>
        </w:rPr>
        <w:t xml:space="preserve">       </w:t>
      </w:r>
    </w:p>
    <w:p w14:paraId="0043D5EB">
      <w:pPr>
        <w:spacing w:before="120" w:line="22" w:lineRule="atLeast"/>
        <w:rPr>
          <w:rFonts w:ascii="宋体" w:hAnsi="宋体" w:cs="宋体"/>
          <w:sz w:val="24"/>
        </w:rPr>
      </w:pPr>
    </w:p>
    <w:p w14:paraId="52D45C63">
      <w:pPr>
        <w:spacing w:before="120" w:line="22" w:lineRule="atLeast"/>
        <w:ind w:firstLine="960" w:firstLineChars="400"/>
        <w:rPr>
          <w:rFonts w:ascii="宋体" w:hAnsi="宋体" w:cs="宋体"/>
          <w:sz w:val="24"/>
          <w:u w:val="single"/>
        </w:rPr>
      </w:pPr>
      <w:r>
        <w:rPr>
          <w:rFonts w:hint="eastAsia" w:ascii="宋体" w:hAnsi="宋体" w:cs="宋体"/>
          <w:sz w:val="24"/>
        </w:rPr>
        <w:t>签订地点：</w:t>
      </w:r>
      <w:r>
        <w:rPr>
          <w:rFonts w:hint="eastAsia" w:ascii="宋体" w:hAnsi="宋体" w:cs="宋体"/>
          <w:sz w:val="24"/>
          <w:u w:val="single"/>
        </w:rPr>
        <w:t xml:space="preserve">  杭州桐庐                             </w:t>
      </w:r>
      <w:r>
        <w:rPr>
          <w:rFonts w:ascii="宋体" w:hAnsi="宋体" w:cs="宋体"/>
          <w:sz w:val="24"/>
          <w:u w:val="single"/>
        </w:rPr>
        <w:t xml:space="preserve">   </w:t>
      </w:r>
    </w:p>
    <w:p w14:paraId="5D96CD8E">
      <w:pPr>
        <w:spacing w:before="120" w:line="22" w:lineRule="atLeast"/>
        <w:rPr>
          <w:rFonts w:ascii="宋体" w:hAnsi="宋体" w:cs="宋体"/>
          <w:sz w:val="24"/>
        </w:rPr>
      </w:pPr>
    </w:p>
    <w:p w14:paraId="6D2E52C0">
      <w:pPr>
        <w:spacing w:line="560" w:lineRule="exact"/>
        <w:ind w:firstLine="480" w:firstLineChars="200"/>
        <w:rPr>
          <w:rFonts w:ascii="宋体" w:hAnsi="宋体" w:cs="宋体"/>
          <w:sz w:val="24"/>
          <w:lang w:val="zh-CN"/>
        </w:rPr>
      </w:pPr>
    </w:p>
    <w:p w14:paraId="158A13A3">
      <w:pPr>
        <w:spacing w:line="560" w:lineRule="exact"/>
        <w:ind w:firstLine="480" w:firstLineChars="200"/>
        <w:rPr>
          <w:rFonts w:ascii="宋体" w:hAnsi="宋体" w:cs="宋体"/>
          <w:sz w:val="24"/>
          <w:lang w:val="zh-CN"/>
        </w:rPr>
      </w:pPr>
    </w:p>
    <w:p w14:paraId="177D5969">
      <w:pPr>
        <w:spacing w:line="560" w:lineRule="exact"/>
        <w:ind w:firstLine="480" w:firstLineChars="200"/>
        <w:rPr>
          <w:rFonts w:ascii="宋体" w:hAnsi="宋体" w:cs="宋体"/>
          <w:sz w:val="24"/>
          <w:lang w:val="zh-CN"/>
        </w:rPr>
      </w:pPr>
    </w:p>
    <w:p w14:paraId="2EC794A8">
      <w:pPr>
        <w:spacing w:line="560" w:lineRule="exact"/>
        <w:ind w:firstLine="480" w:firstLineChars="200"/>
        <w:rPr>
          <w:rFonts w:ascii="宋体" w:hAnsi="宋体" w:cs="宋体"/>
          <w:sz w:val="24"/>
          <w:lang w:val="zh-CN"/>
        </w:rPr>
      </w:pPr>
    </w:p>
    <w:p w14:paraId="2EE48147">
      <w:pPr>
        <w:spacing w:line="560" w:lineRule="exact"/>
        <w:ind w:firstLine="480" w:firstLineChars="200"/>
        <w:rPr>
          <w:rFonts w:ascii="宋体" w:hAnsi="宋体" w:cs="宋体"/>
          <w:sz w:val="24"/>
          <w:lang w:val="zh-CN"/>
        </w:rPr>
      </w:pPr>
    </w:p>
    <w:p w14:paraId="2646851C">
      <w:pPr>
        <w:pStyle w:val="2"/>
        <w:rPr>
          <w:lang w:val="zh-CN"/>
        </w:rPr>
      </w:pPr>
    </w:p>
    <w:p w14:paraId="4EF47B07">
      <w:pPr>
        <w:spacing w:line="560" w:lineRule="exact"/>
        <w:ind w:left="210" w:leftChars="100" w:firstLine="210" w:firstLineChars="100"/>
        <w:rPr>
          <w:rFonts w:ascii="宋体" w:hAnsi="宋体" w:cs="宋体"/>
          <w:szCs w:val="21"/>
        </w:rPr>
      </w:pPr>
      <w:r>
        <w:rPr>
          <w:rFonts w:hint="eastAsia" w:ascii="宋体" w:hAnsi="宋体" w:cs="宋体"/>
          <w:szCs w:val="21"/>
          <w:lang w:val="zh-CN"/>
        </w:rPr>
        <w:t xml:space="preserve"> </w:t>
      </w:r>
      <w:r>
        <w:rPr>
          <w:rFonts w:hint="eastAsia" w:ascii="宋体" w:hAnsi="宋体" w:cs="宋体"/>
          <w:szCs w:val="21"/>
        </w:rPr>
        <w:t xml:space="preserve">202  </w:t>
      </w:r>
      <w:r>
        <w:rPr>
          <w:rFonts w:hint="eastAsia" w:ascii="宋体" w:hAnsi="宋体" w:cs="宋体"/>
          <w:szCs w:val="21"/>
          <w:lang w:val="zh-CN"/>
        </w:rPr>
        <w:t>年</w:t>
      </w:r>
      <w:r>
        <w:rPr>
          <w:rFonts w:hint="eastAsia" w:ascii="宋体" w:hAnsi="宋体" w:cs="宋体"/>
          <w:szCs w:val="21"/>
        </w:rPr>
        <w:t xml:space="preserve">  </w:t>
      </w:r>
      <w:r>
        <w:rPr>
          <w:rFonts w:hint="eastAsia" w:ascii="宋体" w:hAnsi="宋体" w:cs="宋体"/>
          <w:szCs w:val="21"/>
          <w:lang w:val="zh-CN"/>
        </w:rPr>
        <w:t>月</w:t>
      </w:r>
      <w:r>
        <w:rPr>
          <w:rFonts w:hint="eastAsia" w:ascii="宋体" w:hAnsi="宋体" w:cs="宋体"/>
          <w:szCs w:val="21"/>
        </w:rPr>
        <w:t xml:space="preserve">  </w:t>
      </w:r>
      <w:r>
        <w:rPr>
          <w:rFonts w:hint="eastAsia" w:ascii="宋体" w:hAnsi="宋体" w:cs="宋体"/>
          <w:szCs w:val="21"/>
          <w:lang w:val="zh-CN"/>
        </w:rPr>
        <w:t>日</w:t>
      </w:r>
      <w:r>
        <w:rPr>
          <w:rFonts w:hint="eastAsia" w:ascii="宋体" w:hAnsi="宋体" w:cs="宋体"/>
          <w:szCs w:val="21"/>
        </w:rPr>
        <w:t>，</w:t>
      </w:r>
      <w:r>
        <w:rPr>
          <w:rFonts w:hint="eastAsia" w:ascii="宋体" w:hAnsi="宋体" w:cs="宋体"/>
          <w:szCs w:val="21"/>
          <w:u w:val="single"/>
        </w:rPr>
        <w:t xml:space="preserve"> 浙江工商大学杭州商学院 </w:t>
      </w:r>
      <w:r>
        <w:rPr>
          <w:rFonts w:hint="eastAsia" w:ascii="宋体" w:hAnsi="宋体" w:cs="宋体"/>
          <w:szCs w:val="21"/>
        </w:rPr>
        <w:t>以</w:t>
      </w:r>
      <w:r>
        <w:rPr>
          <w:rFonts w:hint="eastAsia" w:ascii="宋体" w:hAnsi="宋体" w:cs="宋体"/>
          <w:szCs w:val="21"/>
          <w:u w:val="single"/>
        </w:rPr>
        <w:t xml:space="preserve">   方式 </w:t>
      </w:r>
      <w:r>
        <w:rPr>
          <w:rFonts w:hint="eastAsia" w:ascii="宋体" w:hAnsi="宋体" w:cs="宋体"/>
          <w:kern w:val="0"/>
          <w:szCs w:val="21"/>
        </w:rPr>
        <w:t>对</w:t>
      </w:r>
      <w:r>
        <w:rPr>
          <w:rFonts w:hint="eastAsia" w:ascii="宋体" w:hAnsi="宋体" w:cs="宋体"/>
          <w:kern w:val="0"/>
          <w:szCs w:val="21"/>
          <w:u w:val="single"/>
        </w:rPr>
        <w:t xml:space="preserve">     </w:t>
      </w:r>
      <w:r>
        <w:rPr>
          <w:rFonts w:hint="eastAsia" w:ascii="宋体" w:hAnsi="宋体" w:cs="宋体"/>
          <w:kern w:val="0"/>
          <w:szCs w:val="21"/>
        </w:rPr>
        <w:t>进行了评审</w:t>
      </w:r>
      <w:r>
        <w:rPr>
          <w:rFonts w:hint="eastAsia" w:ascii="宋体" w:hAnsi="宋体" w:cs="宋体"/>
          <w:szCs w:val="21"/>
        </w:rPr>
        <w:t>，确定</w:t>
      </w:r>
      <w:r>
        <w:rPr>
          <w:rFonts w:hint="eastAsia" w:ascii="宋体" w:hAnsi="宋体" w:cs="宋体"/>
          <w:szCs w:val="21"/>
          <w:u w:val="single"/>
        </w:rPr>
        <w:t xml:space="preserve">     </w:t>
      </w:r>
      <w:r>
        <w:rPr>
          <w:rFonts w:hint="eastAsia" w:ascii="宋体" w:hAnsi="宋体" w:cs="宋体"/>
          <w:szCs w:val="21"/>
        </w:rPr>
        <w:t>为该项目中标供应商。</w:t>
      </w:r>
      <w:r>
        <w:rPr>
          <w:rFonts w:hint="eastAsia" w:ascii="宋体" w:hAnsi="宋体" w:cs="宋体"/>
          <w:szCs w:val="21"/>
          <w:lang w:val="zh-CN"/>
        </w:rPr>
        <w:t>根据《中华人民共和国民法典》、《中华人民共和国政府采购法》等相关法律法规之规定，按照平等、自愿、公平和诚实信用的原则，经</w:t>
      </w:r>
      <w:r>
        <w:rPr>
          <w:rFonts w:hint="eastAsia" w:ascii="宋体" w:hAnsi="宋体" w:cs="宋体"/>
          <w:szCs w:val="21"/>
        </w:rPr>
        <w:t>甲乙双方</w:t>
      </w:r>
      <w:r>
        <w:rPr>
          <w:rFonts w:hint="eastAsia" w:ascii="宋体" w:hAnsi="宋体" w:cs="宋体"/>
          <w:szCs w:val="21"/>
          <w:lang w:val="zh-CN"/>
        </w:rPr>
        <w:t>协商一致，约定以下合同</w:t>
      </w:r>
      <w:r>
        <w:rPr>
          <w:rFonts w:hint="eastAsia" w:ascii="宋体" w:hAnsi="宋体" w:cs="宋体"/>
          <w:szCs w:val="21"/>
        </w:rPr>
        <w:t>条款，以兹共同遵守、全面履行。</w:t>
      </w:r>
    </w:p>
    <w:p w14:paraId="1FD79667">
      <w:pPr>
        <w:spacing w:line="560" w:lineRule="exact"/>
        <w:ind w:firstLine="422" w:firstLineChars="200"/>
        <w:outlineLvl w:val="0"/>
        <w:rPr>
          <w:rFonts w:ascii="宋体" w:hAnsi="宋体" w:cs="宋体"/>
          <w:szCs w:val="21"/>
        </w:rPr>
      </w:pPr>
      <w:bookmarkStart w:id="0" w:name="_Toc22967"/>
      <w:bookmarkStart w:id="1" w:name="_Toc15367"/>
      <w:bookmarkStart w:id="2" w:name="_Toc28855"/>
      <w:bookmarkStart w:id="3" w:name="_Toc19273"/>
      <w:bookmarkStart w:id="4" w:name="_Toc20421"/>
      <w:r>
        <w:rPr>
          <w:rFonts w:hint="eastAsia" w:ascii="宋体" w:hAnsi="宋体" w:cs="宋体"/>
          <w:b/>
          <w:szCs w:val="21"/>
        </w:rPr>
        <w:t>1.1 合同组成部分</w:t>
      </w:r>
      <w:bookmarkEnd w:id="0"/>
      <w:bookmarkEnd w:id="1"/>
      <w:bookmarkEnd w:id="2"/>
      <w:bookmarkEnd w:id="3"/>
      <w:bookmarkEnd w:id="4"/>
    </w:p>
    <w:p w14:paraId="6F30BBC7">
      <w:pPr>
        <w:spacing w:line="560" w:lineRule="exact"/>
        <w:ind w:firstLine="420" w:firstLineChars="200"/>
        <w:rPr>
          <w:rFonts w:ascii="宋体" w:hAnsi="宋体" w:cs="宋体"/>
          <w:szCs w:val="21"/>
        </w:rPr>
      </w:pPr>
      <w:r>
        <w:rPr>
          <w:rFonts w:hint="eastAsia" w:ascii="宋体" w:hAnsi="宋体" w:cs="宋体"/>
          <w:szCs w:val="21"/>
        </w:rPr>
        <w:t>下列文件为本合同的组成部分，并构成一个整体，需综合解释、相互补充。若下列文件内容出现不一致的情形，在保证按照采购招标文件确定的事项的前提下，组成本合同的多个文件的优先适用顺序如下：</w:t>
      </w:r>
    </w:p>
    <w:p w14:paraId="3E455039">
      <w:pPr>
        <w:spacing w:line="560" w:lineRule="exact"/>
        <w:ind w:firstLine="420" w:firstLineChars="200"/>
        <w:rPr>
          <w:rFonts w:ascii="宋体" w:hAnsi="宋体" w:cs="宋体"/>
          <w:szCs w:val="21"/>
        </w:rPr>
      </w:pPr>
      <w:r>
        <w:rPr>
          <w:rFonts w:hint="eastAsia" w:ascii="宋体" w:hAnsi="宋体" w:cs="宋体"/>
          <w:szCs w:val="21"/>
        </w:rPr>
        <w:t>1.1.1 本合同及其补充合同、变更协议；</w:t>
      </w:r>
    </w:p>
    <w:p w14:paraId="273B39DD">
      <w:pPr>
        <w:spacing w:line="560" w:lineRule="exact"/>
        <w:ind w:firstLine="420" w:firstLineChars="200"/>
        <w:rPr>
          <w:rFonts w:ascii="宋体" w:hAnsi="宋体" w:cs="宋体"/>
          <w:szCs w:val="21"/>
        </w:rPr>
      </w:pPr>
      <w:r>
        <w:rPr>
          <w:rFonts w:hint="eastAsia" w:ascii="宋体" w:hAnsi="宋体" w:cs="宋体"/>
          <w:szCs w:val="21"/>
        </w:rPr>
        <w:t>1.1.2 中标公告；</w:t>
      </w:r>
    </w:p>
    <w:p w14:paraId="58BC453E">
      <w:pPr>
        <w:spacing w:line="560" w:lineRule="exact"/>
        <w:ind w:firstLine="420" w:firstLineChars="200"/>
        <w:rPr>
          <w:rFonts w:ascii="宋体" w:hAnsi="宋体" w:cs="宋体"/>
          <w:szCs w:val="21"/>
        </w:rPr>
      </w:pPr>
      <w:r>
        <w:rPr>
          <w:rFonts w:hint="eastAsia" w:ascii="宋体" w:hAnsi="宋体" w:cs="宋体"/>
          <w:szCs w:val="21"/>
        </w:rPr>
        <w:t>1.1.3 投标文件（含澄清或者说明文件）；</w:t>
      </w:r>
    </w:p>
    <w:p w14:paraId="42D2A1E6">
      <w:pPr>
        <w:spacing w:line="560" w:lineRule="exact"/>
        <w:ind w:firstLine="420" w:firstLineChars="200"/>
        <w:rPr>
          <w:rFonts w:ascii="宋体" w:hAnsi="宋体" w:cs="宋体"/>
          <w:szCs w:val="21"/>
        </w:rPr>
      </w:pPr>
      <w:r>
        <w:rPr>
          <w:rFonts w:hint="eastAsia" w:ascii="宋体" w:hAnsi="宋体" w:cs="宋体"/>
          <w:szCs w:val="21"/>
        </w:rPr>
        <w:t>1.1.4 招标文件（含澄清或者修改文件）；</w:t>
      </w:r>
    </w:p>
    <w:p w14:paraId="4DE5DAC2">
      <w:pPr>
        <w:spacing w:line="560" w:lineRule="exact"/>
        <w:ind w:firstLine="420" w:firstLineChars="200"/>
        <w:rPr>
          <w:rFonts w:ascii="宋体" w:hAnsi="宋体" w:cs="宋体"/>
          <w:szCs w:val="21"/>
        </w:rPr>
      </w:pPr>
      <w:r>
        <w:rPr>
          <w:rFonts w:hint="eastAsia" w:ascii="宋体" w:hAnsi="宋体" w:cs="宋体"/>
          <w:szCs w:val="21"/>
        </w:rPr>
        <w:t>1.1.5 其他相关采购文件。</w:t>
      </w:r>
    </w:p>
    <w:p w14:paraId="744CB91A">
      <w:pPr>
        <w:spacing w:line="560" w:lineRule="exact"/>
        <w:ind w:firstLine="422" w:firstLineChars="200"/>
        <w:outlineLvl w:val="0"/>
        <w:rPr>
          <w:rFonts w:ascii="宋体" w:hAnsi="宋体" w:cs="宋体"/>
          <w:b/>
          <w:szCs w:val="21"/>
        </w:rPr>
      </w:pPr>
      <w:bookmarkStart w:id="5" w:name="_Toc6773"/>
      <w:bookmarkStart w:id="6" w:name="_Toc22185"/>
      <w:bookmarkStart w:id="7" w:name="_Toc6311"/>
      <w:bookmarkStart w:id="8" w:name="_Toc2918"/>
      <w:bookmarkStart w:id="9" w:name="_Toc18585"/>
      <w:r>
        <w:rPr>
          <w:rFonts w:hint="eastAsia" w:ascii="宋体" w:hAnsi="宋体" w:cs="宋体"/>
          <w:b/>
          <w:szCs w:val="21"/>
        </w:rPr>
        <w:t>1.2 标的</w:t>
      </w:r>
      <w:bookmarkEnd w:id="5"/>
      <w:bookmarkEnd w:id="6"/>
      <w:bookmarkEnd w:id="7"/>
      <w:bookmarkEnd w:id="8"/>
      <w:bookmarkEnd w:id="9"/>
    </w:p>
    <w:p w14:paraId="75E3DB99">
      <w:pPr>
        <w:spacing w:line="560" w:lineRule="exact"/>
        <w:ind w:firstLine="420" w:firstLineChars="200"/>
        <w:rPr>
          <w:rFonts w:ascii="宋体" w:hAnsi="宋体" w:cs="宋体"/>
          <w:szCs w:val="21"/>
        </w:rPr>
      </w:pPr>
      <w:r>
        <w:rPr>
          <w:rFonts w:hint="eastAsia" w:ascii="宋体" w:hAnsi="宋体" w:cs="宋体"/>
          <w:szCs w:val="21"/>
        </w:rPr>
        <w:t>1.2.1 标的名称：</w:t>
      </w:r>
      <w:r>
        <w:rPr>
          <w:rFonts w:hint="eastAsia" w:ascii="宋体" w:hAnsi="宋体" w:cs="宋体"/>
          <w:szCs w:val="21"/>
          <w:u w:val="single"/>
        </w:rPr>
        <w:t xml:space="preserve">按照招标文件标的名称           </w:t>
      </w:r>
      <w:r>
        <w:rPr>
          <w:rFonts w:hint="eastAsia" w:ascii="宋体" w:hAnsi="宋体" w:cs="宋体"/>
          <w:szCs w:val="21"/>
        </w:rPr>
        <w:t>；</w:t>
      </w:r>
    </w:p>
    <w:p w14:paraId="4755739A">
      <w:pPr>
        <w:spacing w:line="560" w:lineRule="exact"/>
        <w:ind w:firstLine="420" w:firstLineChars="200"/>
        <w:rPr>
          <w:rFonts w:ascii="宋体" w:hAnsi="宋体" w:cs="宋体"/>
          <w:szCs w:val="21"/>
        </w:rPr>
      </w:pPr>
      <w:r>
        <w:rPr>
          <w:rFonts w:hint="eastAsia" w:ascii="宋体" w:hAnsi="宋体" w:cs="宋体"/>
          <w:szCs w:val="21"/>
        </w:rPr>
        <w:t>1.2.</w:t>
      </w:r>
      <w:r>
        <w:rPr>
          <w:rFonts w:ascii="宋体" w:hAnsi="宋体" w:cs="宋体"/>
          <w:szCs w:val="21"/>
        </w:rPr>
        <w:t>2</w:t>
      </w:r>
      <w:r>
        <w:rPr>
          <w:rFonts w:hint="eastAsia" w:ascii="宋体" w:hAnsi="宋体" w:cs="宋体"/>
          <w:szCs w:val="21"/>
        </w:rPr>
        <w:t xml:space="preserve"> 标的数量：</w:t>
      </w:r>
      <w:r>
        <w:rPr>
          <w:rFonts w:hint="eastAsia" w:ascii="宋体" w:hAnsi="宋体" w:cs="宋体"/>
          <w:szCs w:val="21"/>
          <w:u w:val="single"/>
        </w:rPr>
        <w:t xml:space="preserve">按照招标文件                   </w:t>
      </w:r>
      <w:r>
        <w:rPr>
          <w:rFonts w:hint="eastAsia" w:ascii="宋体" w:hAnsi="宋体" w:cs="宋体"/>
          <w:szCs w:val="21"/>
        </w:rPr>
        <w:t>；</w:t>
      </w:r>
    </w:p>
    <w:p w14:paraId="1D4A4E35">
      <w:pPr>
        <w:spacing w:line="560" w:lineRule="exact"/>
        <w:ind w:firstLine="420" w:firstLineChars="200"/>
        <w:rPr>
          <w:rFonts w:ascii="宋体" w:hAnsi="宋体" w:cs="宋体"/>
          <w:szCs w:val="21"/>
        </w:rPr>
      </w:pPr>
      <w:r>
        <w:rPr>
          <w:rFonts w:hint="eastAsia" w:ascii="宋体" w:hAnsi="宋体" w:cs="宋体"/>
          <w:szCs w:val="21"/>
        </w:rPr>
        <w:t>1.2.</w:t>
      </w:r>
      <w:r>
        <w:rPr>
          <w:rFonts w:ascii="宋体" w:hAnsi="宋体" w:cs="宋体"/>
          <w:szCs w:val="21"/>
        </w:rPr>
        <w:t>3</w:t>
      </w:r>
      <w:r>
        <w:rPr>
          <w:rFonts w:hint="eastAsia" w:ascii="宋体" w:hAnsi="宋体" w:cs="宋体"/>
          <w:szCs w:val="21"/>
        </w:rPr>
        <w:t xml:space="preserve"> 标的质量：</w:t>
      </w:r>
      <w:r>
        <w:rPr>
          <w:rFonts w:hint="eastAsia" w:ascii="宋体" w:hAnsi="宋体" w:cs="宋体"/>
          <w:szCs w:val="21"/>
          <w:u w:val="single"/>
        </w:rPr>
        <w:t xml:space="preserve">按照招标文件                   </w:t>
      </w:r>
      <w:r>
        <w:rPr>
          <w:rFonts w:hint="eastAsia" w:ascii="宋体" w:hAnsi="宋体" w:cs="宋体"/>
          <w:szCs w:val="21"/>
        </w:rPr>
        <w:t>。</w:t>
      </w:r>
    </w:p>
    <w:p w14:paraId="1C183F2F">
      <w:pPr>
        <w:spacing w:line="560" w:lineRule="exact"/>
        <w:ind w:firstLine="422" w:firstLineChars="200"/>
        <w:outlineLvl w:val="0"/>
        <w:rPr>
          <w:rFonts w:ascii="宋体" w:hAnsi="宋体" w:cs="宋体"/>
          <w:b/>
          <w:szCs w:val="21"/>
        </w:rPr>
      </w:pPr>
      <w:bookmarkStart w:id="10" w:name="_Toc13918"/>
      <w:bookmarkStart w:id="11" w:name="_Toc21124"/>
      <w:bookmarkStart w:id="12" w:name="_Toc1386"/>
      <w:bookmarkStart w:id="13" w:name="_Toc5635"/>
      <w:bookmarkStart w:id="14" w:name="_Toc4929"/>
      <w:r>
        <w:rPr>
          <w:rFonts w:hint="eastAsia" w:ascii="宋体" w:hAnsi="宋体" w:cs="宋体"/>
          <w:b/>
          <w:szCs w:val="21"/>
        </w:rPr>
        <w:t>1.3 价款</w:t>
      </w:r>
      <w:bookmarkEnd w:id="10"/>
      <w:bookmarkEnd w:id="11"/>
      <w:bookmarkEnd w:id="12"/>
      <w:bookmarkEnd w:id="13"/>
      <w:bookmarkEnd w:id="14"/>
    </w:p>
    <w:tbl>
      <w:tblPr>
        <w:tblStyle w:val="11"/>
        <w:tblW w:w="378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7"/>
        <w:gridCol w:w="1629"/>
        <w:gridCol w:w="2147"/>
        <w:gridCol w:w="1590"/>
      </w:tblGrid>
      <w:tr w14:paraId="1B1C9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exact"/>
          <w:jc w:val="center"/>
        </w:trPr>
        <w:tc>
          <w:tcPr>
            <w:tcW w:w="836" w:type="pct"/>
            <w:tcBorders>
              <w:bottom w:val="single" w:color="auto" w:sz="4" w:space="0"/>
            </w:tcBorders>
            <w:vAlign w:val="center"/>
          </w:tcPr>
          <w:p w14:paraId="12505E1E">
            <w:pPr>
              <w:jc w:val="center"/>
              <w:rPr>
                <w:rFonts w:ascii="宋体" w:hAnsi="宋体" w:cs="宋体"/>
                <w:b/>
                <w:bCs/>
                <w:szCs w:val="21"/>
              </w:rPr>
            </w:pPr>
            <w:r>
              <w:rPr>
                <w:rFonts w:hint="eastAsia" w:ascii="宋体" w:hAnsi="宋体" w:cs="宋体"/>
                <w:b/>
                <w:bCs/>
                <w:szCs w:val="21"/>
              </w:rPr>
              <w:t>序号</w:t>
            </w:r>
          </w:p>
        </w:tc>
        <w:tc>
          <w:tcPr>
            <w:tcW w:w="1264" w:type="pct"/>
            <w:tcBorders>
              <w:bottom w:val="single" w:color="auto" w:sz="4" w:space="0"/>
              <w:right w:val="single" w:color="auto" w:sz="4" w:space="0"/>
            </w:tcBorders>
            <w:vAlign w:val="center"/>
          </w:tcPr>
          <w:p w14:paraId="40C2EA8E">
            <w:pPr>
              <w:jc w:val="center"/>
              <w:rPr>
                <w:rFonts w:ascii="宋体" w:hAnsi="宋体" w:cs="宋体"/>
                <w:b/>
                <w:bCs/>
                <w:szCs w:val="21"/>
              </w:rPr>
            </w:pPr>
            <w:r>
              <w:rPr>
                <w:rFonts w:hint="eastAsia" w:ascii="宋体" w:hAnsi="宋体" w:cs="宋体"/>
                <w:b/>
                <w:bCs/>
                <w:szCs w:val="21"/>
              </w:rPr>
              <w:t>项目内容</w:t>
            </w:r>
          </w:p>
        </w:tc>
        <w:tc>
          <w:tcPr>
            <w:tcW w:w="1665" w:type="pct"/>
            <w:tcBorders>
              <w:bottom w:val="single" w:color="auto" w:sz="4" w:space="0"/>
            </w:tcBorders>
            <w:vAlign w:val="center"/>
          </w:tcPr>
          <w:p w14:paraId="0E5D092A">
            <w:pPr>
              <w:jc w:val="center"/>
              <w:rPr>
                <w:rFonts w:ascii="宋体" w:hAnsi="宋体" w:cs="宋体"/>
                <w:b/>
                <w:bCs/>
                <w:szCs w:val="21"/>
              </w:rPr>
            </w:pPr>
          </w:p>
        </w:tc>
        <w:tc>
          <w:tcPr>
            <w:tcW w:w="1233" w:type="pct"/>
            <w:tcBorders>
              <w:bottom w:val="single" w:color="auto" w:sz="4" w:space="0"/>
            </w:tcBorders>
            <w:vAlign w:val="center"/>
          </w:tcPr>
          <w:p w14:paraId="1E1ABCEB">
            <w:pPr>
              <w:jc w:val="center"/>
              <w:rPr>
                <w:rFonts w:ascii="宋体" w:hAnsi="宋体" w:cs="宋体"/>
                <w:b/>
                <w:bCs/>
                <w:szCs w:val="21"/>
              </w:rPr>
            </w:pPr>
            <w:r>
              <w:rPr>
                <w:rFonts w:hint="eastAsia" w:ascii="宋体" w:hAnsi="宋体" w:cs="宋体"/>
                <w:b/>
                <w:bCs/>
                <w:szCs w:val="21"/>
              </w:rPr>
              <w:t>备注</w:t>
            </w:r>
          </w:p>
        </w:tc>
      </w:tr>
      <w:tr w14:paraId="2A35B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836" w:type="pct"/>
            <w:tcBorders>
              <w:left w:val="single" w:color="auto" w:sz="4" w:space="0"/>
            </w:tcBorders>
            <w:vAlign w:val="center"/>
          </w:tcPr>
          <w:p w14:paraId="525447C6">
            <w:pPr>
              <w:jc w:val="center"/>
              <w:rPr>
                <w:rFonts w:ascii="宋体" w:hAnsi="宋体" w:cs="宋体"/>
                <w:szCs w:val="21"/>
              </w:rPr>
            </w:pPr>
            <w:r>
              <w:rPr>
                <w:rFonts w:hint="eastAsia" w:ascii="宋体" w:hAnsi="宋体" w:cs="宋体"/>
                <w:szCs w:val="21"/>
              </w:rPr>
              <w:t>1</w:t>
            </w:r>
          </w:p>
        </w:tc>
        <w:tc>
          <w:tcPr>
            <w:tcW w:w="1264" w:type="pct"/>
            <w:tcBorders>
              <w:right w:val="single" w:color="auto" w:sz="4" w:space="0"/>
            </w:tcBorders>
            <w:vAlign w:val="center"/>
          </w:tcPr>
          <w:p w14:paraId="136A5C0F">
            <w:pPr>
              <w:pStyle w:val="10"/>
              <w:snapToGrid w:val="0"/>
              <w:spacing w:line="400" w:lineRule="exact"/>
              <w:jc w:val="center"/>
              <w:rPr>
                <w:rFonts w:hAnsi="宋体" w:cs="宋体"/>
                <w:szCs w:val="21"/>
              </w:rPr>
            </w:pPr>
          </w:p>
        </w:tc>
        <w:tc>
          <w:tcPr>
            <w:tcW w:w="1665" w:type="pct"/>
            <w:vAlign w:val="center"/>
          </w:tcPr>
          <w:p w14:paraId="3AE22EB7">
            <w:pPr>
              <w:jc w:val="center"/>
              <w:rPr>
                <w:rFonts w:ascii="宋体" w:hAnsi="宋体" w:cs="宋体"/>
                <w:szCs w:val="21"/>
              </w:rPr>
            </w:pPr>
          </w:p>
        </w:tc>
        <w:tc>
          <w:tcPr>
            <w:tcW w:w="1233" w:type="pct"/>
            <w:vAlign w:val="center"/>
          </w:tcPr>
          <w:p w14:paraId="213283F3">
            <w:pPr>
              <w:pStyle w:val="10"/>
              <w:snapToGrid w:val="0"/>
              <w:spacing w:line="400" w:lineRule="exact"/>
              <w:jc w:val="center"/>
              <w:rPr>
                <w:rFonts w:hAnsi="宋体" w:cs="宋体"/>
                <w:szCs w:val="21"/>
              </w:rPr>
            </w:pPr>
            <w:r>
              <w:rPr>
                <w:rFonts w:hint="eastAsia" w:hAnsi="宋体" w:cs="宋体"/>
                <w:szCs w:val="21"/>
              </w:rPr>
              <w:t>/</w:t>
            </w:r>
          </w:p>
        </w:tc>
      </w:tr>
    </w:tbl>
    <w:p w14:paraId="146D7F0F">
      <w:pPr>
        <w:pStyle w:val="18"/>
      </w:pPr>
      <w:r>
        <w:rPr>
          <w:rFonts w:hint="eastAsia"/>
        </w:rPr>
        <w:t>注：</w:t>
      </w:r>
      <w:r>
        <w:rPr>
          <w:rFonts w:hint="eastAsia" w:hAnsi="宋体" w:cs="宋体"/>
          <w:szCs w:val="21"/>
        </w:rPr>
        <w:t>该价款已包含服务、利润、税收等一切费用。</w:t>
      </w:r>
    </w:p>
    <w:p w14:paraId="51780606">
      <w:pPr>
        <w:spacing w:line="560" w:lineRule="exact"/>
        <w:ind w:firstLine="422" w:firstLineChars="200"/>
        <w:outlineLvl w:val="0"/>
        <w:rPr>
          <w:rFonts w:ascii="宋体" w:hAnsi="宋体" w:cs="宋体"/>
          <w:b/>
          <w:szCs w:val="21"/>
        </w:rPr>
      </w:pPr>
      <w:bookmarkStart w:id="15" w:name="_Toc3654"/>
      <w:bookmarkStart w:id="16" w:name="_Toc14993"/>
      <w:bookmarkStart w:id="17" w:name="_Toc30506"/>
      <w:bookmarkStart w:id="18" w:name="_Toc30158"/>
      <w:bookmarkStart w:id="19" w:name="_Toc26916"/>
      <w:r>
        <w:rPr>
          <w:rFonts w:hint="eastAsia" w:ascii="宋体" w:hAnsi="宋体" w:cs="宋体"/>
          <w:b/>
          <w:szCs w:val="21"/>
        </w:rPr>
        <w:t>1.4 付款方式和发票开具方式</w:t>
      </w:r>
      <w:bookmarkEnd w:id="15"/>
      <w:bookmarkEnd w:id="16"/>
      <w:bookmarkEnd w:id="17"/>
      <w:bookmarkEnd w:id="18"/>
      <w:bookmarkEnd w:id="19"/>
    </w:p>
    <w:p w14:paraId="078D1683">
      <w:pPr>
        <w:pStyle w:val="19"/>
        <w:spacing w:before="0" w:beforeAutospacing="0" w:after="0" w:afterAutospacing="0" w:line="360" w:lineRule="auto"/>
        <w:ind w:firstLine="480"/>
        <w:rPr>
          <w:sz w:val="21"/>
          <w:szCs w:val="21"/>
        </w:rPr>
      </w:pPr>
      <w:bookmarkStart w:id="20" w:name="_Toc4760"/>
      <w:bookmarkStart w:id="21" w:name="_Toc3625"/>
      <w:bookmarkStart w:id="22" w:name="_Toc11108"/>
      <w:bookmarkStart w:id="23" w:name="_Toc8772"/>
      <w:bookmarkStart w:id="24" w:name="_Toc31421"/>
      <w:r>
        <w:rPr>
          <w:rFonts w:hint="eastAsia"/>
          <w:sz w:val="21"/>
          <w:szCs w:val="21"/>
        </w:rPr>
        <w:t>1.4.1甲方应严格履行合同，及时支付约定款项。对于满足合同约定支付条件的，甲方自收到发票后10个工作日内将资金支付到合同约定的乙方账户，如遇寒暑假则顺延。</w:t>
      </w:r>
    </w:p>
    <w:p w14:paraId="5ACD164C">
      <w:pPr>
        <w:spacing w:line="360" w:lineRule="auto"/>
        <w:ind w:firstLine="420" w:firstLineChars="200"/>
        <w:rPr>
          <w:rFonts w:ascii="宋体" w:hAnsi="宋体" w:cs="宋体"/>
          <w:szCs w:val="21"/>
        </w:rPr>
      </w:pPr>
      <w:r>
        <w:rPr>
          <w:rFonts w:hint="eastAsia" w:ascii="宋体" w:hAnsi="宋体" w:cs="宋体"/>
          <w:szCs w:val="21"/>
        </w:rPr>
        <w:t>1.4.2甲方迟延支付乙方款项的，向乙方支付逾期利息。双方可以在合同专用条款中约定逾期利率；未作约定的，按照每日利率万分之三支付逾期利息。</w:t>
      </w:r>
    </w:p>
    <w:p w14:paraId="5F81B5D9">
      <w:pPr>
        <w:spacing w:line="560" w:lineRule="exact"/>
        <w:ind w:firstLine="420" w:firstLineChars="200"/>
        <w:outlineLvl w:val="0"/>
        <w:rPr>
          <w:rFonts w:ascii="宋体" w:hAnsi="宋体" w:cs="宋体"/>
          <w:szCs w:val="21"/>
        </w:rPr>
      </w:pPr>
      <w:r>
        <w:rPr>
          <w:rFonts w:hint="eastAsia" w:ascii="宋体" w:hAnsi="宋体" w:cs="宋体"/>
          <w:szCs w:val="21"/>
        </w:rPr>
        <w:t>1.4.3资金支付的方式、时间和条件详见</w:t>
      </w:r>
      <w:r>
        <w:rPr>
          <w:rFonts w:hint="eastAsia" w:ascii="宋体" w:hAnsi="宋体" w:cs="宋体"/>
          <w:b/>
          <w:i/>
          <w:szCs w:val="21"/>
          <w:u w:val="single"/>
        </w:rPr>
        <w:t>合同专用条款</w:t>
      </w:r>
      <w:r>
        <w:rPr>
          <w:rFonts w:hint="eastAsia" w:ascii="宋体" w:hAnsi="宋体" w:cs="宋体"/>
          <w:szCs w:val="21"/>
        </w:rPr>
        <w:t>。</w:t>
      </w:r>
    </w:p>
    <w:p w14:paraId="00850569">
      <w:pPr>
        <w:spacing w:line="560" w:lineRule="exact"/>
        <w:ind w:firstLine="422" w:firstLineChars="200"/>
        <w:outlineLvl w:val="0"/>
        <w:rPr>
          <w:rFonts w:ascii="宋体" w:hAnsi="宋体" w:cs="宋体"/>
          <w:b/>
          <w:szCs w:val="21"/>
        </w:rPr>
      </w:pPr>
      <w:r>
        <w:rPr>
          <w:rFonts w:hint="eastAsia" w:ascii="宋体" w:hAnsi="宋体" w:cs="宋体"/>
          <w:b/>
          <w:szCs w:val="21"/>
        </w:rPr>
        <w:t>1.5 履行期限、内容、地点和方式</w:t>
      </w:r>
      <w:bookmarkEnd w:id="20"/>
      <w:bookmarkEnd w:id="21"/>
      <w:bookmarkEnd w:id="22"/>
      <w:bookmarkEnd w:id="23"/>
      <w:bookmarkEnd w:id="24"/>
    </w:p>
    <w:p w14:paraId="2958C696">
      <w:pPr>
        <w:spacing w:line="560" w:lineRule="exact"/>
        <w:ind w:firstLine="420" w:firstLineChars="200"/>
        <w:rPr>
          <w:rFonts w:ascii="宋体" w:hAnsi="宋体" w:cs="宋体"/>
          <w:szCs w:val="21"/>
        </w:rPr>
      </w:pPr>
      <w:bookmarkStart w:id="25" w:name="_Toc3079"/>
      <w:bookmarkStart w:id="26" w:name="_Toc8586"/>
      <w:bookmarkStart w:id="27" w:name="_Toc5698"/>
      <w:bookmarkStart w:id="28" w:name="_Toc24662"/>
      <w:bookmarkStart w:id="29" w:name="_Toc2375"/>
      <w:r>
        <w:rPr>
          <w:rFonts w:hint="eastAsia" w:ascii="宋体" w:hAnsi="宋体" w:cs="宋体"/>
          <w:szCs w:val="21"/>
        </w:rPr>
        <w:t>1.5.1 履行期限：</w:t>
      </w:r>
      <w:r>
        <w:rPr>
          <w:rFonts w:hint="eastAsia" w:ascii="宋体" w:hAnsi="宋体" w:cs="宋体"/>
          <w:b/>
          <w:i/>
          <w:szCs w:val="21"/>
          <w:u w:val="single"/>
        </w:rPr>
        <w:t>合同专用条款</w:t>
      </w:r>
      <w:r>
        <w:rPr>
          <w:rFonts w:hint="eastAsia" w:ascii="宋体" w:hAnsi="宋体" w:cs="宋体"/>
          <w:szCs w:val="21"/>
        </w:rPr>
        <w:t>；</w:t>
      </w:r>
    </w:p>
    <w:p w14:paraId="1A2EFC79">
      <w:pPr>
        <w:spacing w:line="560" w:lineRule="exact"/>
        <w:ind w:firstLine="420" w:firstLineChars="200"/>
        <w:rPr>
          <w:rFonts w:ascii="宋体" w:hAnsi="宋体" w:cs="宋体"/>
          <w:szCs w:val="21"/>
        </w:rPr>
      </w:pPr>
      <w:r>
        <w:rPr>
          <w:rFonts w:hint="eastAsia" w:ascii="宋体" w:hAnsi="宋体" w:cs="宋体"/>
          <w:szCs w:val="21"/>
        </w:rPr>
        <w:t>1.5.2 履行内容：</w:t>
      </w:r>
      <w:r>
        <w:rPr>
          <w:rFonts w:hint="eastAsia" w:ascii="宋体" w:hAnsi="宋体" w:cs="宋体"/>
          <w:szCs w:val="21"/>
          <w:u w:val="single"/>
        </w:rPr>
        <w:t>按照</w:t>
      </w:r>
      <w:r>
        <w:rPr>
          <w:rFonts w:hint="eastAsia" w:ascii="宋体" w:hAnsi="宋体" w:cs="宋体"/>
          <w:szCs w:val="21"/>
          <w:u w:val="single"/>
          <w:lang w:val="en-US" w:eastAsia="zh-CN"/>
        </w:rPr>
        <w:t>采购</w:t>
      </w:r>
      <w:r>
        <w:rPr>
          <w:rFonts w:hint="eastAsia" w:ascii="宋体" w:hAnsi="宋体" w:cs="宋体"/>
          <w:szCs w:val="21"/>
          <w:u w:val="single"/>
        </w:rPr>
        <w:t>文件“采购需求”</w:t>
      </w:r>
      <w:r>
        <w:rPr>
          <w:rFonts w:hint="eastAsia" w:ascii="宋体" w:hAnsi="宋体" w:cs="宋体"/>
          <w:szCs w:val="21"/>
        </w:rPr>
        <w:t>；</w:t>
      </w:r>
    </w:p>
    <w:p w14:paraId="7D2BB3DE">
      <w:pPr>
        <w:spacing w:line="560" w:lineRule="exact"/>
        <w:ind w:firstLine="420" w:firstLineChars="200"/>
        <w:rPr>
          <w:rFonts w:ascii="宋体" w:hAnsi="宋体" w:cs="宋体"/>
          <w:szCs w:val="21"/>
        </w:rPr>
      </w:pPr>
      <w:r>
        <w:rPr>
          <w:rFonts w:hint="eastAsia" w:ascii="宋体" w:hAnsi="宋体" w:cs="宋体"/>
          <w:szCs w:val="21"/>
        </w:rPr>
        <w:t>1.5.3 履行地点：</w:t>
      </w:r>
      <w:r>
        <w:rPr>
          <w:rFonts w:hint="eastAsia" w:ascii="宋体" w:hAnsi="宋体" w:cs="宋体"/>
          <w:szCs w:val="21"/>
          <w:u w:val="single"/>
        </w:rPr>
        <w:t xml:space="preserve">甲方指定地点           </w:t>
      </w:r>
      <w:r>
        <w:rPr>
          <w:rFonts w:hint="eastAsia" w:ascii="宋体" w:hAnsi="宋体" w:cs="宋体"/>
          <w:szCs w:val="21"/>
        </w:rPr>
        <w:t>；</w:t>
      </w:r>
    </w:p>
    <w:p w14:paraId="2202E92B">
      <w:pPr>
        <w:spacing w:line="560" w:lineRule="exact"/>
        <w:ind w:firstLine="420" w:firstLineChars="200"/>
        <w:rPr>
          <w:rFonts w:ascii="宋体" w:hAnsi="宋体" w:cs="宋体"/>
          <w:szCs w:val="21"/>
        </w:rPr>
      </w:pPr>
      <w:r>
        <w:rPr>
          <w:rFonts w:hint="eastAsia" w:ascii="宋体" w:hAnsi="宋体" w:cs="宋体"/>
          <w:szCs w:val="21"/>
        </w:rPr>
        <w:t>1.5.4 履行方式：</w:t>
      </w:r>
      <w:r>
        <w:rPr>
          <w:rFonts w:hint="eastAsia" w:ascii="宋体" w:hAnsi="宋体" w:cs="宋体"/>
          <w:b/>
          <w:i/>
          <w:szCs w:val="21"/>
          <w:u w:val="single"/>
        </w:rPr>
        <w:t>合同专用条款</w:t>
      </w:r>
      <w:r>
        <w:rPr>
          <w:rFonts w:hint="eastAsia" w:ascii="宋体" w:hAnsi="宋体" w:cs="宋体"/>
          <w:szCs w:val="21"/>
        </w:rPr>
        <w:t>。</w:t>
      </w:r>
    </w:p>
    <w:p w14:paraId="3C3C2386">
      <w:pPr>
        <w:spacing w:line="560" w:lineRule="exact"/>
        <w:ind w:firstLine="422" w:firstLineChars="200"/>
        <w:outlineLvl w:val="0"/>
        <w:rPr>
          <w:rFonts w:ascii="宋体" w:hAnsi="宋体" w:cs="宋体"/>
          <w:szCs w:val="21"/>
          <w:u w:val="single"/>
        </w:rPr>
      </w:pPr>
      <w:r>
        <w:rPr>
          <w:rFonts w:hint="eastAsia" w:ascii="宋体" w:hAnsi="宋体" w:cs="宋体"/>
          <w:b/>
          <w:szCs w:val="21"/>
        </w:rPr>
        <w:t>1.6 违约责任</w:t>
      </w:r>
      <w:bookmarkEnd w:id="25"/>
      <w:bookmarkEnd w:id="26"/>
      <w:bookmarkEnd w:id="27"/>
      <w:bookmarkEnd w:id="28"/>
      <w:bookmarkEnd w:id="29"/>
    </w:p>
    <w:p w14:paraId="7CAD3550">
      <w:pPr>
        <w:spacing w:line="560" w:lineRule="exact"/>
        <w:ind w:firstLine="420" w:firstLineChars="200"/>
        <w:rPr>
          <w:rFonts w:ascii="宋体" w:hAnsi="宋体" w:cs="宋体"/>
          <w:szCs w:val="21"/>
        </w:rPr>
      </w:pPr>
      <w:bookmarkStart w:id="30" w:name="_Toc18683"/>
      <w:bookmarkStart w:id="31" w:name="_Toc9497"/>
      <w:bookmarkStart w:id="32" w:name="_Toc32454"/>
      <w:bookmarkStart w:id="33" w:name="_Toc30329"/>
      <w:bookmarkStart w:id="34" w:name="_Toc26807"/>
      <w:r>
        <w:rPr>
          <w:rFonts w:hint="eastAsia" w:ascii="宋体" w:hAnsi="宋体" w:cs="宋体"/>
          <w:szCs w:val="21"/>
        </w:rPr>
        <w:t>1.6.1 除不可抗力外，如果乙方没有按照本合同约定的期限、地点和方式履行，那么甲方可要求乙方支付违约金，每迟延履行一日违约金按合同总价款的万分之三计算，最高限额为本合同总价的</w:t>
      </w:r>
      <w:r>
        <w:rPr>
          <w:rFonts w:hint="eastAsia" w:ascii="宋体" w:hAnsi="宋体" w:cs="宋体"/>
          <w:szCs w:val="21"/>
          <w:u w:val="single"/>
        </w:rPr>
        <w:t>10</w:t>
      </w:r>
      <w:r>
        <w:rPr>
          <w:rFonts w:hint="eastAsia" w:ascii="宋体" w:hAnsi="宋体" w:cs="宋体"/>
          <w:szCs w:val="21"/>
        </w:rPr>
        <w:t>%；迟延履行达30日，甲方有权在要求乙方支付违约金的同时，书面通知乙方解除本合同；</w:t>
      </w:r>
    </w:p>
    <w:p w14:paraId="75E9385B">
      <w:pPr>
        <w:spacing w:line="560" w:lineRule="exact"/>
        <w:ind w:firstLine="420" w:firstLineChars="200"/>
        <w:rPr>
          <w:rFonts w:ascii="宋体" w:hAnsi="宋体" w:cs="宋体"/>
          <w:szCs w:val="21"/>
        </w:rPr>
      </w:pPr>
      <w:r>
        <w:rPr>
          <w:rFonts w:hint="eastAsia" w:ascii="宋体" w:hAnsi="宋体" w:cs="宋体"/>
          <w:szCs w:val="21"/>
        </w:rPr>
        <w:t>1.6.2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917F7A4">
      <w:pPr>
        <w:spacing w:line="560" w:lineRule="exact"/>
        <w:ind w:firstLine="420" w:firstLineChars="200"/>
        <w:rPr>
          <w:rFonts w:ascii="宋体" w:hAnsi="宋体" w:cs="宋体"/>
          <w:szCs w:val="21"/>
        </w:rPr>
      </w:pPr>
      <w:r>
        <w:rPr>
          <w:rFonts w:hint="eastAsia" w:ascii="宋体" w:hAnsi="宋体" w:cs="宋体"/>
          <w:szCs w:val="21"/>
        </w:rPr>
        <w:t>1.6.3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54DAACF">
      <w:pPr>
        <w:spacing w:line="560" w:lineRule="exact"/>
        <w:ind w:firstLine="420" w:firstLineChars="200"/>
        <w:rPr>
          <w:rFonts w:ascii="宋体" w:hAnsi="宋体" w:cs="宋体"/>
          <w:szCs w:val="21"/>
        </w:rPr>
      </w:pPr>
      <w:r>
        <w:rPr>
          <w:rFonts w:hint="eastAsia" w:ascii="宋体" w:hAnsi="宋体" w:cs="宋体"/>
          <w:szCs w:val="21"/>
        </w:rPr>
        <w:t>1.6.4 除前述约定和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47A4473">
      <w:pPr>
        <w:spacing w:line="560" w:lineRule="exact"/>
        <w:ind w:left="-420" w:leftChars="-200" w:right="-420" w:rightChars="-200" w:firstLine="840" w:firstLineChars="400"/>
        <w:rPr>
          <w:rFonts w:ascii="宋体" w:hAnsi="宋体" w:cs="宋体"/>
          <w:szCs w:val="21"/>
        </w:rPr>
      </w:pPr>
      <w:r>
        <w:rPr>
          <w:rFonts w:hint="eastAsia" w:ascii="宋体" w:hAnsi="宋体" w:cs="宋体"/>
          <w:szCs w:val="21"/>
        </w:rPr>
        <w:t>1.6.5 违约责任</w:t>
      </w:r>
      <w:r>
        <w:rPr>
          <w:rFonts w:hint="eastAsia" w:ascii="宋体" w:hAnsi="宋体" w:cs="宋体"/>
          <w:b/>
          <w:i/>
          <w:szCs w:val="21"/>
          <w:u w:val="single"/>
        </w:rPr>
        <w:t>合同专用条款</w:t>
      </w:r>
      <w:r>
        <w:rPr>
          <w:rFonts w:hint="eastAsia" w:ascii="宋体" w:hAnsi="宋体" w:cs="宋体"/>
          <w:szCs w:val="21"/>
        </w:rPr>
        <w:t>另有约定的，从其约定。</w:t>
      </w:r>
    </w:p>
    <w:p w14:paraId="74AC8961">
      <w:pPr>
        <w:spacing w:line="560" w:lineRule="exact"/>
        <w:ind w:firstLine="422" w:firstLineChars="200"/>
        <w:outlineLvl w:val="0"/>
        <w:rPr>
          <w:rFonts w:ascii="宋体" w:hAnsi="宋体" w:cs="宋体"/>
          <w:b/>
          <w:szCs w:val="21"/>
        </w:rPr>
      </w:pPr>
      <w:r>
        <w:rPr>
          <w:rFonts w:hint="eastAsia" w:ascii="宋体" w:hAnsi="宋体" w:cs="宋体"/>
          <w:b/>
          <w:szCs w:val="21"/>
        </w:rPr>
        <w:t>1.7 合同争议的解决</w:t>
      </w:r>
      <w:bookmarkEnd w:id="30"/>
      <w:bookmarkEnd w:id="31"/>
      <w:bookmarkEnd w:id="32"/>
      <w:bookmarkEnd w:id="33"/>
      <w:bookmarkEnd w:id="34"/>
    </w:p>
    <w:p w14:paraId="5FABB7DA">
      <w:pPr>
        <w:spacing w:line="560" w:lineRule="exact"/>
        <w:ind w:firstLine="420" w:firstLineChars="200"/>
        <w:rPr>
          <w:rFonts w:ascii="宋体" w:hAnsi="宋体" w:cs="宋体"/>
          <w:szCs w:val="21"/>
        </w:rPr>
      </w:pPr>
      <w:r>
        <w:rPr>
          <w:rFonts w:hint="eastAsia" w:ascii="宋体" w:hAnsi="宋体" w:cs="宋体"/>
          <w:szCs w:val="21"/>
        </w:rPr>
        <w:t>本合同履行过程中发生的任何争议，双方当事人均可通过和解或者调解解决；不愿和解、调解或者和解、调解不成的，任何一方可以向桐庐县人民法院起诉。违约方应补偿守约方的公证费、保全费、律师费、调查费、差旅费等为维权而支出的一切合理费用。</w:t>
      </w:r>
    </w:p>
    <w:p w14:paraId="2545AF2E">
      <w:pPr>
        <w:spacing w:line="560" w:lineRule="exact"/>
        <w:ind w:firstLine="422" w:firstLineChars="200"/>
        <w:outlineLvl w:val="0"/>
        <w:rPr>
          <w:rFonts w:ascii="宋体" w:hAnsi="宋体" w:cs="宋体"/>
          <w:b/>
          <w:szCs w:val="21"/>
        </w:rPr>
      </w:pPr>
      <w:bookmarkStart w:id="35" w:name="_Toc15827"/>
      <w:bookmarkStart w:id="36" w:name="_Toc16417"/>
      <w:bookmarkStart w:id="37" w:name="_Toc26227"/>
      <w:bookmarkStart w:id="38" w:name="_Toc12273"/>
      <w:bookmarkStart w:id="39" w:name="_Toc23784"/>
      <w:r>
        <w:rPr>
          <w:rFonts w:hint="eastAsia" w:ascii="宋体" w:hAnsi="宋体" w:cs="宋体"/>
          <w:b/>
          <w:szCs w:val="21"/>
        </w:rPr>
        <w:t>1.8 合同生效</w:t>
      </w:r>
      <w:bookmarkEnd w:id="35"/>
      <w:bookmarkEnd w:id="36"/>
      <w:bookmarkEnd w:id="37"/>
      <w:bookmarkEnd w:id="38"/>
      <w:bookmarkEnd w:id="39"/>
    </w:p>
    <w:p w14:paraId="0BA6C244">
      <w:pPr>
        <w:spacing w:line="560" w:lineRule="exact"/>
        <w:ind w:firstLine="420" w:firstLineChars="200"/>
        <w:rPr>
          <w:rFonts w:ascii="宋体" w:hAnsi="宋体" w:cs="宋体"/>
          <w:szCs w:val="21"/>
        </w:rPr>
      </w:pPr>
      <w:r>
        <w:rPr>
          <w:rFonts w:hint="eastAsia" w:ascii="宋体" w:hAnsi="宋体" w:cs="宋体"/>
          <w:szCs w:val="21"/>
        </w:rPr>
        <w:t>本合同由第一部分合同书、第二部分合同一般条款、第三部分合同专用条款构成。经双方法定代表人或授权代理人签字并盖章后生效。</w:t>
      </w:r>
    </w:p>
    <w:tbl>
      <w:tblPr>
        <w:tblStyle w:val="11"/>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4951"/>
      </w:tblGrid>
      <w:tr w14:paraId="64D1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vAlign w:val="center"/>
          </w:tcPr>
          <w:p w14:paraId="4663F6C0">
            <w:pPr>
              <w:snapToGrid w:val="0"/>
              <w:spacing w:before="120" w:after="120" w:line="360" w:lineRule="exact"/>
              <w:rPr>
                <w:rFonts w:ascii="宋体" w:hAnsi="宋体" w:cs="宋体"/>
                <w:szCs w:val="21"/>
              </w:rPr>
            </w:pPr>
            <w:r>
              <w:rPr>
                <w:rFonts w:hint="eastAsia" w:ascii="宋体" w:hAnsi="宋体" w:cs="宋体"/>
                <w:szCs w:val="21"/>
              </w:rPr>
              <w:t>甲方：浙江工商大学杭州商学院（章）</w:t>
            </w:r>
          </w:p>
        </w:tc>
        <w:tc>
          <w:tcPr>
            <w:tcW w:w="4951" w:type="dxa"/>
            <w:vAlign w:val="center"/>
          </w:tcPr>
          <w:p w14:paraId="37F10F20">
            <w:pPr>
              <w:snapToGrid w:val="0"/>
              <w:spacing w:before="120" w:after="120" w:line="360" w:lineRule="exact"/>
              <w:rPr>
                <w:rFonts w:ascii="宋体" w:hAnsi="宋体" w:cs="宋体"/>
                <w:szCs w:val="21"/>
              </w:rPr>
            </w:pPr>
            <w:r>
              <w:rPr>
                <w:rFonts w:hint="eastAsia" w:ascii="宋体" w:hAnsi="宋体" w:cs="宋体"/>
                <w:szCs w:val="21"/>
              </w:rPr>
              <w:t>乙方：  （章）</w:t>
            </w:r>
          </w:p>
        </w:tc>
      </w:tr>
      <w:tr w14:paraId="2442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vAlign w:val="center"/>
          </w:tcPr>
          <w:p w14:paraId="61A1A387">
            <w:pPr>
              <w:snapToGrid w:val="0"/>
              <w:spacing w:before="120" w:after="120" w:line="360" w:lineRule="exact"/>
              <w:rPr>
                <w:rFonts w:ascii="宋体" w:hAnsi="宋体" w:cs="宋体"/>
                <w:szCs w:val="21"/>
              </w:rPr>
            </w:pPr>
            <w:r>
              <w:rPr>
                <w:rFonts w:hint="eastAsia" w:ascii="宋体" w:hAnsi="宋体" w:cs="宋体"/>
                <w:szCs w:val="21"/>
              </w:rPr>
              <w:t>地址：杭州桐庐环城南路66号</w:t>
            </w:r>
          </w:p>
        </w:tc>
        <w:tc>
          <w:tcPr>
            <w:tcW w:w="4951" w:type="dxa"/>
            <w:vAlign w:val="center"/>
          </w:tcPr>
          <w:p w14:paraId="64C1DAE4">
            <w:pPr>
              <w:snapToGrid w:val="0"/>
              <w:spacing w:before="120" w:after="120" w:line="360" w:lineRule="exact"/>
              <w:rPr>
                <w:rFonts w:ascii="宋体" w:hAnsi="宋体" w:cs="宋体"/>
                <w:szCs w:val="21"/>
              </w:rPr>
            </w:pPr>
            <w:r>
              <w:rPr>
                <w:rFonts w:hint="eastAsia" w:ascii="宋体" w:hAnsi="宋体" w:cs="宋体"/>
                <w:szCs w:val="21"/>
              </w:rPr>
              <w:t>地址：</w:t>
            </w:r>
          </w:p>
        </w:tc>
      </w:tr>
      <w:tr w14:paraId="0CE6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vAlign w:val="center"/>
          </w:tcPr>
          <w:p w14:paraId="3EC4989E">
            <w:pPr>
              <w:snapToGrid w:val="0"/>
              <w:spacing w:before="120" w:after="120" w:line="360" w:lineRule="exact"/>
              <w:rPr>
                <w:rFonts w:ascii="宋体" w:hAnsi="宋体" w:cs="宋体"/>
                <w:szCs w:val="21"/>
              </w:rPr>
            </w:pPr>
            <w:r>
              <w:rPr>
                <w:rFonts w:hint="eastAsia" w:ascii="宋体" w:hAnsi="宋体" w:cs="宋体"/>
                <w:szCs w:val="21"/>
              </w:rPr>
              <w:t>法定（授权）代表人：</w:t>
            </w:r>
          </w:p>
        </w:tc>
        <w:tc>
          <w:tcPr>
            <w:tcW w:w="4951" w:type="dxa"/>
            <w:vAlign w:val="center"/>
          </w:tcPr>
          <w:p w14:paraId="7DC60472">
            <w:pPr>
              <w:snapToGrid w:val="0"/>
              <w:spacing w:before="120" w:after="120" w:line="360" w:lineRule="exact"/>
              <w:rPr>
                <w:rFonts w:ascii="宋体" w:hAnsi="宋体" w:cs="宋体"/>
                <w:szCs w:val="21"/>
              </w:rPr>
            </w:pPr>
            <w:r>
              <w:rPr>
                <w:rFonts w:hint="eastAsia" w:ascii="宋体" w:hAnsi="宋体" w:cs="宋体"/>
                <w:szCs w:val="21"/>
              </w:rPr>
              <w:t>法定（授权）代表人：</w:t>
            </w:r>
          </w:p>
        </w:tc>
      </w:tr>
      <w:tr w14:paraId="21C7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vAlign w:val="center"/>
          </w:tcPr>
          <w:p w14:paraId="71215C1D">
            <w:pPr>
              <w:snapToGrid w:val="0"/>
              <w:spacing w:before="120" w:after="120" w:line="360" w:lineRule="exact"/>
              <w:rPr>
                <w:rFonts w:ascii="宋体" w:hAnsi="宋体" w:cs="宋体"/>
                <w:szCs w:val="21"/>
              </w:rPr>
            </w:pPr>
            <w:r>
              <w:rPr>
                <w:rFonts w:hint="eastAsia" w:ascii="宋体" w:hAnsi="宋体" w:cs="宋体"/>
                <w:szCs w:val="21"/>
              </w:rPr>
              <w:t>开户银行：</w:t>
            </w:r>
          </w:p>
        </w:tc>
        <w:tc>
          <w:tcPr>
            <w:tcW w:w="4951" w:type="dxa"/>
            <w:vAlign w:val="center"/>
          </w:tcPr>
          <w:p w14:paraId="2B5E40DF">
            <w:pPr>
              <w:snapToGrid w:val="0"/>
              <w:spacing w:before="120" w:after="120" w:line="360" w:lineRule="exact"/>
              <w:rPr>
                <w:rFonts w:ascii="宋体" w:hAnsi="宋体" w:cs="宋体"/>
                <w:szCs w:val="21"/>
              </w:rPr>
            </w:pPr>
            <w:r>
              <w:rPr>
                <w:rFonts w:hint="eastAsia" w:ascii="宋体" w:hAnsi="宋体" w:cs="宋体"/>
                <w:szCs w:val="21"/>
              </w:rPr>
              <w:t>银行：</w:t>
            </w:r>
          </w:p>
        </w:tc>
      </w:tr>
      <w:tr w14:paraId="3804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vAlign w:val="center"/>
          </w:tcPr>
          <w:p w14:paraId="019EA032">
            <w:pPr>
              <w:snapToGrid w:val="0"/>
              <w:spacing w:before="120" w:after="120" w:line="360" w:lineRule="exact"/>
              <w:rPr>
                <w:rFonts w:ascii="宋体" w:hAnsi="宋体" w:cs="宋体"/>
                <w:szCs w:val="21"/>
              </w:rPr>
            </w:pPr>
            <w:r>
              <w:rPr>
                <w:rFonts w:hint="eastAsia" w:ascii="宋体" w:hAnsi="宋体" w:cs="宋体"/>
                <w:szCs w:val="21"/>
              </w:rPr>
              <w:t>账号：</w:t>
            </w:r>
          </w:p>
        </w:tc>
        <w:tc>
          <w:tcPr>
            <w:tcW w:w="4951" w:type="dxa"/>
            <w:vAlign w:val="center"/>
          </w:tcPr>
          <w:p w14:paraId="342B69B3">
            <w:pPr>
              <w:snapToGrid w:val="0"/>
              <w:spacing w:before="120" w:after="120" w:line="360" w:lineRule="exact"/>
              <w:rPr>
                <w:rFonts w:ascii="宋体" w:hAnsi="宋体" w:cs="宋体"/>
                <w:szCs w:val="21"/>
              </w:rPr>
            </w:pPr>
            <w:r>
              <w:rPr>
                <w:rFonts w:hint="eastAsia" w:ascii="宋体" w:hAnsi="宋体" w:cs="宋体"/>
                <w:szCs w:val="21"/>
              </w:rPr>
              <w:t>账号：</w:t>
            </w:r>
          </w:p>
        </w:tc>
      </w:tr>
      <w:tr w14:paraId="03FC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vAlign w:val="center"/>
          </w:tcPr>
          <w:p w14:paraId="7DEB0591">
            <w:pPr>
              <w:snapToGrid w:val="0"/>
              <w:spacing w:before="120" w:after="120" w:line="360" w:lineRule="exact"/>
              <w:rPr>
                <w:rFonts w:ascii="宋体" w:hAnsi="宋体" w:cs="宋体"/>
                <w:szCs w:val="21"/>
              </w:rPr>
            </w:pPr>
            <w:r>
              <w:rPr>
                <w:rFonts w:hint="eastAsia" w:ascii="宋体" w:hAnsi="宋体" w:cs="宋体"/>
                <w:szCs w:val="21"/>
              </w:rPr>
              <w:t>联系人：</w:t>
            </w:r>
          </w:p>
        </w:tc>
        <w:tc>
          <w:tcPr>
            <w:tcW w:w="4951" w:type="dxa"/>
            <w:vAlign w:val="center"/>
          </w:tcPr>
          <w:p w14:paraId="21B93A72">
            <w:pPr>
              <w:snapToGrid w:val="0"/>
              <w:spacing w:before="120" w:after="120" w:line="360" w:lineRule="exact"/>
              <w:rPr>
                <w:rFonts w:ascii="宋体" w:hAnsi="宋体" w:cs="宋体"/>
                <w:szCs w:val="21"/>
              </w:rPr>
            </w:pPr>
            <w:r>
              <w:rPr>
                <w:rFonts w:hint="eastAsia" w:ascii="宋体" w:hAnsi="宋体" w:cs="宋体"/>
                <w:szCs w:val="21"/>
              </w:rPr>
              <w:t>联系人：</w:t>
            </w:r>
          </w:p>
        </w:tc>
      </w:tr>
      <w:tr w14:paraId="4568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33" w:type="dxa"/>
            <w:gridSpan w:val="2"/>
            <w:vAlign w:val="center"/>
          </w:tcPr>
          <w:p w14:paraId="551C235A">
            <w:pPr>
              <w:snapToGrid w:val="0"/>
              <w:spacing w:before="120" w:after="120" w:line="360" w:lineRule="exact"/>
              <w:jc w:val="center"/>
              <w:rPr>
                <w:rFonts w:ascii="宋体" w:hAnsi="宋体" w:cs="宋体"/>
                <w:szCs w:val="21"/>
              </w:rPr>
            </w:pPr>
            <w:r>
              <w:rPr>
                <w:rFonts w:hint="eastAsia" w:ascii="宋体" w:hAnsi="宋体" w:cs="宋体"/>
                <w:szCs w:val="21"/>
              </w:rPr>
              <w:t xml:space="preserve">                                             签约日期：202 年  月  日</w:t>
            </w:r>
          </w:p>
        </w:tc>
      </w:tr>
    </w:tbl>
    <w:p w14:paraId="59F37F92">
      <w:pPr>
        <w:pStyle w:val="16"/>
        <w:spacing w:line="560" w:lineRule="exact"/>
        <w:ind w:left="0" w:firstLine="0"/>
        <w:jc w:val="center"/>
        <w:rPr>
          <w:rFonts w:ascii="宋体" w:hAnsi="宋体" w:cs="宋体"/>
          <w:b/>
          <w:sz w:val="21"/>
          <w:szCs w:val="21"/>
        </w:rPr>
      </w:pPr>
      <w:r>
        <w:rPr>
          <w:rFonts w:hint="eastAsia" w:ascii="宋体" w:hAnsi="宋体" w:cs="宋体"/>
          <w:b/>
          <w:sz w:val="21"/>
          <w:szCs w:val="21"/>
        </w:rPr>
        <w:t>第二部分 合同一般条款</w:t>
      </w:r>
    </w:p>
    <w:p w14:paraId="41951A14">
      <w:pPr>
        <w:spacing w:line="560" w:lineRule="exact"/>
        <w:ind w:firstLine="422" w:firstLineChars="200"/>
        <w:outlineLvl w:val="0"/>
        <w:rPr>
          <w:rFonts w:ascii="宋体" w:hAnsi="宋体" w:cs="宋体"/>
          <w:b/>
          <w:szCs w:val="21"/>
        </w:rPr>
      </w:pPr>
      <w:bookmarkStart w:id="40" w:name="_Ref467379225"/>
      <w:bookmarkStart w:id="41" w:name="_Toc31297"/>
      <w:bookmarkStart w:id="42" w:name="_Ref467379109"/>
      <w:bookmarkStart w:id="43" w:name="_Toc19680"/>
      <w:bookmarkStart w:id="44" w:name="_Ref467378463"/>
      <w:bookmarkStart w:id="45" w:name="_Toc14021"/>
      <w:bookmarkStart w:id="46" w:name="_Ref467379214"/>
      <w:bookmarkStart w:id="47" w:name="_Ref467379101"/>
      <w:bookmarkStart w:id="48" w:name="_Toc259093669"/>
      <w:bookmarkStart w:id="49" w:name="_Ref467378499"/>
      <w:bookmarkStart w:id="50" w:name="_Ref467378404"/>
      <w:bookmarkStart w:id="51" w:name="_Toc5228"/>
      <w:bookmarkStart w:id="52" w:name="_Toc487900349"/>
      <w:bookmarkStart w:id="53" w:name="_Toc25079"/>
      <w:bookmarkStart w:id="54" w:name="_Ref467379094"/>
      <w:bookmarkStart w:id="55" w:name="_Ref467379205"/>
      <w:bookmarkStart w:id="56" w:name="_Toc279701240"/>
      <w:bookmarkStart w:id="57" w:name="_Ref467379195"/>
      <w:r>
        <w:rPr>
          <w:rFonts w:hint="eastAsia" w:ascii="宋体" w:hAnsi="宋体" w:cs="宋体"/>
          <w:b/>
          <w:szCs w:val="21"/>
        </w:rPr>
        <w:t>2.1 定义</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B06481F">
      <w:pPr>
        <w:spacing w:line="560" w:lineRule="exact"/>
        <w:ind w:firstLine="420" w:firstLineChars="200"/>
        <w:rPr>
          <w:rFonts w:ascii="宋体" w:hAnsi="宋体" w:cs="宋体"/>
          <w:szCs w:val="21"/>
        </w:rPr>
      </w:pPr>
      <w:r>
        <w:rPr>
          <w:rFonts w:hint="eastAsia" w:ascii="宋体" w:hAnsi="宋体" w:cs="宋体"/>
          <w:szCs w:val="21"/>
        </w:rPr>
        <w:t>本合同中的下列词语应按以下内容进行解释：</w:t>
      </w:r>
    </w:p>
    <w:p w14:paraId="3B7E1DA3">
      <w:pPr>
        <w:spacing w:line="560" w:lineRule="exact"/>
        <w:ind w:firstLine="420" w:firstLineChars="200"/>
        <w:rPr>
          <w:rFonts w:ascii="宋体" w:hAnsi="宋体" w:cs="宋体"/>
          <w:szCs w:val="21"/>
        </w:rPr>
      </w:pPr>
      <w:r>
        <w:rPr>
          <w:rFonts w:hint="eastAsia" w:ascii="宋体" w:hAnsi="宋体" w:cs="宋体"/>
          <w:szCs w:val="21"/>
        </w:rPr>
        <w:t>2.1.1 “合同”系指采购人和中标供应商签订的载明双方当事人所达成的协议，并包括所有的附件、附录和构成合同的其他文件。</w:t>
      </w:r>
    </w:p>
    <w:p w14:paraId="4DCE185F">
      <w:pPr>
        <w:spacing w:line="560" w:lineRule="exact"/>
        <w:ind w:firstLine="420" w:firstLineChars="200"/>
        <w:rPr>
          <w:rFonts w:ascii="宋体" w:hAnsi="宋体" w:cs="宋体"/>
          <w:szCs w:val="21"/>
        </w:rPr>
      </w:pPr>
      <w:r>
        <w:rPr>
          <w:rFonts w:hint="eastAsia" w:ascii="宋体" w:hAnsi="宋体" w:cs="宋体"/>
          <w:szCs w:val="21"/>
        </w:rPr>
        <w:t>2.1.2 “合同价”系指根据合同约定，中标供应商在完全履行合同义务后，采购人应支付给中标供应商的价格。</w:t>
      </w:r>
    </w:p>
    <w:p w14:paraId="7362A771">
      <w:pPr>
        <w:spacing w:line="560" w:lineRule="exact"/>
        <w:ind w:firstLine="420" w:firstLineChars="200"/>
        <w:rPr>
          <w:rFonts w:ascii="宋体" w:hAnsi="宋体" w:cs="宋体"/>
          <w:szCs w:val="21"/>
        </w:rPr>
      </w:pPr>
      <w:r>
        <w:rPr>
          <w:rFonts w:hint="eastAsia" w:ascii="宋体" w:hAnsi="宋体" w:cs="宋体"/>
          <w:szCs w:val="21"/>
        </w:rPr>
        <w:t>2.1.3 “服务”系指中标供应商根据合同约定应向采购人履行的除货物和工程以外的其他政府采购对象，包括采购人自身需要的服务和向社会公众提供的公共服务。</w:t>
      </w:r>
    </w:p>
    <w:p w14:paraId="7B013FC5">
      <w:pPr>
        <w:spacing w:line="560" w:lineRule="exact"/>
        <w:ind w:firstLine="420" w:firstLineChars="200"/>
        <w:rPr>
          <w:rFonts w:ascii="宋体" w:hAnsi="宋体" w:cs="宋体"/>
          <w:szCs w:val="21"/>
        </w:rPr>
      </w:pPr>
      <w:bookmarkStart w:id="58" w:name="_Ref467378840"/>
      <w:r>
        <w:rPr>
          <w:rFonts w:hint="eastAsia" w:ascii="宋体" w:hAnsi="宋体" w:cs="宋体"/>
          <w:szCs w:val="21"/>
        </w:rPr>
        <w:t>2.1.4 “甲方”系指与中标供应商签署合同的采购人</w:t>
      </w:r>
      <w:bookmarkEnd w:id="58"/>
      <w:r>
        <w:rPr>
          <w:rFonts w:hint="eastAsia" w:ascii="宋体" w:hAnsi="宋体" w:cs="宋体"/>
          <w:szCs w:val="21"/>
        </w:rPr>
        <w:t>；采购人委托采购代理机构代表其与乙方签订合同的，采购人的授权委托书作为合同附件。</w:t>
      </w:r>
    </w:p>
    <w:p w14:paraId="75138C9D">
      <w:pPr>
        <w:spacing w:line="560" w:lineRule="exact"/>
        <w:ind w:firstLine="420" w:firstLineChars="200"/>
        <w:rPr>
          <w:rFonts w:ascii="宋体" w:hAnsi="宋体" w:cs="宋体"/>
          <w:szCs w:val="21"/>
        </w:rPr>
      </w:pPr>
      <w:bookmarkStart w:id="59" w:name="_Ref467379400"/>
      <w:r>
        <w:rPr>
          <w:rFonts w:hint="eastAsia" w:ascii="宋体" w:hAnsi="宋体" w:cs="宋体"/>
          <w:szCs w:val="21"/>
        </w:rPr>
        <w:t>2.1.5 “乙方”系指根据合同约定提供服务的中标供应商</w:t>
      </w:r>
      <w:bookmarkEnd w:id="59"/>
      <w:r>
        <w:rPr>
          <w:rFonts w:hint="eastAsia" w:ascii="宋体" w:hAnsi="宋体" w:cs="宋体"/>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F949A78">
      <w:pPr>
        <w:spacing w:line="560" w:lineRule="exact"/>
        <w:ind w:firstLine="420" w:firstLineChars="200"/>
        <w:rPr>
          <w:rFonts w:ascii="宋体" w:hAnsi="宋体" w:cs="宋体"/>
          <w:szCs w:val="21"/>
        </w:rPr>
      </w:pPr>
      <w:bookmarkStart w:id="60" w:name="_Ref467379436"/>
      <w:r>
        <w:rPr>
          <w:rFonts w:hint="eastAsia" w:ascii="宋体" w:hAnsi="宋体" w:cs="宋体"/>
          <w:szCs w:val="21"/>
        </w:rPr>
        <w:t>2.1.6 “现场”系指合同约定提供服务的地点。</w:t>
      </w:r>
      <w:bookmarkEnd w:id="60"/>
    </w:p>
    <w:p w14:paraId="1CA5B31B">
      <w:pPr>
        <w:spacing w:line="560" w:lineRule="exact"/>
        <w:ind w:firstLine="422" w:firstLineChars="200"/>
        <w:outlineLvl w:val="0"/>
        <w:rPr>
          <w:rFonts w:ascii="宋体" w:hAnsi="宋体" w:cs="宋体"/>
          <w:b/>
          <w:szCs w:val="21"/>
        </w:rPr>
      </w:pPr>
      <w:bookmarkStart w:id="61" w:name="_Toc279701241"/>
      <w:bookmarkStart w:id="62" w:name="_Toc3769"/>
      <w:bookmarkStart w:id="63" w:name="_Toc16752"/>
      <w:bookmarkStart w:id="64" w:name="_Toc259093670"/>
      <w:bookmarkStart w:id="65" w:name="_Toc19539"/>
      <w:bookmarkStart w:id="66" w:name="_Toc487900350"/>
      <w:bookmarkStart w:id="67" w:name="_Toc31402"/>
      <w:bookmarkStart w:id="68" w:name="_Toc23289"/>
      <w:r>
        <w:rPr>
          <w:rFonts w:hint="eastAsia" w:ascii="宋体" w:hAnsi="宋体" w:cs="宋体"/>
          <w:b/>
          <w:szCs w:val="21"/>
        </w:rPr>
        <w:t>2.2 技术规范</w:t>
      </w:r>
      <w:bookmarkEnd w:id="61"/>
      <w:bookmarkEnd w:id="62"/>
      <w:bookmarkEnd w:id="63"/>
      <w:bookmarkEnd w:id="64"/>
      <w:bookmarkEnd w:id="65"/>
      <w:bookmarkEnd w:id="66"/>
      <w:bookmarkEnd w:id="67"/>
      <w:bookmarkEnd w:id="68"/>
    </w:p>
    <w:p w14:paraId="14FDF71D">
      <w:pPr>
        <w:spacing w:line="560" w:lineRule="exact"/>
        <w:ind w:firstLine="420" w:firstLineChars="200"/>
        <w:rPr>
          <w:rFonts w:ascii="宋体" w:hAnsi="宋体" w:cs="宋体"/>
          <w:szCs w:val="21"/>
        </w:rPr>
      </w:pPr>
      <w:r>
        <w:rPr>
          <w:rFonts w:hint="eastAsia" w:ascii="宋体" w:hAnsi="宋体" w:cs="宋体"/>
          <w:szCs w:val="21"/>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B0C08D9">
      <w:pPr>
        <w:spacing w:line="560" w:lineRule="exact"/>
        <w:ind w:firstLine="422" w:firstLineChars="200"/>
        <w:outlineLvl w:val="0"/>
        <w:rPr>
          <w:rFonts w:ascii="宋体" w:hAnsi="宋体" w:cs="宋体"/>
          <w:b/>
          <w:szCs w:val="21"/>
        </w:rPr>
      </w:pPr>
      <w:bookmarkStart w:id="69" w:name="_Toc4133"/>
      <w:bookmarkStart w:id="70" w:name="_Toc13673"/>
      <w:bookmarkStart w:id="71" w:name="_Toc12412"/>
      <w:bookmarkStart w:id="72" w:name="_Toc279701242"/>
      <w:bookmarkStart w:id="73" w:name="_Toc9161"/>
      <w:bookmarkStart w:id="74" w:name="_Toc259093671"/>
      <w:bookmarkStart w:id="75" w:name="_Toc27945"/>
      <w:bookmarkStart w:id="76" w:name="_Toc487900351"/>
      <w:r>
        <w:rPr>
          <w:rFonts w:hint="eastAsia" w:ascii="宋体" w:hAnsi="宋体" w:cs="宋体"/>
          <w:b/>
          <w:szCs w:val="21"/>
        </w:rPr>
        <w:t>2.3 知识产权</w:t>
      </w:r>
      <w:bookmarkEnd w:id="69"/>
      <w:bookmarkEnd w:id="70"/>
      <w:bookmarkEnd w:id="71"/>
      <w:bookmarkEnd w:id="72"/>
      <w:bookmarkEnd w:id="73"/>
      <w:bookmarkEnd w:id="74"/>
      <w:bookmarkEnd w:id="75"/>
      <w:bookmarkEnd w:id="76"/>
    </w:p>
    <w:p w14:paraId="5D5ADB9A">
      <w:pPr>
        <w:spacing w:line="560" w:lineRule="exact"/>
        <w:ind w:firstLine="420" w:firstLineChars="200"/>
        <w:rPr>
          <w:rFonts w:ascii="宋体" w:hAnsi="宋体" w:cs="宋体"/>
          <w:szCs w:val="21"/>
        </w:rPr>
      </w:pPr>
      <w:r>
        <w:rPr>
          <w:rFonts w:hint="eastAsia" w:ascii="宋体" w:hAnsi="宋体" w:cs="宋体"/>
          <w:szCs w:val="21"/>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271F8A4">
      <w:pPr>
        <w:spacing w:line="560" w:lineRule="exact"/>
        <w:ind w:firstLine="420" w:firstLineChars="200"/>
        <w:rPr>
          <w:rFonts w:ascii="宋体" w:hAnsi="宋体" w:cs="宋体"/>
          <w:szCs w:val="21"/>
        </w:rPr>
      </w:pPr>
      <w:r>
        <w:rPr>
          <w:rFonts w:hint="eastAsia" w:ascii="宋体" w:hAnsi="宋体" w:cs="宋体"/>
          <w:szCs w:val="21"/>
        </w:rPr>
        <w:t>2.3.2 合同涉及技术成果的归属和收益的分成办法的，详见</w:t>
      </w:r>
      <w:r>
        <w:rPr>
          <w:rFonts w:hint="eastAsia" w:ascii="宋体" w:hAnsi="宋体" w:cs="宋体"/>
          <w:b/>
          <w:i/>
          <w:szCs w:val="21"/>
          <w:u w:val="single"/>
        </w:rPr>
        <w:t>合同专用条款</w:t>
      </w:r>
      <w:r>
        <w:rPr>
          <w:rFonts w:hint="eastAsia" w:ascii="宋体" w:hAnsi="宋体" w:cs="宋体"/>
          <w:szCs w:val="21"/>
        </w:rPr>
        <w:t>。</w:t>
      </w:r>
    </w:p>
    <w:p w14:paraId="51310F74">
      <w:pPr>
        <w:spacing w:line="560" w:lineRule="exact"/>
        <w:ind w:firstLine="422" w:firstLineChars="200"/>
        <w:rPr>
          <w:rFonts w:ascii="宋体" w:hAnsi="宋体" w:cs="宋体"/>
          <w:b/>
          <w:szCs w:val="21"/>
        </w:rPr>
      </w:pPr>
      <w:r>
        <w:rPr>
          <w:rFonts w:hint="eastAsia" w:ascii="宋体" w:hAnsi="宋体" w:cs="宋体"/>
          <w:b/>
          <w:szCs w:val="21"/>
        </w:rPr>
        <w:t>2.4 履约检查和问题反馈</w:t>
      </w:r>
    </w:p>
    <w:p w14:paraId="29D5864E">
      <w:pPr>
        <w:spacing w:line="560" w:lineRule="exact"/>
        <w:ind w:firstLine="420" w:firstLineChars="200"/>
        <w:rPr>
          <w:rFonts w:ascii="宋体" w:hAnsi="宋体" w:cs="宋体"/>
          <w:szCs w:val="21"/>
        </w:rPr>
      </w:pPr>
      <w:bookmarkStart w:id="77" w:name="_Ref467379657"/>
      <w:r>
        <w:rPr>
          <w:rFonts w:hint="eastAsia" w:ascii="宋体" w:hAnsi="宋体" w:cs="宋体"/>
          <w:szCs w:val="21"/>
        </w:rPr>
        <w:t>2.4.1</w:t>
      </w:r>
      <w:bookmarkEnd w:id="77"/>
      <w:bookmarkStart w:id="78" w:name="_Toc186431854"/>
      <w:bookmarkStart w:id="79" w:name="_Ref467379807"/>
      <w:bookmarkStart w:id="80" w:name="_Toc259093676"/>
      <w:bookmarkStart w:id="81" w:name="_Ref467379793"/>
      <w:bookmarkStart w:id="82" w:name="_Toc487900357"/>
      <w:bookmarkStart w:id="83" w:name="_Toc279701247"/>
      <w:r>
        <w:rPr>
          <w:rFonts w:hint="eastAsia" w:ascii="宋体" w:hAnsi="宋体" w:cs="宋体"/>
          <w:szCs w:val="21"/>
        </w:rPr>
        <w:t>甲方有权在其认为必要时，对乙方是否能够按照合同约定提供服务进行履约检查，以确保乙方所提供的服务能够依约满足甲方之项目需求，但不得因履约检查妨碍乙方的正常工作，乙方应予积极配合；</w:t>
      </w:r>
    </w:p>
    <w:p w14:paraId="067D5EEA">
      <w:pPr>
        <w:spacing w:line="560" w:lineRule="exact"/>
        <w:ind w:firstLine="420" w:firstLineChars="200"/>
        <w:rPr>
          <w:rFonts w:ascii="宋体" w:hAnsi="宋体" w:cs="宋体"/>
          <w:szCs w:val="21"/>
        </w:rPr>
      </w:pPr>
      <w:r>
        <w:rPr>
          <w:rFonts w:hint="eastAsia" w:ascii="宋体" w:hAnsi="宋体" w:cs="宋体"/>
          <w:szCs w:val="21"/>
        </w:rPr>
        <w:t>2.4.2 合同履行期间，甲方有权将履行过程中出现的问题反馈给乙方，双方当事人应以书面形式约定需要完善和改进的内容</w:t>
      </w:r>
      <w:bookmarkEnd w:id="78"/>
      <w:bookmarkStart w:id="84" w:name="_Toc186431855"/>
      <w:r>
        <w:rPr>
          <w:rFonts w:hint="eastAsia" w:ascii="宋体" w:hAnsi="宋体" w:cs="宋体"/>
          <w:szCs w:val="21"/>
        </w:rPr>
        <w:t>,乙方应在三天内做出改进方案，并经甲方审核确认.</w:t>
      </w:r>
    </w:p>
    <w:bookmarkEnd w:id="84"/>
    <w:p w14:paraId="2B60C172">
      <w:pPr>
        <w:spacing w:line="560" w:lineRule="exact"/>
        <w:ind w:firstLine="422" w:firstLineChars="200"/>
        <w:outlineLvl w:val="0"/>
        <w:rPr>
          <w:rFonts w:ascii="宋体" w:hAnsi="宋体" w:cs="宋体"/>
          <w:b/>
          <w:szCs w:val="21"/>
        </w:rPr>
      </w:pPr>
      <w:bookmarkStart w:id="85" w:name="_Toc22011"/>
      <w:bookmarkStart w:id="86" w:name="_Toc15447"/>
      <w:bookmarkStart w:id="87" w:name="_Toc26555"/>
      <w:bookmarkStart w:id="88" w:name="_Toc31233"/>
      <w:bookmarkStart w:id="89" w:name="_Toc32670"/>
      <w:r>
        <w:rPr>
          <w:rFonts w:hint="eastAsia" w:ascii="宋体" w:hAnsi="宋体" w:cs="宋体"/>
          <w:b/>
          <w:szCs w:val="21"/>
        </w:rPr>
        <w:t>2.5 结算方式和付款条件</w:t>
      </w:r>
      <w:bookmarkEnd w:id="79"/>
      <w:bookmarkEnd w:id="80"/>
      <w:bookmarkEnd w:id="81"/>
      <w:bookmarkEnd w:id="82"/>
      <w:bookmarkEnd w:id="83"/>
      <w:bookmarkEnd w:id="85"/>
      <w:bookmarkEnd w:id="86"/>
      <w:bookmarkEnd w:id="87"/>
      <w:bookmarkEnd w:id="88"/>
      <w:bookmarkEnd w:id="89"/>
    </w:p>
    <w:p w14:paraId="48A1F979">
      <w:pPr>
        <w:spacing w:line="560" w:lineRule="exact"/>
        <w:ind w:firstLine="420" w:firstLineChars="200"/>
        <w:rPr>
          <w:rFonts w:ascii="宋体" w:hAnsi="宋体" w:cs="宋体"/>
          <w:szCs w:val="21"/>
        </w:rPr>
      </w:pPr>
      <w:r>
        <w:rPr>
          <w:rFonts w:hint="eastAsia" w:ascii="宋体" w:hAnsi="宋体" w:cs="宋体"/>
          <w:szCs w:val="21"/>
        </w:rPr>
        <w:t>详见</w:t>
      </w:r>
      <w:r>
        <w:rPr>
          <w:rFonts w:hint="eastAsia" w:ascii="宋体" w:hAnsi="宋体" w:cs="宋体"/>
          <w:b/>
          <w:i/>
          <w:szCs w:val="21"/>
          <w:u w:val="single"/>
        </w:rPr>
        <w:t>1.4</w:t>
      </w:r>
      <w:r>
        <w:rPr>
          <w:rFonts w:hint="eastAsia" w:ascii="宋体" w:hAnsi="宋体" w:cs="宋体"/>
          <w:szCs w:val="21"/>
        </w:rPr>
        <w:t>。</w:t>
      </w:r>
    </w:p>
    <w:p w14:paraId="708DEEA5">
      <w:pPr>
        <w:spacing w:line="560" w:lineRule="exact"/>
        <w:ind w:firstLine="422" w:firstLineChars="200"/>
        <w:outlineLvl w:val="0"/>
        <w:rPr>
          <w:rFonts w:ascii="宋体" w:hAnsi="宋体" w:cs="宋体"/>
          <w:b/>
          <w:szCs w:val="21"/>
        </w:rPr>
      </w:pPr>
      <w:bookmarkStart w:id="90" w:name="_Ref467379863"/>
      <w:bookmarkStart w:id="91" w:name="_Ref467379923"/>
      <w:bookmarkStart w:id="92" w:name="_Toc259093677"/>
      <w:bookmarkStart w:id="93" w:name="_Toc487900358"/>
      <w:bookmarkStart w:id="94" w:name="_Ref467379852"/>
      <w:bookmarkStart w:id="95" w:name="_Toc279701248"/>
      <w:bookmarkStart w:id="96" w:name="_Toc18990"/>
      <w:bookmarkStart w:id="97" w:name="_Toc16163"/>
      <w:bookmarkStart w:id="98" w:name="_Toc13467"/>
      <w:bookmarkStart w:id="99" w:name="_Toc30507"/>
      <w:bookmarkStart w:id="100" w:name="_Toc13154"/>
      <w:r>
        <w:rPr>
          <w:rFonts w:hint="eastAsia" w:ascii="宋体" w:hAnsi="宋体" w:cs="宋体"/>
          <w:b/>
          <w:szCs w:val="21"/>
        </w:rPr>
        <w:t>2.6 技术资料</w:t>
      </w:r>
      <w:bookmarkEnd w:id="90"/>
      <w:bookmarkEnd w:id="91"/>
      <w:bookmarkEnd w:id="92"/>
      <w:bookmarkEnd w:id="93"/>
      <w:bookmarkEnd w:id="94"/>
      <w:bookmarkEnd w:id="95"/>
      <w:r>
        <w:rPr>
          <w:rFonts w:hint="eastAsia" w:ascii="宋体" w:hAnsi="宋体" w:cs="宋体"/>
          <w:b/>
          <w:szCs w:val="21"/>
        </w:rPr>
        <w:t>和保密义务</w:t>
      </w:r>
      <w:bookmarkEnd w:id="96"/>
      <w:bookmarkEnd w:id="97"/>
      <w:bookmarkEnd w:id="98"/>
      <w:bookmarkEnd w:id="99"/>
      <w:bookmarkEnd w:id="100"/>
    </w:p>
    <w:p w14:paraId="24662103">
      <w:pPr>
        <w:spacing w:line="560" w:lineRule="exact"/>
        <w:ind w:firstLine="420" w:firstLineChars="200"/>
        <w:rPr>
          <w:rFonts w:ascii="宋体" w:hAnsi="宋体" w:cs="宋体"/>
          <w:szCs w:val="21"/>
        </w:rPr>
      </w:pPr>
      <w:r>
        <w:rPr>
          <w:rFonts w:hint="eastAsia" w:ascii="宋体" w:hAnsi="宋体" w:cs="宋体"/>
          <w:szCs w:val="21"/>
        </w:rPr>
        <w:t>2.6.1 乙方有权依据合同约定和项目需要，向甲方了解有关情况，调阅有关资料等，甲方应予积极配合；</w:t>
      </w:r>
    </w:p>
    <w:p w14:paraId="5EC3FB93">
      <w:pPr>
        <w:spacing w:line="560" w:lineRule="exact"/>
        <w:ind w:firstLine="420" w:firstLineChars="200"/>
        <w:rPr>
          <w:rFonts w:ascii="宋体" w:hAnsi="宋体" w:cs="宋体"/>
          <w:szCs w:val="21"/>
        </w:rPr>
      </w:pPr>
      <w:r>
        <w:rPr>
          <w:rFonts w:hint="eastAsia" w:ascii="宋体" w:hAnsi="宋体" w:cs="宋体"/>
          <w:szCs w:val="21"/>
        </w:rPr>
        <w:t>2.6.2 乙方有义务妥善保管和保护由甲方提供的前款信息和资料等；</w:t>
      </w:r>
    </w:p>
    <w:p w14:paraId="0C19AA6B">
      <w:pPr>
        <w:spacing w:line="560" w:lineRule="exact"/>
        <w:ind w:firstLine="420" w:firstLineChars="200"/>
        <w:rPr>
          <w:rFonts w:ascii="宋体" w:hAnsi="宋体" w:cs="宋体"/>
          <w:szCs w:val="21"/>
        </w:rPr>
      </w:pPr>
      <w:r>
        <w:rPr>
          <w:rFonts w:hint="eastAsia" w:ascii="宋体" w:hAnsi="宋体" w:cs="宋体"/>
          <w:szCs w:val="21"/>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7AE7DF1">
      <w:pPr>
        <w:spacing w:line="560" w:lineRule="exact"/>
        <w:ind w:firstLine="422" w:firstLineChars="200"/>
        <w:outlineLvl w:val="0"/>
        <w:rPr>
          <w:rFonts w:ascii="宋体" w:hAnsi="宋体" w:cs="宋体"/>
          <w:b/>
          <w:szCs w:val="21"/>
        </w:rPr>
      </w:pPr>
      <w:bookmarkStart w:id="101" w:name="_Toc19069"/>
      <w:bookmarkStart w:id="102" w:name="_Toc259093681"/>
      <w:bookmarkStart w:id="103" w:name="_Toc279701252"/>
      <w:bookmarkStart w:id="104" w:name="_Toc487900362"/>
      <w:r>
        <w:rPr>
          <w:rFonts w:hint="eastAsia" w:ascii="宋体" w:hAnsi="宋体" w:cs="宋体"/>
          <w:b/>
          <w:szCs w:val="21"/>
        </w:rPr>
        <w:t>2.7 质量保证</w:t>
      </w:r>
      <w:bookmarkEnd w:id="101"/>
    </w:p>
    <w:p w14:paraId="5367E307">
      <w:pPr>
        <w:spacing w:line="560" w:lineRule="exact"/>
        <w:ind w:firstLine="420" w:firstLineChars="200"/>
        <w:rPr>
          <w:rFonts w:ascii="宋体" w:hAnsi="宋体" w:cs="宋体"/>
          <w:szCs w:val="21"/>
        </w:rPr>
      </w:pPr>
      <w:r>
        <w:rPr>
          <w:rFonts w:hint="eastAsia" w:ascii="宋体" w:hAnsi="宋体" w:cs="宋体"/>
          <w:szCs w:val="21"/>
        </w:rPr>
        <w:t>2.7.1 乙方应建立和完善履行合同的内部质量保证体系，并提供相关内部规章制度给甲方，以便甲方进行监督检查；</w:t>
      </w:r>
    </w:p>
    <w:p w14:paraId="50845CE1">
      <w:pPr>
        <w:spacing w:line="560" w:lineRule="exact"/>
        <w:ind w:firstLine="420" w:firstLineChars="200"/>
        <w:rPr>
          <w:rFonts w:ascii="宋体" w:hAnsi="宋体" w:cs="宋体"/>
          <w:szCs w:val="21"/>
        </w:rPr>
      </w:pPr>
      <w:r>
        <w:rPr>
          <w:rFonts w:hint="eastAsia" w:ascii="宋体" w:hAnsi="宋体" w:cs="宋体"/>
          <w:szCs w:val="21"/>
        </w:rPr>
        <w:t>2.7.2 乙方应保证履行合同的人员数量和素质、软件和硬件设备的配置、场地、环境和设施等满足全面履行合同的要求，并应接受甲方的监督检查。</w:t>
      </w:r>
    </w:p>
    <w:p w14:paraId="253214C4">
      <w:pPr>
        <w:spacing w:line="560" w:lineRule="exact"/>
        <w:ind w:firstLine="422" w:firstLineChars="200"/>
        <w:outlineLvl w:val="0"/>
        <w:rPr>
          <w:rFonts w:ascii="宋体" w:hAnsi="宋体" w:cs="宋体"/>
          <w:b/>
          <w:szCs w:val="21"/>
        </w:rPr>
      </w:pPr>
      <w:bookmarkStart w:id="105" w:name="_Toc22267"/>
      <w:r>
        <w:rPr>
          <w:rFonts w:hint="eastAsia" w:ascii="宋体" w:hAnsi="宋体" w:cs="宋体"/>
          <w:b/>
          <w:szCs w:val="21"/>
        </w:rPr>
        <w:t>2.8 延迟</w:t>
      </w:r>
      <w:bookmarkEnd w:id="102"/>
      <w:bookmarkEnd w:id="103"/>
      <w:bookmarkEnd w:id="104"/>
      <w:r>
        <w:rPr>
          <w:rFonts w:hint="eastAsia" w:ascii="宋体" w:hAnsi="宋体" w:cs="宋体"/>
          <w:b/>
          <w:szCs w:val="21"/>
        </w:rPr>
        <w:t>履行</w:t>
      </w:r>
      <w:bookmarkEnd w:id="105"/>
    </w:p>
    <w:p w14:paraId="5240E60B">
      <w:pPr>
        <w:spacing w:line="560" w:lineRule="exact"/>
        <w:ind w:firstLine="420" w:firstLineChars="200"/>
        <w:rPr>
          <w:rFonts w:ascii="宋体" w:hAnsi="宋体" w:cs="宋体"/>
          <w:szCs w:val="21"/>
        </w:rPr>
      </w:pPr>
      <w:r>
        <w:rPr>
          <w:rFonts w:hint="eastAsia" w:ascii="宋体" w:hAnsi="宋体" w:cs="宋体"/>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r>
        <w:rPr>
          <w:rFonts w:hint="eastAsia" w:cs="宋体"/>
          <w:szCs w:val="21"/>
        </w:rPr>
        <w:t>若乙方未提前通知甲方或甲方未同意延期，或乙方即使获得延期但仍未在延长期限内履行合同义务，则视为违约，</w:t>
      </w:r>
      <w:r>
        <w:rPr>
          <w:rFonts w:hint="eastAsia" w:cs="宋体"/>
          <w:kern w:val="0"/>
          <w:sz w:val="22"/>
          <w:szCs w:val="22"/>
          <w:u w:color="000000"/>
        </w:rPr>
        <w:t>甲方有权按照本合同1.6条的约定追究乙方的违约责任。</w:t>
      </w:r>
    </w:p>
    <w:p w14:paraId="348F6814">
      <w:pPr>
        <w:spacing w:line="560" w:lineRule="exact"/>
        <w:ind w:firstLine="422" w:firstLineChars="200"/>
        <w:outlineLvl w:val="0"/>
        <w:rPr>
          <w:rFonts w:ascii="宋体" w:hAnsi="宋体" w:cs="宋体"/>
          <w:b/>
          <w:szCs w:val="21"/>
        </w:rPr>
      </w:pPr>
      <w:bookmarkStart w:id="106" w:name="_Toc10611"/>
      <w:bookmarkStart w:id="107" w:name="_Toc279701254"/>
      <w:bookmarkStart w:id="108" w:name="_Toc487900364"/>
      <w:bookmarkStart w:id="109" w:name="_Ref467378121"/>
      <w:bookmarkStart w:id="110" w:name="_Toc259093683"/>
      <w:r>
        <w:rPr>
          <w:rFonts w:hint="eastAsia" w:ascii="宋体" w:hAnsi="宋体" w:cs="宋体"/>
          <w:b/>
          <w:szCs w:val="21"/>
        </w:rPr>
        <w:t>2.9 合同变更</w:t>
      </w:r>
      <w:bookmarkEnd w:id="106"/>
    </w:p>
    <w:p w14:paraId="6381C294">
      <w:pPr>
        <w:spacing w:line="560" w:lineRule="exact"/>
        <w:ind w:firstLine="420" w:firstLineChars="200"/>
        <w:rPr>
          <w:rFonts w:ascii="宋体" w:hAnsi="宋体" w:cs="宋体"/>
          <w:szCs w:val="21"/>
        </w:rPr>
      </w:pPr>
      <w:r>
        <w:rPr>
          <w:rFonts w:hint="eastAsia" w:ascii="宋体" w:hAnsi="宋体" w:cs="宋体"/>
          <w:szCs w:val="21"/>
        </w:rPr>
        <w:t>合同继续履行将损害国家利益和社会公共利益的，双方当事人应当以书面形式变更合同。有过错的一方应当承担赔偿责任，双方当事人都有过错的，各自承担相应的责任。</w:t>
      </w:r>
      <w:bookmarkStart w:id="111" w:name="_Toc259093688"/>
      <w:bookmarkStart w:id="112" w:name="_Toc279701259"/>
      <w:bookmarkStart w:id="113" w:name="_Toc487900369"/>
    </w:p>
    <w:p w14:paraId="4494CC38">
      <w:pPr>
        <w:spacing w:line="560" w:lineRule="exact"/>
        <w:ind w:firstLine="422" w:firstLineChars="200"/>
        <w:outlineLvl w:val="0"/>
        <w:rPr>
          <w:rFonts w:ascii="宋体" w:hAnsi="宋体" w:cs="宋体"/>
          <w:b/>
          <w:szCs w:val="21"/>
        </w:rPr>
      </w:pPr>
      <w:bookmarkStart w:id="114" w:name="_Toc26689"/>
      <w:bookmarkStart w:id="115" w:name="_Toc10663"/>
      <w:bookmarkStart w:id="116" w:name="_Toc42"/>
      <w:bookmarkStart w:id="117" w:name="_Toc21830"/>
      <w:bookmarkStart w:id="118" w:name="_Toc23368"/>
      <w:r>
        <w:rPr>
          <w:rFonts w:hint="eastAsia" w:ascii="宋体" w:hAnsi="宋体" w:cs="宋体"/>
          <w:b/>
          <w:szCs w:val="21"/>
        </w:rPr>
        <w:t>2.10 合同转让</w:t>
      </w:r>
      <w:bookmarkEnd w:id="111"/>
      <w:bookmarkEnd w:id="112"/>
      <w:bookmarkEnd w:id="113"/>
      <w:r>
        <w:rPr>
          <w:rFonts w:hint="eastAsia" w:ascii="宋体" w:hAnsi="宋体" w:cs="宋体"/>
          <w:b/>
          <w:szCs w:val="21"/>
        </w:rPr>
        <w:t>和分包</w:t>
      </w:r>
      <w:bookmarkEnd w:id="114"/>
      <w:bookmarkEnd w:id="115"/>
      <w:bookmarkEnd w:id="116"/>
      <w:bookmarkEnd w:id="117"/>
      <w:bookmarkEnd w:id="118"/>
    </w:p>
    <w:p w14:paraId="5A6CDA42">
      <w:pPr>
        <w:spacing w:line="560" w:lineRule="exact"/>
        <w:ind w:firstLine="420" w:firstLineChars="200"/>
        <w:rPr>
          <w:rFonts w:ascii="宋体" w:hAnsi="宋体" w:cs="宋体"/>
          <w:szCs w:val="21"/>
        </w:rPr>
      </w:pPr>
      <w:r>
        <w:rPr>
          <w:rFonts w:hint="eastAsia" w:ascii="宋体" w:hAnsi="宋体" w:cs="宋体"/>
          <w:szCs w:val="21"/>
        </w:rPr>
        <w:t>本项目不得转让和分包。</w:t>
      </w:r>
    </w:p>
    <w:p w14:paraId="631C38C5">
      <w:pPr>
        <w:spacing w:line="560" w:lineRule="exact"/>
        <w:ind w:firstLine="422" w:firstLineChars="200"/>
        <w:outlineLvl w:val="0"/>
        <w:rPr>
          <w:rFonts w:ascii="宋体" w:hAnsi="宋体" w:cs="宋体"/>
          <w:b/>
          <w:szCs w:val="21"/>
        </w:rPr>
      </w:pPr>
      <w:bookmarkStart w:id="119" w:name="_Toc32494"/>
      <w:bookmarkStart w:id="120" w:name="_Toc26633"/>
      <w:bookmarkStart w:id="121" w:name="_Toc4720"/>
      <w:bookmarkStart w:id="122" w:name="_Toc14371"/>
      <w:bookmarkStart w:id="123" w:name="_Toc25571"/>
      <w:r>
        <w:rPr>
          <w:rFonts w:hint="eastAsia" w:ascii="宋体" w:hAnsi="宋体" w:cs="宋体"/>
          <w:b/>
          <w:szCs w:val="21"/>
        </w:rPr>
        <w:t>2.11 不可抗力</w:t>
      </w:r>
      <w:bookmarkEnd w:id="119"/>
      <w:bookmarkEnd w:id="120"/>
      <w:bookmarkEnd w:id="121"/>
      <w:bookmarkEnd w:id="122"/>
      <w:bookmarkEnd w:id="123"/>
    </w:p>
    <w:p w14:paraId="4FEAD524">
      <w:pPr>
        <w:spacing w:line="560" w:lineRule="exact"/>
        <w:ind w:firstLine="420" w:firstLineChars="200"/>
        <w:rPr>
          <w:rFonts w:ascii="宋体" w:hAnsi="宋体" w:cs="宋体"/>
          <w:szCs w:val="21"/>
        </w:rPr>
      </w:pPr>
      <w:r>
        <w:rPr>
          <w:rFonts w:hint="eastAsia" w:ascii="宋体" w:hAnsi="宋体" w:cs="宋体"/>
          <w:szCs w:val="21"/>
        </w:rPr>
        <w:t>2.11.1如果任何一方遭遇法律规定的不可抗力，致使合同履行受阻时，履行合同的期限应予延长，延长的期限应相当于不可抗力所影响的时间；</w:t>
      </w:r>
    </w:p>
    <w:p w14:paraId="2C3BB55D">
      <w:pPr>
        <w:spacing w:line="560" w:lineRule="exact"/>
        <w:ind w:firstLine="420" w:firstLineChars="200"/>
        <w:rPr>
          <w:rFonts w:ascii="宋体" w:hAnsi="宋体" w:cs="宋体"/>
          <w:szCs w:val="21"/>
        </w:rPr>
      </w:pPr>
      <w:r>
        <w:rPr>
          <w:rFonts w:hint="eastAsia" w:ascii="宋体" w:hAnsi="宋体" w:cs="宋体"/>
          <w:szCs w:val="21"/>
        </w:rPr>
        <w:t>2.11.2 因不可抗力致使不能实现合同目的的，当事人可以解除合同；</w:t>
      </w:r>
    </w:p>
    <w:p w14:paraId="51E9ADAE">
      <w:pPr>
        <w:spacing w:line="560" w:lineRule="exact"/>
        <w:ind w:firstLine="420" w:firstLineChars="200"/>
        <w:rPr>
          <w:rFonts w:ascii="宋体" w:hAnsi="宋体" w:cs="宋体"/>
          <w:szCs w:val="21"/>
        </w:rPr>
      </w:pPr>
      <w:r>
        <w:rPr>
          <w:rFonts w:hint="eastAsia" w:ascii="宋体" w:hAnsi="宋体" w:cs="宋体"/>
          <w:szCs w:val="21"/>
        </w:rPr>
        <w:t>2.11.3 因不可抗力致使合同有变更必要的，双方当事人应在</w:t>
      </w:r>
      <w:r>
        <w:rPr>
          <w:rFonts w:hint="eastAsia" w:ascii="宋体" w:hAnsi="宋体" w:cs="宋体"/>
          <w:b/>
          <w:i/>
          <w:szCs w:val="21"/>
          <w:u w:val="single"/>
        </w:rPr>
        <w:t>合同专用条款</w:t>
      </w:r>
      <w:r>
        <w:rPr>
          <w:rFonts w:hint="eastAsia" w:ascii="宋体" w:hAnsi="宋体" w:cs="宋体"/>
          <w:szCs w:val="21"/>
        </w:rPr>
        <w:t>约定时间内以书面形式变更合同；</w:t>
      </w:r>
    </w:p>
    <w:p w14:paraId="4D6FEE46">
      <w:pPr>
        <w:spacing w:line="560" w:lineRule="exact"/>
        <w:ind w:firstLine="420" w:firstLineChars="200"/>
        <w:rPr>
          <w:rFonts w:ascii="宋体" w:hAnsi="宋体" w:cs="宋体"/>
          <w:szCs w:val="21"/>
        </w:rPr>
      </w:pPr>
      <w:r>
        <w:rPr>
          <w:rFonts w:hint="eastAsia" w:ascii="宋体" w:hAnsi="宋体" w:cs="宋体"/>
          <w:szCs w:val="21"/>
        </w:rPr>
        <w:t>2.11.4受不可抗力影响的一方在不可抗力发生后，应在</w:t>
      </w:r>
      <w:r>
        <w:rPr>
          <w:rFonts w:hint="eastAsia" w:ascii="宋体" w:hAnsi="宋体" w:cs="宋体"/>
          <w:b/>
          <w:i/>
          <w:szCs w:val="21"/>
          <w:u w:val="single"/>
        </w:rPr>
        <w:t>合同专用条款</w:t>
      </w:r>
      <w:r>
        <w:rPr>
          <w:rFonts w:hint="eastAsia" w:ascii="宋体" w:hAnsi="宋体" w:cs="宋体"/>
          <w:szCs w:val="21"/>
        </w:rPr>
        <w:t>约定时间内以书面形式通知对方当事人，并在</w:t>
      </w:r>
      <w:r>
        <w:rPr>
          <w:rFonts w:hint="eastAsia" w:ascii="宋体" w:hAnsi="宋体" w:cs="宋体"/>
          <w:b/>
          <w:i/>
          <w:szCs w:val="21"/>
          <w:u w:val="single"/>
        </w:rPr>
        <w:t>合同专用条款</w:t>
      </w:r>
      <w:r>
        <w:rPr>
          <w:rFonts w:hint="eastAsia" w:ascii="宋体" w:hAnsi="宋体" w:cs="宋体"/>
          <w:szCs w:val="21"/>
        </w:rPr>
        <w:t>约定时间内，将有关部门出具的证明文件送达对方当事人。</w:t>
      </w:r>
    </w:p>
    <w:p w14:paraId="371E5059">
      <w:pPr>
        <w:spacing w:line="560" w:lineRule="exact"/>
        <w:ind w:firstLine="420" w:firstLineChars="200"/>
        <w:rPr>
          <w:rFonts w:ascii="宋体" w:hAnsi="宋体" w:cs="宋体"/>
          <w:szCs w:val="21"/>
        </w:rPr>
      </w:pPr>
      <w:r>
        <w:rPr>
          <w:rFonts w:hint="eastAsia" w:ascii="宋体" w:hAnsi="宋体" w:cs="宋体"/>
          <w:szCs w:val="21"/>
        </w:rPr>
        <w:t>2.11.5 “不可抗力”指不能预见、不能避免和不能克服的客观情况，主要包括以下几种情形：</w:t>
      </w:r>
    </w:p>
    <w:p w14:paraId="35117D55">
      <w:pPr>
        <w:spacing w:line="560" w:lineRule="exact"/>
        <w:ind w:firstLine="420" w:firstLineChars="200"/>
        <w:rPr>
          <w:rFonts w:ascii="宋体" w:hAnsi="宋体" w:cs="宋体"/>
          <w:szCs w:val="21"/>
        </w:rPr>
      </w:pPr>
      <w:r>
        <w:rPr>
          <w:rFonts w:hint="eastAsia" w:ascii="宋体" w:hAnsi="宋体" w:cs="宋体"/>
          <w:szCs w:val="21"/>
        </w:rPr>
        <w:t>①自然灾害，如台风、洪水、地震等；</w:t>
      </w:r>
    </w:p>
    <w:p w14:paraId="12628304">
      <w:pPr>
        <w:spacing w:line="560" w:lineRule="exact"/>
        <w:ind w:firstLine="420" w:firstLineChars="200"/>
        <w:rPr>
          <w:rFonts w:ascii="宋体" w:hAnsi="宋体" w:cs="宋体"/>
          <w:szCs w:val="21"/>
        </w:rPr>
      </w:pPr>
      <w:r>
        <w:rPr>
          <w:rFonts w:hint="eastAsia" w:ascii="宋体" w:hAnsi="宋体" w:cs="宋体"/>
          <w:szCs w:val="21"/>
        </w:rPr>
        <w:t>②政府行为，如征收、征用等；</w:t>
      </w:r>
    </w:p>
    <w:p w14:paraId="554A961E">
      <w:pPr>
        <w:spacing w:line="560" w:lineRule="exact"/>
        <w:ind w:firstLine="420" w:firstLineChars="200"/>
        <w:rPr>
          <w:rFonts w:ascii="宋体" w:hAnsi="宋体" w:cs="宋体"/>
          <w:szCs w:val="21"/>
        </w:rPr>
      </w:pPr>
      <w:r>
        <w:rPr>
          <w:rFonts w:hint="eastAsia" w:ascii="宋体" w:hAnsi="宋体" w:cs="宋体"/>
          <w:szCs w:val="21"/>
        </w:rPr>
        <w:t>③社会异常事件，如罢工、骚乱、疫情等。</w:t>
      </w:r>
    </w:p>
    <w:p w14:paraId="58305666">
      <w:pPr>
        <w:spacing w:line="560" w:lineRule="exact"/>
        <w:ind w:firstLine="422" w:firstLineChars="200"/>
        <w:outlineLvl w:val="0"/>
        <w:rPr>
          <w:rFonts w:ascii="宋体" w:hAnsi="宋体" w:cs="宋体"/>
          <w:b/>
          <w:szCs w:val="21"/>
        </w:rPr>
      </w:pPr>
      <w:bookmarkStart w:id="124" w:name="_Toc25783"/>
      <w:bookmarkStart w:id="125" w:name="_Toc279701255"/>
      <w:bookmarkStart w:id="126" w:name="_Toc3638"/>
      <w:bookmarkStart w:id="127" w:name="_Toc14115"/>
      <w:bookmarkStart w:id="128" w:name="_Toc23854"/>
      <w:bookmarkStart w:id="129" w:name="_Toc487900365"/>
      <w:bookmarkStart w:id="130" w:name="_Toc24465"/>
      <w:bookmarkStart w:id="131" w:name="_Toc259093684"/>
      <w:r>
        <w:rPr>
          <w:rFonts w:hint="eastAsia" w:ascii="宋体" w:hAnsi="宋体" w:cs="宋体"/>
          <w:b/>
          <w:szCs w:val="21"/>
        </w:rPr>
        <w:t>2.12 税费</w:t>
      </w:r>
      <w:bookmarkEnd w:id="124"/>
      <w:bookmarkEnd w:id="125"/>
      <w:bookmarkEnd w:id="126"/>
      <w:bookmarkEnd w:id="127"/>
      <w:bookmarkEnd w:id="128"/>
      <w:bookmarkEnd w:id="129"/>
      <w:bookmarkEnd w:id="130"/>
      <w:bookmarkEnd w:id="131"/>
    </w:p>
    <w:p w14:paraId="057443A4">
      <w:pPr>
        <w:spacing w:line="560" w:lineRule="exact"/>
        <w:ind w:firstLine="420" w:firstLineChars="200"/>
        <w:rPr>
          <w:rFonts w:ascii="宋体" w:hAnsi="宋体" w:cs="宋体"/>
          <w:szCs w:val="21"/>
        </w:rPr>
      </w:pPr>
      <w:r>
        <w:rPr>
          <w:rFonts w:hint="eastAsia" w:ascii="宋体" w:hAnsi="宋体" w:cs="宋体"/>
          <w:szCs w:val="21"/>
        </w:rPr>
        <w:t>与合同有关的一切税费，均按照中华人民共和国法律的相关规定缴纳。</w:t>
      </w:r>
    </w:p>
    <w:p w14:paraId="2DA599BA">
      <w:pPr>
        <w:spacing w:line="560" w:lineRule="exact"/>
        <w:ind w:firstLine="422" w:firstLineChars="200"/>
        <w:outlineLvl w:val="0"/>
        <w:rPr>
          <w:rFonts w:ascii="宋体" w:hAnsi="宋体" w:cs="宋体"/>
          <w:b/>
          <w:szCs w:val="21"/>
        </w:rPr>
      </w:pPr>
      <w:bookmarkStart w:id="132" w:name="_Toc487900368"/>
      <w:bookmarkStart w:id="133" w:name="_Toc259093687"/>
      <w:bookmarkStart w:id="134" w:name="_Toc25525"/>
      <w:bookmarkStart w:id="135" w:name="_Toc30105"/>
      <w:bookmarkStart w:id="136" w:name="_Toc26883"/>
      <w:bookmarkStart w:id="137" w:name="_Toc14814"/>
      <w:bookmarkStart w:id="138" w:name="_Toc279701258"/>
      <w:bookmarkStart w:id="139" w:name="_Toc7315"/>
      <w:r>
        <w:rPr>
          <w:rFonts w:hint="eastAsia" w:ascii="宋体" w:hAnsi="宋体" w:cs="宋体"/>
          <w:b/>
          <w:szCs w:val="21"/>
        </w:rPr>
        <w:t>2.13 乙方破产</w:t>
      </w:r>
      <w:bookmarkEnd w:id="132"/>
      <w:bookmarkEnd w:id="133"/>
      <w:bookmarkEnd w:id="134"/>
      <w:bookmarkEnd w:id="135"/>
      <w:bookmarkEnd w:id="136"/>
      <w:bookmarkEnd w:id="137"/>
      <w:bookmarkEnd w:id="138"/>
      <w:bookmarkEnd w:id="139"/>
    </w:p>
    <w:p w14:paraId="598020DA">
      <w:pPr>
        <w:spacing w:line="560" w:lineRule="exact"/>
        <w:ind w:firstLine="420" w:firstLineChars="200"/>
        <w:rPr>
          <w:rFonts w:ascii="宋体" w:hAnsi="宋体" w:cs="宋体"/>
          <w:szCs w:val="21"/>
        </w:rPr>
      </w:pPr>
      <w:r>
        <w:rPr>
          <w:rFonts w:hint="eastAsia" w:ascii="宋体" w:hAnsi="宋体" w:cs="宋体"/>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2D48EBF">
      <w:pPr>
        <w:spacing w:line="560" w:lineRule="exact"/>
        <w:ind w:firstLine="422" w:firstLineChars="200"/>
        <w:outlineLvl w:val="0"/>
        <w:rPr>
          <w:rFonts w:ascii="宋体" w:hAnsi="宋体" w:cs="宋体"/>
          <w:b/>
          <w:szCs w:val="21"/>
        </w:rPr>
      </w:pPr>
      <w:bookmarkStart w:id="140" w:name="_Toc23323"/>
      <w:bookmarkStart w:id="141" w:name="_Toc1123"/>
      <w:bookmarkStart w:id="142" w:name="_Toc2016"/>
      <w:r>
        <w:rPr>
          <w:rFonts w:hint="eastAsia" w:ascii="宋体" w:hAnsi="宋体" w:cs="宋体"/>
          <w:b/>
          <w:szCs w:val="21"/>
        </w:rPr>
        <w:t>2.14 合同中止、终止</w:t>
      </w:r>
      <w:bookmarkEnd w:id="140"/>
      <w:bookmarkEnd w:id="141"/>
      <w:bookmarkEnd w:id="142"/>
    </w:p>
    <w:p w14:paraId="6D132E31">
      <w:pPr>
        <w:spacing w:line="560" w:lineRule="exact"/>
        <w:ind w:firstLine="420" w:firstLineChars="200"/>
        <w:rPr>
          <w:rFonts w:ascii="宋体" w:hAnsi="宋体" w:cs="宋体"/>
          <w:szCs w:val="21"/>
        </w:rPr>
      </w:pPr>
      <w:r>
        <w:rPr>
          <w:rFonts w:hint="eastAsia" w:ascii="宋体" w:hAnsi="宋体" w:cs="宋体"/>
          <w:szCs w:val="21"/>
        </w:rPr>
        <w:t>2.14.1 双方当事人不得擅自中止或者终止合同；</w:t>
      </w:r>
    </w:p>
    <w:p w14:paraId="0F961F04">
      <w:pPr>
        <w:spacing w:line="560" w:lineRule="exact"/>
        <w:ind w:firstLine="420" w:firstLineChars="200"/>
        <w:rPr>
          <w:rFonts w:ascii="宋体" w:hAnsi="宋体" w:cs="宋体"/>
          <w:szCs w:val="21"/>
        </w:rPr>
      </w:pPr>
      <w:r>
        <w:rPr>
          <w:rFonts w:hint="eastAsia" w:ascii="宋体" w:hAnsi="宋体" w:cs="宋体"/>
          <w:szCs w:val="21"/>
        </w:rPr>
        <w:t>2.14.2合同继续履行将损害国家利益和社会公共利益的，双方当事人应当中止或者终止合同。有过错的一方应当承担赔偿责任，双方当事人都有过错的，各自承担相应的责任。</w:t>
      </w:r>
    </w:p>
    <w:p w14:paraId="36A172DD">
      <w:pPr>
        <w:spacing w:line="560" w:lineRule="exact"/>
        <w:ind w:firstLine="422" w:firstLineChars="200"/>
        <w:outlineLvl w:val="0"/>
        <w:rPr>
          <w:rFonts w:ascii="宋体" w:hAnsi="宋体" w:cs="宋体"/>
          <w:b/>
          <w:szCs w:val="21"/>
        </w:rPr>
      </w:pPr>
      <w:bookmarkStart w:id="143" w:name="_Toc14525"/>
      <w:bookmarkStart w:id="144" w:name="_Toc1969"/>
      <w:bookmarkStart w:id="145" w:name="_Toc17363"/>
      <w:r>
        <w:rPr>
          <w:rFonts w:hint="eastAsia" w:ascii="宋体" w:hAnsi="宋体" w:cs="宋体"/>
          <w:b/>
          <w:szCs w:val="21"/>
        </w:rPr>
        <w:t>2.15 检验和验收</w:t>
      </w:r>
      <w:bookmarkEnd w:id="143"/>
      <w:bookmarkEnd w:id="144"/>
      <w:bookmarkEnd w:id="145"/>
    </w:p>
    <w:p w14:paraId="350B7599">
      <w:pPr>
        <w:tabs>
          <w:tab w:val="left" w:pos="360"/>
          <w:tab w:val="left" w:pos="540"/>
          <w:tab w:val="left" w:pos="1080"/>
        </w:tabs>
        <w:spacing w:line="560" w:lineRule="exact"/>
        <w:ind w:firstLine="420" w:firstLineChars="200"/>
        <w:rPr>
          <w:rFonts w:ascii="宋体" w:hAnsi="宋体" w:cs="宋体"/>
          <w:szCs w:val="21"/>
        </w:rPr>
      </w:pPr>
      <w:r>
        <w:rPr>
          <w:rFonts w:hint="eastAsia" w:ascii="宋体" w:hAnsi="宋体" w:cs="宋体"/>
          <w:szCs w:val="21"/>
        </w:rPr>
        <w:t>2.15.1 乙方按照</w:t>
      </w:r>
      <w:r>
        <w:rPr>
          <w:rFonts w:hint="eastAsia" w:ascii="宋体" w:hAnsi="宋体" w:cs="宋体"/>
          <w:b/>
          <w:i/>
          <w:szCs w:val="21"/>
          <w:u w:val="single"/>
        </w:rPr>
        <w:t>合同专用条款</w:t>
      </w:r>
      <w:r>
        <w:rPr>
          <w:rFonts w:hint="eastAsia" w:ascii="宋体" w:hAnsi="宋体" w:cs="宋体"/>
          <w:szCs w:val="21"/>
        </w:rPr>
        <w:t>的约定，定期提交服务报告，甲方按照</w:t>
      </w:r>
      <w:r>
        <w:rPr>
          <w:rFonts w:hint="eastAsia" w:ascii="宋体" w:hAnsi="宋体" w:cs="宋体"/>
          <w:b/>
          <w:i/>
          <w:szCs w:val="21"/>
          <w:u w:val="single"/>
        </w:rPr>
        <w:t>合同专用条款</w:t>
      </w:r>
      <w:r>
        <w:rPr>
          <w:rFonts w:hint="eastAsia" w:ascii="宋体" w:hAnsi="宋体" w:cs="宋体"/>
          <w:szCs w:val="21"/>
        </w:rPr>
        <w:t>的约定进行定期验收；</w:t>
      </w:r>
    </w:p>
    <w:p w14:paraId="4E3C774B">
      <w:pPr>
        <w:tabs>
          <w:tab w:val="left" w:pos="360"/>
          <w:tab w:val="left" w:pos="540"/>
          <w:tab w:val="left" w:pos="1080"/>
        </w:tabs>
        <w:spacing w:line="560" w:lineRule="exact"/>
        <w:ind w:firstLine="420" w:firstLineChars="200"/>
        <w:rPr>
          <w:rFonts w:ascii="宋体" w:hAnsi="宋体" w:cs="宋体"/>
          <w:szCs w:val="21"/>
        </w:rPr>
      </w:pPr>
      <w:r>
        <w:rPr>
          <w:rFonts w:hint="eastAsia" w:ascii="宋体" w:hAnsi="宋体" w:cs="宋体"/>
          <w:szCs w:val="21"/>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3678667">
      <w:pPr>
        <w:tabs>
          <w:tab w:val="left" w:pos="360"/>
          <w:tab w:val="left" w:pos="540"/>
          <w:tab w:val="left" w:pos="1080"/>
        </w:tabs>
        <w:spacing w:line="560" w:lineRule="exact"/>
        <w:ind w:firstLine="420" w:firstLineChars="200"/>
        <w:rPr>
          <w:rFonts w:ascii="宋体" w:hAnsi="宋体" w:cs="宋体"/>
          <w:szCs w:val="21"/>
        </w:rPr>
      </w:pPr>
      <w:r>
        <w:rPr>
          <w:rFonts w:hint="eastAsia" w:ascii="宋体" w:hAnsi="宋体" w:cs="宋体"/>
          <w:szCs w:val="21"/>
        </w:rPr>
        <w:t>2.15.3 检验和验收标准、程序等具体内容以及前述验收书的效力详见</w:t>
      </w:r>
      <w:r>
        <w:rPr>
          <w:rFonts w:hint="eastAsia" w:ascii="宋体" w:hAnsi="宋体" w:cs="宋体"/>
          <w:b/>
          <w:i/>
          <w:szCs w:val="21"/>
          <w:u w:val="single"/>
        </w:rPr>
        <w:t>合同专用条款</w:t>
      </w:r>
      <w:r>
        <w:rPr>
          <w:rFonts w:hint="eastAsia" w:ascii="宋体" w:hAnsi="宋体" w:cs="宋体"/>
          <w:i/>
          <w:szCs w:val="21"/>
        </w:rPr>
        <w:t>。</w:t>
      </w:r>
    </w:p>
    <w:bookmarkEnd w:id="107"/>
    <w:bookmarkEnd w:id="108"/>
    <w:bookmarkEnd w:id="109"/>
    <w:bookmarkEnd w:id="110"/>
    <w:p w14:paraId="358A7F57">
      <w:pPr>
        <w:spacing w:line="560" w:lineRule="exact"/>
        <w:ind w:firstLine="422" w:firstLineChars="200"/>
        <w:outlineLvl w:val="0"/>
        <w:rPr>
          <w:rFonts w:ascii="宋体" w:hAnsi="宋体" w:cs="宋体"/>
          <w:b/>
          <w:szCs w:val="21"/>
        </w:rPr>
      </w:pPr>
      <w:bookmarkStart w:id="146" w:name="_Toc279701261"/>
      <w:bookmarkStart w:id="147" w:name="_Toc487900371"/>
      <w:bookmarkStart w:id="148" w:name="_Toc259093690"/>
      <w:bookmarkStart w:id="149" w:name="_Toc9808"/>
      <w:bookmarkStart w:id="150" w:name="_Toc25198"/>
      <w:bookmarkStart w:id="151" w:name="_Toc31892"/>
      <w:bookmarkStart w:id="152" w:name="_Toc2308"/>
      <w:bookmarkStart w:id="153" w:name="_Toc12666"/>
      <w:r>
        <w:rPr>
          <w:rFonts w:hint="eastAsia" w:ascii="宋体" w:hAnsi="宋体" w:cs="宋体"/>
          <w:b/>
          <w:szCs w:val="21"/>
        </w:rPr>
        <w:t>2.16 通知</w:t>
      </w:r>
      <w:bookmarkEnd w:id="146"/>
      <w:bookmarkEnd w:id="147"/>
      <w:bookmarkEnd w:id="148"/>
      <w:r>
        <w:rPr>
          <w:rFonts w:hint="eastAsia" w:ascii="宋体" w:hAnsi="宋体" w:cs="宋体"/>
          <w:b/>
          <w:szCs w:val="21"/>
        </w:rPr>
        <w:t>和送达</w:t>
      </w:r>
      <w:bookmarkEnd w:id="149"/>
      <w:bookmarkEnd w:id="150"/>
      <w:bookmarkEnd w:id="151"/>
      <w:bookmarkEnd w:id="152"/>
      <w:bookmarkEnd w:id="153"/>
    </w:p>
    <w:p w14:paraId="7F38FB61">
      <w:pPr>
        <w:spacing w:line="560" w:lineRule="exact"/>
        <w:ind w:firstLine="420" w:firstLineChars="200"/>
        <w:rPr>
          <w:rFonts w:ascii="宋体" w:hAnsi="宋体" w:cs="宋体"/>
          <w:szCs w:val="21"/>
        </w:rPr>
      </w:pPr>
      <w:bookmarkStart w:id="154" w:name="_Toc6698"/>
      <w:bookmarkStart w:id="155" w:name="_Toc3135"/>
      <w:bookmarkStart w:id="156" w:name="_Toc27674"/>
      <w:bookmarkStart w:id="157" w:name="_Toc18401"/>
      <w:bookmarkStart w:id="158" w:name="_Toc487900372"/>
      <w:bookmarkStart w:id="159" w:name="_Toc279701262"/>
      <w:bookmarkStart w:id="160" w:name="_Toc259093691"/>
      <w:r>
        <w:rPr>
          <w:rFonts w:hint="eastAsia" w:ascii="宋体" w:hAnsi="宋体" w:cs="宋体"/>
          <w:szCs w:val="21"/>
        </w:rPr>
        <w:t>2.16.1任何一方因履行本合同而发出的所有通知、文件、材料，应以本合同第一部分尾部所列明的地址和联系方式送达对方。任何一方变更送达方式或地址的，应于3个工作日内以书面形式通知对方。在对方收到变更通知之前，原约定的送达方式和地址仍然有效。</w:t>
      </w:r>
      <w:bookmarkEnd w:id="154"/>
      <w:bookmarkEnd w:id="155"/>
    </w:p>
    <w:p w14:paraId="57F516EB">
      <w:pPr>
        <w:spacing w:line="560" w:lineRule="exact"/>
        <w:ind w:firstLine="420" w:firstLineChars="200"/>
        <w:rPr>
          <w:rFonts w:ascii="宋体" w:hAnsi="宋体" w:cs="宋体"/>
          <w:szCs w:val="21"/>
        </w:rPr>
      </w:pPr>
      <w:r>
        <w:rPr>
          <w:rFonts w:hint="eastAsia" w:ascii="宋体" w:hAnsi="宋体" w:cs="宋体"/>
          <w:szCs w:val="21"/>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6"/>
      <w:bookmarkEnd w:id="157"/>
    </w:p>
    <w:bookmarkEnd w:id="158"/>
    <w:bookmarkEnd w:id="159"/>
    <w:bookmarkEnd w:id="160"/>
    <w:p w14:paraId="4720ACE2">
      <w:pPr>
        <w:spacing w:line="560" w:lineRule="exact"/>
        <w:ind w:firstLine="422" w:firstLineChars="200"/>
        <w:outlineLvl w:val="0"/>
        <w:rPr>
          <w:rFonts w:ascii="宋体" w:hAnsi="宋体" w:cs="宋体"/>
          <w:b/>
          <w:szCs w:val="21"/>
        </w:rPr>
      </w:pPr>
      <w:bookmarkStart w:id="161" w:name="_Toc12254"/>
      <w:bookmarkStart w:id="162" w:name="_Toc259093692"/>
      <w:bookmarkStart w:id="163" w:name="_Toc5063"/>
      <w:bookmarkStart w:id="164" w:name="_Toc28906"/>
      <w:bookmarkStart w:id="165" w:name="_Toc20808"/>
      <w:bookmarkStart w:id="166" w:name="_Toc27644"/>
      <w:bookmarkStart w:id="167" w:name="_Toc279701263"/>
      <w:bookmarkStart w:id="168" w:name="_Toc487900373"/>
      <w:r>
        <w:rPr>
          <w:rFonts w:hint="eastAsia" w:ascii="宋体" w:hAnsi="宋体" w:cs="宋体"/>
          <w:b/>
          <w:szCs w:val="21"/>
        </w:rPr>
        <w:t>2.17 合同使用的文字和适用的法律</w:t>
      </w:r>
      <w:bookmarkEnd w:id="161"/>
      <w:bookmarkEnd w:id="162"/>
      <w:bookmarkEnd w:id="163"/>
      <w:bookmarkEnd w:id="164"/>
      <w:bookmarkEnd w:id="165"/>
      <w:bookmarkEnd w:id="166"/>
      <w:bookmarkEnd w:id="167"/>
      <w:bookmarkEnd w:id="168"/>
    </w:p>
    <w:p w14:paraId="3FD62431">
      <w:pPr>
        <w:spacing w:line="560" w:lineRule="exact"/>
        <w:ind w:firstLine="420" w:firstLineChars="200"/>
        <w:rPr>
          <w:rFonts w:ascii="宋体" w:hAnsi="宋体" w:cs="宋体"/>
          <w:szCs w:val="21"/>
        </w:rPr>
      </w:pPr>
      <w:r>
        <w:rPr>
          <w:rFonts w:hint="eastAsia" w:ascii="宋体" w:hAnsi="宋体" w:cs="宋体"/>
          <w:szCs w:val="21"/>
        </w:rPr>
        <w:t>2.17.1 合同使用汉语书就、变更和解释；</w:t>
      </w:r>
    </w:p>
    <w:p w14:paraId="4A786C74">
      <w:pPr>
        <w:spacing w:line="560" w:lineRule="exact"/>
        <w:ind w:firstLine="420" w:firstLineChars="200"/>
        <w:rPr>
          <w:rFonts w:ascii="宋体" w:hAnsi="宋体" w:cs="宋体"/>
          <w:szCs w:val="21"/>
        </w:rPr>
      </w:pPr>
      <w:r>
        <w:rPr>
          <w:rFonts w:hint="eastAsia" w:ascii="宋体" w:hAnsi="宋体" w:cs="宋体"/>
          <w:szCs w:val="21"/>
        </w:rPr>
        <w:t>2.17.2 合同适用中华人民共和国法律。</w:t>
      </w:r>
    </w:p>
    <w:p w14:paraId="077B10C7">
      <w:pPr>
        <w:spacing w:line="560" w:lineRule="exact"/>
        <w:ind w:firstLine="422" w:firstLineChars="200"/>
        <w:outlineLvl w:val="0"/>
        <w:rPr>
          <w:rFonts w:ascii="宋体" w:hAnsi="宋体" w:cs="宋体"/>
          <w:b/>
          <w:szCs w:val="21"/>
        </w:rPr>
      </w:pPr>
      <w:bookmarkStart w:id="169" w:name="_Toc30096"/>
      <w:bookmarkStart w:id="170" w:name="_Toc27127"/>
      <w:bookmarkStart w:id="171" w:name="_Toc27403"/>
      <w:bookmarkStart w:id="172" w:name="_Toc1492"/>
      <w:bookmarkStart w:id="173" w:name="_Toc22266"/>
      <w:bookmarkStart w:id="174" w:name="_Toc259093693"/>
      <w:bookmarkStart w:id="175" w:name="_Toc279701264"/>
      <w:bookmarkStart w:id="176" w:name="_Toc487900374"/>
      <w:r>
        <w:rPr>
          <w:rFonts w:hint="eastAsia" w:ascii="宋体" w:hAnsi="宋体" w:cs="宋体"/>
          <w:b/>
          <w:szCs w:val="21"/>
        </w:rPr>
        <w:t>2.18 履约保证金</w:t>
      </w:r>
      <w:bookmarkEnd w:id="169"/>
      <w:bookmarkEnd w:id="170"/>
      <w:bookmarkEnd w:id="171"/>
      <w:bookmarkEnd w:id="172"/>
      <w:bookmarkEnd w:id="173"/>
      <w:bookmarkEnd w:id="174"/>
      <w:bookmarkEnd w:id="175"/>
    </w:p>
    <w:p w14:paraId="28E11B5B">
      <w:pPr>
        <w:spacing w:line="560" w:lineRule="exact"/>
        <w:ind w:firstLine="420" w:firstLineChars="200"/>
        <w:rPr>
          <w:rFonts w:ascii="宋体" w:hAnsi="宋体" w:cs="宋体"/>
          <w:szCs w:val="21"/>
        </w:rPr>
      </w:pPr>
      <w:r>
        <w:rPr>
          <w:rFonts w:hint="eastAsia" w:ascii="宋体" w:hAnsi="宋体" w:cs="宋体"/>
          <w:szCs w:val="21"/>
        </w:rPr>
        <w:t>2.18.1乙方应于合同签订后交纳本合同履约保证金人民币    （¥    ）。履约保证金在合同服务期的规定存续期间不计息。若甲方认为乙方在服务期内没有涉及甲方的应付而未付金额或违约行为，甲方在服务期满后或提前终止合同后（非任何一方违约造成）一个月内全额退还履约保证金。签订合同后，如乙方不按双方合同约定履约，给甲方造成严重损失的，则甲方没收其全部履约保证金，如乙方未能按合同约定及采购需求全面履行义务，给甲方造成严重损失的，则甲方有权从履约保证金中取得补偿或赔偿，履约保证金不足以赔偿损失的，按实际损失赔偿，同时不影响甲方要求乙方承担合同约定的超过履约保证金的违约责任的权利。</w:t>
      </w:r>
    </w:p>
    <w:p w14:paraId="1982C595">
      <w:pPr>
        <w:spacing w:line="560" w:lineRule="exact"/>
        <w:ind w:firstLine="420" w:firstLineChars="200"/>
        <w:rPr>
          <w:rFonts w:ascii="宋体" w:hAnsi="宋体" w:cs="宋体"/>
          <w:szCs w:val="21"/>
        </w:rPr>
      </w:pPr>
      <w:r>
        <w:rPr>
          <w:rFonts w:hint="eastAsia" w:ascii="宋体" w:hAnsi="宋体" w:cs="宋体"/>
          <w:szCs w:val="21"/>
        </w:rPr>
        <w:t>2.18.2甲方有权从履约保证金中扣除用于发生安全事故或安全隐患情况、修复乙方损坏甲方的设备、设施、场地或因乙方违约（履约不力）而导致损失的金额和违约金，且乙方应在接到扣除履约保证金通知后一周内补足差额，保证服务期间履约保证金的完整。</w:t>
      </w:r>
    </w:p>
    <w:bookmarkEnd w:id="176"/>
    <w:p w14:paraId="5D1EAE1A">
      <w:pPr>
        <w:spacing w:line="560" w:lineRule="exact"/>
        <w:ind w:firstLine="422" w:firstLineChars="200"/>
        <w:rPr>
          <w:rFonts w:ascii="宋体" w:hAnsi="宋体" w:cs="宋体"/>
          <w:b/>
          <w:bCs/>
          <w:szCs w:val="21"/>
        </w:rPr>
      </w:pPr>
      <w:r>
        <w:rPr>
          <w:rFonts w:hint="eastAsia" w:ascii="宋体" w:hAnsi="宋体" w:cs="宋体"/>
          <w:b/>
          <w:bCs/>
          <w:szCs w:val="21"/>
        </w:rPr>
        <w:t>2.19合同份数</w:t>
      </w:r>
    </w:p>
    <w:p w14:paraId="011BA169">
      <w:pPr>
        <w:spacing w:line="560" w:lineRule="exact"/>
        <w:ind w:firstLine="420" w:firstLineChars="200"/>
        <w:rPr>
          <w:rFonts w:ascii="宋体" w:hAnsi="宋体" w:cs="宋体"/>
          <w:szCs w:val="21"/>
        </w:rPr>
      </w:pPr>
      <w:r>
        <w:rPr>
          <w:rFonts w:hint="eastAsia" w:ascii="宋体" w:hAnsi="宋体" w:cs="宋体"/>
          <w:szCs w:val="21"/>
        </w:rPr>
        <w:t>合同份数按</w:t>
      </w:r>
      <w:r>
        <w:rPr>
          <w:rFonts w:hint="eastAsia" w:ascii="宋体" w:hAnsi="宋体" w:cs="宋体"/>
          <w:b/>
          <w:i/>
          <w:szCs w:val="21"/>
          <w:u w:val="single"/>
        </w:rPr>
        <w:t>合同专用条款</w:t>
      </w:r>
      <w:r>
        <w:rPr>
          <w:rFonts w:hint="eastAsia" w:ascii="宋体" w:hAnsi="宋体" w:cs="宋体"/>
          <w:szCs w:val="21"/>
        </w:rPr>
        <w:t>规定，每份均具有同等法律效力。合同经双方法定代表人或授权代理人签字并盖章后生效。相关招标文件、投标文件及乙方的有关承诺作为本合同的组成部分，用以补充或解释本合同。</w:t>
      </w:r>
    </w:p>
    <w:p w14:paraId="60906C50">
      <w:pPr>
        <w:pStyle w:val="5"/>
        <w:rPr>
          <w:rFonts w:ascii="宋体" w:hAnsi="宋体" w:cs="宋体"/>
          <w:szCs w:val="21"/>
        </w:rPr>
      </w:pPr>
    </w:p>
    <w:p w14:paraId="5E4973BE">
      <w:pPr>
        <w:pStyle w:val="16"/>
        <w:spacing w:line="560" w:lineRule="exact"/>
        <w:ind w:firstLine="482"/>
        <w:jc w:val="center"/>
        <w:rPr>
          <w:rFonts w:ascii="宋体" w:hAnsi="宋体" w:cs="宋体"/>
          <w:b/>
          <w:sz w:val="21"/>
          <w:szCs w:val="21"/>
        </w:rPr>
      </w:pPr>
      <w:bookmarkStart w:id="177" w:name="_Toc331685784"/>
      <w:r>
        <w:rPr>
          <w:rFonts w:hint="eastAsia" w:ascii="宋体" w:hAnsi="宋体" w:cs="宋体"/>
          <w:b/>
          <w:sz w:val="21"/>
          <w:szCs w:val="21"/>
        </w:rPr>
        <w:t>第三部分  合同专用条款</w:t>
      </w:r>
      <w:bookmarkEnd w:id="177"/>
    </w:p>
    <w:p w14:paraId="36AEF9C0">
      <w:pPr>
        <w:spacing w:line="560" w:lineRule="exact"/>
        <w:ind w:firstLine="420" w:firstLineChars="200"/>
        <w:rPr>
          <w:rFonts w:ascii="宋体" w:hAnsi="宋体" w:cs="宋体"/>
          <w:szCs w:val="21"/>
        </w:rPr>
      </w:pPr>
      <w:r>
        <w:rPr>
          <w:rFonts w:hint="eastAsia" w:ascii="宋体" w:hAnsi="宋体" w:cs="宋体"/>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1"/>
        <w:tblW w:w="9845" w:type="dxa"/>
        <w:tblInd w:w="-78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6"/>
        <w:gridCol w:w="8809"/>
      </w:tblGrid>
      <w:tr w14:paraId="734F8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6" w:type="dxa"/>
            <w:tcBorders>
              <w:left w:val="single" w:color="auto" w:sz="4" w:space="0"/>
            </w:tcBorders>
            <w:vAlign w:val="center"/>
          </w:tcPr>
          <w:p w14:paraId="72D55BA6">
            <w:pPr>
              <w:spacing w:line="440" w:lineRule="exact"/>
              <w:jc w:val="center"/>
              <w:rPr>
                <w:rFonts w:ascii="宋体" w:hAnsi="宋体" w:cs="宋体"/>
                <w:b/>
                <w:szCs w:val="21"/>
              </w:rPr>
            </w:pPr>
            <w:r>
              <w:rPr>
                <w:rFonts w:hint="eastAsia" w:ascii="宋体" w:hAnsi="宋体" w:cs="宋体"/>
                <w:b/>
                <w:szCs w:val="21"/>
              </w:rPr>
              <w:t>条款号</w:t>
            </w:r>
          </w:p>
        </w:tc>
        <w:tc>
          <w:tcPr>
            <w:tcW w:w="8809" w:type="dxa"/>
            <w:vAlign w:val="center"/>
          </w:tcPr>
          <w:p w14:paraId="038D0FCD">
            <w:pPr>
              <w:spacing w:line="440" w:lineRule="exact"/>
              <w:jc w:val="center"/>
              <w:rPr>
                <w:rFonts w:ascii="宋体" w:hAnsi="宋体" w:cs="宋体"/>
                <w:b/>
                <w:szCs w:val="21"/>
              </w:rPr>
            </w:pPr>
            <w:r>
              <w:rPr>
                <w:rFonts w:hint="eastAsia" w:ascii="宋体" w:hAnsi="宋体" w:cs="宋体"/>
                <w:b/>
                <w:szCs w:val="21"/>
              </w:rPr>
              <w:t>约定内容</w:t>
            </w:r>
          </w:p>
        </w:tc>
      </w:tr>
      <w:tr w14:paraId="65BC9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6" w:type="dxa"/>
            <w:tcBorders>
              <w:left w:val="single" w:color="auto" w:sz="4" w:space="0"/>
            </w:tcBorders>
            <w:vAlign w:val="center"/>
          </w:tcPr>
          <w:p w14:paraId="5C49ECE5">
            <w:pPr>
              <w:spacing w:line="440" w:lineRule="exact"/>
              <w:rPr>
                <w:rFonts w:ascii="宋体" w:hAnsi="宋体" w:cs="宋体"/>
                <w:szCs w:val="21"/>
              </w:rPr>
            </w:pPr>
            <w:r>
              <w:rPr>
                <w:rFonts w:hint="eastAsia" w:ascii="宋体" w:hAnsi="宋体" w:cs="宋体"/>
                <w:szCs w:val="21"/>
              </w:rPr>
              <w:t>1.4.</w:t>
            </w:r>
            <w:r>
              <w:rPr>
                <w:rFonts w:ascii="宋体" w:hAnsi="宋体" w:cs="宋体"/>
                <w:szCs w:val="21"/>
              </w:rPr>
              <w:t>3</w:t>
            </w:r>
          </w:p>
        </w:tc>
        <w:tc>
          <w:tcPr>
            <w:tcW w:w="8809" w:type="dxa"/>
            <w:vAlign w:val="center"/>
          </w:tcPr>
          <w:p w14:paraId="247B06C3">
            <w:pPr>
              <w:widowControl/>
              <w:numPr>
                <w:ilvl w:val="0"/>
                <w:numId w:val="1"/>
              </w:numPr>
              <w:autoSpaceDE w:val="0"/>
              <w:autoSpaceDN w:val="0"/>
              <w:spacing w:line="440" w:lineRule="exact"/>
              <w:ind w:right="-53" w:rightChars="-25" w:firstLine="420" w:firstLineChars="200"/>
              <w:jc w:val="left"/>
              <w:textAlignment w:val="bottom"/>
              <w:rPr>
                <w:rFonts w:ascii="宋体" w:hAnsi="宋体" w:cs="宋体"/>
                <w:szCs w:val="21"/>
              </w:rPr>
            </w:pPr>
            <w:r>
              <w:rPr>
                <w:rFonts w:hint="eastAsia" w:ascii="宋体" w:hAnsi="宋体" w:cs="宋体"/>
                <w:szCs w:val="21"/>
              </w:rPr>
              <w:t xml:space="preserve">  。</w:t>
            </w:r>
          </w:p>
          <w:p w14:paraId="59FC76BB">
            <w:pPr>
              <w:widowControl/>
              <w:autoSpaceDE w:val="0"/>
              <w:autoSpaceDN w:val="0"/>
              <w:spacing w:line="440" w:lineRule="exact"/>
              <w:ind w:right="-53" w:rightChars="-25" w:firstLine="420" w:firstLineChars="200"/>
              <w:jc w:val="left"/>
              <w:textAlignment w:val="bottom"/>
              <w:rPr>
                <w:rFonts w:ascii="宋体" w:hAnsi="宋体" w:cs="宋体"/>
                <w:szCs w:val="21"/>
              </w:rPr>
            </w:pPr>
            <w:r>
              <w:rPr>
                <w:rFonts w:hint="eastAsia" w:ascii="宋体" w:hAnsi="宋体" w:cs="宋体"/>
                <w:szCs w:val="21"/>
              </w:rPr>
              <w:t>2.甲方在向乙方支付费用前，乙方应向甲方提供相应金额的全额正规发票，相关的一切税费均由乙方承担。</w:t>
            </w:r>
          </w:p>
        </w:tc>
      </w:tr>
      <w:tr w14:paraId="34964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36" w:type="dxa"/>
            <w:tcBorders>
              <w:left w:val="single" w:color="auto" w:sz="4" w:space="0"/>
            </w:tcBorders>
            <w:vAlign w:val="center"/>
          </w:tcPr>
          <w:p w14:paraId="07A91740">
            <w:pPr>
              <w:spacing w:line="440" w:lineRule="exact"/>
              <w:rPr>
                <w:rFonts w:ascii="宋体" w:hAnsi="宋体" w:cs="宋体"/>
                <w:szCs w:val="21"/>
              </w:rPr>
            </w:pPr>
            <w:r>
              <w:rPr>
                <w:rFonts w:hint="eastAsia" w:ascii="宋体" w:hAnsi="宋体" w:cs="宋体"/>
                <w:szCs w:val="21"/>
              </w:rPr>
              <w:t>1.5.1</w:t>
            </w:r>
          </w:p>
        </w:tc>
        <w:tc>
          <w:tcPr>
            <w:tcW w:w="8809" w:type="dxa"/>
            <w:vAlign w:val="center"/>
          </w:tcPr>
          <w:p w14:paraId="15E19D15">
            <w:pPr>
              <w:widowControl/>
              <w:autoSpaceDE w:val="0"/>
              <w:autoSpaceDN w:val="0"/>
              <w:snapToGrid w:val="0"/>
              <w:spacing w:line="440" w:lineRule="exact"/>
              <w:ind w:right="-53" w:rightChars="-25" w:firstLine="420" w:firstLineChars="200"/>
              <w:jc w:val="left"/>
              <w:textAlignment w:val="bottom"/>
              <w:rPr>
                <w:rFonts w:ascii="宋体" w:hAnsi="宋体" w:cs="宋体"/>
                <w:szCs w:val="21"/>
              </w:rPr>
            </w:pPr>
            <w:r>
              <w:rPr>
                <w:rFonts w:hint="eastAsia" w:ascii="宋体" w:hAnsi="宋体" w:cs="宋体"/>
                <w:szCs w:val="21"/>
              </w:rPr>
              <w:t>1.本项目服务期　　年，合同　　，本合同期限为　　　年（     ）。合同期内任何一方不得擅自终止或停止本合同（除法律规定的不可抗力情形、双方协商一致情形、一方违约致使守约方强制提前终止合同等情形以外），否则违约一方应承担所造成的一切损失。</w:t>
            </w:r>
          </w:p>
          <w:p w14:paraId="379461E0">
            <w:pPr>
              <w:widowControl/>
              <w:autoSpaceDE w:val="0"/>
              <w:autoSpaceDN w:val="0"/>
              <w:snapToGrid w:val="0"/>
              <w:spacing w:line="440" w:lineRule="exact"/>
              <w:ind w:right="-53" w:rightChars="-25" w:firstLine="420" w:firstLineChars="200"/>
              <w:jc w:val="left"/>
              <w:textAlignment w:val="bottom"/>
              <w:rPr>
                <w:rFonts w:ascii="宋体" w:hAnsi="宋体" w:cs="宋体"/>
                <w:szCs w:val="21"/>
              </w:rPr>
            </w:pPr>
            <w:r>
              <w:rPr>
                <w:rFonts w:hint="eastAsia" w:ascii="宋体" w:hAnsi="宋体" w:cs="宋体"/>
                <w:szCs w:val="21"/>
              </w:rPr>
              <w:t>2.</w:t>
            </w:r>
            <w:r>
              <w:rPr>
                <w:rFonts w:hint="eastAsia" w:ascii="宋体" w:hAnsi="宋体" w:cs="宋体"/>
                <w:bCs/>
                <w:szCs w:val="21"/>
              </w:rPr>
              <w:t>合同期内，乙方履约情况良好并通过甲方考核，经双方协商同意，合同可续签1次，续签服务期限最长不超过12个月，费用标准按本合同规定执行。合同期满双方若无续签意向或合同提前终止，乙方需继续服务至甲方该项目新一轮招标完成，以保障甲方正常教学秩序，延续服务期限最长不超过2个月，费用标准按本合同规定执行</w:t>
            </w:r>
            <w:r>
              <w:rPr>
                <w:rFonts w:hint="eastAsia" w:ascii="宋体" w:hAnsi="宋体" w:cs="宋体"/>
                <w:szCs w:val="21"/>
              </w:rPr>
              <w:t>。</w:t>
            </w:r>
          </w:p>
        </w:tc>
      </w:tr>
      <w:tr w14:paraId="5A25B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36" w:type="dxa"/>
            <w:tcBorders>
              <w:left w:val="single" w:color="auto" w:sz="4" w:space="0"/>
            </w:tcBorders>
            <w:vAlign w:val="center"/>
          </w:tcPr>
          <w:p w14:paraId="5587CF42">
            <w:pPr>
              <w:spacing w:line="440" w:lineRule="exact"/>
              <w:jc w:val="left"/>
              <w:rPr>
                <w:rFonts w:ascii="宋体" w:hAnsi="宋体" w:cs="宋体"/>
                <w:szCs w:val="21"/>
              </w:rPr>
            </w:pPr>
            <w:r>
              <w:rPr>
                <w:rFonts w:hint="eastAsia" w:ascii="宋体" w:hAnsi="宋体" w:cs="宋体"/>
                <w:szCs w:val="21"/>
              </w:rPr>
              <w:t>1.5.4</w:t>
            </w:r>
          </w:p>
        </w:tc>
        <w:tc>
          <w:tcPr>
            <w:tcW w:w="8809" w:type="dxa"/>
            <w:vAlign w:val="center"/>
          </w:tcPr>
          <w:p w14:paraId="4435A0B5">
            <w:pPr>
              <w:pStyle w:val="5"/>
              <w:numPr>
                <w:ilvl w:val="0"/>
                <w:numId w:val="2"/>
              </w:numPr>
              <w:spacing w:line="440" w:lineRule="exact"/>
              <w:ind w:firstLineChars="0"/>
              <w:rPr>
                <w:rFonts w:ascii="宋体" w:hAnsi="宋体" w:cs="宋体"/>
                <w:szCs w:val="21"/>
              </w:rPr>
            </w:pPr>
            <w:r>
              <w:rPr>
                <w:rFonts w:hint="eastAsia" w:ascii="宋体" w:hAnsi="宋体" w:cs="宋体"/>
                <w:szCs w:val="21"/>
              </w:rPr>
              <w:t>乙方对服务范围内的各项服务工作，其工作时间和工作标准要求必须满足甲方要求，若乙方不能达到要求，甲方将书面通知乙方整改，在规定时间内仍未按要求整改，甲方将负责完成这一工作，所需费用全部由乙方承担。如因乙方服务不善，造成严重失误，</w:t>
            </w:r>
            <w:r>
              <w:rPr>
                <w:rFonts w:hint="eastAsia" w:ascii="宋体" w:hAnsi="宋体" w:cs="宋体"/>
                <w:color w:val="000000"/>
                <w:szCs w:val="21"/>
              </w:rPr>
              <w:t>乙方应向甲方赔偿受损部分及承担因赔偿或名誉恢复所产生的一切费用和责任且</w:t>
            </w:r>
            <w:r>
              <w:rPr>
                <w:rFonts w:hint="eastAsia" w:ascii="宋体" w:hAnsi="宋体" w:cs="宋体"/>
                <w:szCs w:val="21"/>
              </w:rPr>
              <w:t>甲方有权解除合同。</w:t>
            </w:r>
          </w:p>
          <w:p w14:paraId="784FD9BE">
            <w:pPr>
              <w:pStyle w:val="5"/>
              <w:numPr>
                <w:ilvl w:val="0"/>
                <w:numId w:val="2"/>
              </w:numPr>
              <w:spacing w:line="440" w:lineRule="exact"/>
              <w:ind w:firstLineChars="0"/>
              <w:jc w:val="left"/>
              <w:rPr>
                <w:rFonts w:ascii="宋体" w:hAnsi="宋体" w:cs="宋体"/>
                <w:szCs w:val="21"/>
              </w:rPr>
            </w:pPr>
            <w:r>
              <w:rPr>
                <w:rFonts w:hint="eastAsia" w:ascii="宋体" w:hAnsi="宋体" w:cs="宋体"/>
                <w:szCs w:val="21"/>
              </w:rPr>
              <w:t>乙方必须确保为甲方提供优质、高效的专业服务，并根据甲方要求改进服务质量。乙方须自觉接受有关部门的监督与检查，并积极参加甲方认为有助提高甲方形象的宣传活动。</w:t>
            </w:r>
          </w:p>
          <w:p w14:paraId="6A85BAC7">
            <w:pPr>
              <w:pStyle w:val="5"/>
              <w:numPr>
                <w:ilvl w:val="0"/>
                <w:numId w:val="2"/>
              </w:numPr>
              <w:spacing w:line="440" w:lineRule="exact"/>
              <w:ind w:firstLineChars="0"/>
              <w:jc w:val="left"/>
              <w:rPr>
                <w:rFonts w:ascii="宋体" w:hAnsi="宋体" w:cs="宋体"/>
                <w:szCs w:val="21"/>
              </w:rPr>
            </w:pPr>
            <w:r>
              <w:rPr>
                <w:rFonts w:hint="eastAsia" w:ascii="宋体" w:hAnsi="宋体" w:cs="宋体"/>
                <w:szCs w:val="21"/>
              </w:rPr>
              <w:t>招标文件中所标注的各项需求及要求，乙方均应按要求实质性响应。</w:t>
            </w:r>
          </w:p>
          <w:p w14:paraId="1F5A7991">
            <w:pPr>
              <w:pStyle w:val="5"/>
              <w:numPr>
                <w:ilvl w:val="0"/>
                <w:numId w:val="2"/>
              </w:numPr>
              <w:spacing w:line="440" w:lineRule="exact"/>
              <w:ind w:firstLineChars="0"/>
              <w:jc w:val="left"/>
              <w:rPr>
                <w:rFonts w:ascii="宋体" w:hAnsi="宋体" w:cs="宋体"/>
                <w:szCs w:val="21"/>
              </w:rPr>
            </w:pPr>
            <w:r>
              <w:rPr>
                <w:rFonts w:hint="eastAsia" w:ascii="宋体" w:hAnsi="宋体" w:cs="宋体"/>
                <w:szCs w:val="21"/>
              </w:rPr>
              <w:t>甲乙双方应自觉履行招标文件中的有关于采购人、中标人的权利与义务等条款。</w:t>
            </w:r>
          </w:p>
        </w:tc>
      </w:tr>
      <w:tr w14:paraId="1F7D1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36" w:type="dxa"/>
            <w:tcBorders>
              <w:left w:val="single" w:color="auto" w:sz="4" w:space="0"/>
            </w:tcBorders>
            <w:vAlign w:val="center"/>
          </w:tcPr>
          <w:p w14:paraId="6BC4E493">
            <w:pPr>
              <w:spacing w:line="440" w:lineRule="exact"/>
              <w:rPr>
                <w:rFonts w:ascii="宋体" w:hAnsi="宋体" w:cs="宋体"/>
                <w:szCs w:val="21"/>
              </w:rPr>
            </w:pPr>
            <w:r>
              <w:rPr>
                <w:rFonts w:hint="eastAsia" w:ascii="宋体" w:hAnsi="宋体" w:cs="宋体"/>
                <w:szCs w:val="21"/>
              </w:rPr>
              <w:t>1</w:t>
            </w:r>
            <w:r>
              <w:rPr>
                <w:rFonts w:ascii="宋体" w:hAnsi="宋体" w:cs="宋体"/>
                <w:szCs w:val="21"/>
              </w:rPr>
              <w:t>.6.</w:t>
            </w:r>
            <w:r>
              <w:rPr>
                <w:rFonts w:hint="eastAsia" w:ascii="宋体" w:hAnsi="宋体" w:cs="宋体"/>
                <w:szCs w:val="21"/>
              </w:rPr>
              <w:t>5</w:t>
            </w:r>
          </w:p>
        </w:tc>
        <w:tc>
          <w:tcPr>
            <w:tcW w:w="8809" w:type="dxa"/>
            <w:vAlign w:val="center"/>
          </w:tcPr>
          <w:p w14:paraId="21508736">
            <w:pPr>
              <w:spacing w:line="440" w:lineRule="exact"/>
              <w:ind w:firstLine="420" w:firstLineChars="200"/>
              <w:jc w:val="left"/>
              <w:rPr>
                <w:rFonts w:ascii="宋体" w:hAnsi="宋体" w:cs="宋体"/>
                <w:szCs w:val="21"/>
              </w:rPr>
            </w:pPr>
            <w:r>
              <w:rPr>
                <w:rFonts w:hint="eastAsia" w:ascii="宋体" w:hAnsi="宋体" w:cs="宋体"/>
                <w:szCs w:val="21"/>
              </w:rPr>
              <w:t>除法律规定的不可抗力情形、双方协商一致情形等外，任何一方提前解除合同，按照1.6条款执行。</w:t>
            </w:r>
          </w:p>
        </w:tc>
      </w:tr>
      <w:tr w14:paraId="7ECB5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36" w:type="dxa"/>
            <w:tcBorders>
              <w:left w:val="single" w:color="auto" w:sz="4" w:space="0"/>
            </w:tcBorders>
            <w:vAlign w:val="center"/>
          </w:tcPr>
          <w:p w14:paraId="3ADFF592">
            <w:pPr>
              <w:spacing w:line="440" w:lineRule="exact"/>
              <w:rPr>
                <w:rFonts w:ascii="宋体" w:hAnsi="宋体" w:cs="宋体"/>
                <w:szCs w:val="21"/>
              </w:rPr>
            </w:pPr>
            <w:r>
              <w:rPr>
                <w:rFonts w:hint="eastAsia" w:ascii="宋体" w:hAnsi="宋体" w:cs="宋体"/>
                <w:szCs w:val="21"/>
              </w:rPr>
              <w:t>2.3.2</w:t>
            </w:r>
          </w:p>
        </w:tc>
        <w:tc>
          <w:tcPr>
            <w:tcW w:w="8809" w:type="dxa"/>
            <w:vAlign w:val="center"/>
          </w:tcPr>
          <w:p w14:paraId="7F23BEB4">
            <w:pPr>
              <w:spacing w:line="440" w:lineRule="exact"/>
              <w:ind w:firstLine="420" w:firstLineChars="200"/>
              <w:jc w:val="left"/>
              <w:rPr>
                <w:rFonts w:ascii="宋体" w:hAnsi="宋体" w:cs="宋体"/>
                <w:szCs w:val="21"/>
              </w:rPr>
            </w:pPr>
            <w:r>
              <w:rPr>
                <w:rFonts w:hint="eastAsia" w:ascii="宋体" w:hAnsi="宋体" w:cs="宋体"/>
                <w:szCs w:val="21"/>
              </w:rPr>
              <w:t>无；</w:t>
            </w:r>
          </w:p>
        </w:tc>
      </w:tr>
      <w:tr w14:paraId="39145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36" w:type="dxa"/>
            <w:tcBorders>
              <w:top w:val="single" w:color="auto" w:sz="6" w:space="0"/>
              <w:left w:val="single" w:color="auto" w:sz="4" w:space="0"/>
              <w:bottom w:val="single" w:color="auto" w:sz="6" w:space="0"/>
              <w:right w:val="single" w:color="auto" w:sz="6" w:space="0"/>
            </w:tcBorders>
            <w:vAlign w:val="center"/>
          </w:tcPr>
          <w:p w14:paraId="0B356561">
            <w:pPr>
              <w:spacing w:line="440" w:lineRule="exact"/>
              <w:rPr>
                <w:rFonts w:ascii="宋体" w:hAnsi="宋体" w:cs="宋体"/>
                <w:szCs w:val="21"/>
              </w:rPr>
            </w:pPr>
            <w:r>
              <w:rPr>
                <w:rFonts w:hint="eastAsia" w:ascii="宋体" w:hAnsi="宋体" w:cs="宋体"/>
                <w:szCs w:val="21"/>
              </w:rPr>
              <w:t>2.11.3</w:t>
            </w:r>
          </w:p>
        </w:tc>
        <w:tc>
          <w:tcPr>
            <w:tcW w:w="8809" w:type="dxa"/>
            <w:tcBorders>
              <w:top w:val="single" w:color="auto" w:sz="6" w:space="0"/>
              <w:left w:val="single" w:color="auto" w:sz="6" w:space="0"/>
              <w:bottom w:val="single" w:color="auto" w:sz="6" w:space="0"/>
              <w:right w:val="single" w:color="auto" w:sz="6" w:space="0"/>
            </w:tcBorders>
            <w:vAlign w:val="center"/>
          </w:tcPr>
          <w:p w14:paraId="4CBD99E4">
            <w:pPr>
              <w:spacing w:line="440" w:lineRule="exact"/>
              <w:ind w:firstLine="420" w:firstLineChars="200"/>
              <w:jc w:val="left"/>
              <w:rPr>
                <w:rFonts w:ascii="宋体" w:hAnsi="宋体" w:cs="宋体"/>
                <w:szCs w:val="21"/>
              </w:rPr>
            </w:pPr>
            <w:r>
              <w:rPr>
                <w:rFonts w:hint="eastAsia" w:ascii="宋体" w:hAnsi="宋体" w:cs="宋体"/>
                <w:szCs w:val="21"/>
              </w:rPr>
              <w:t>因不可抗力致使合同有变更必要的，双方当事人应在</w:t>
            </w:r>
            <w:r>
              <w:rPr>
                <w:rFonts w:hint="eastAsia" w:ascii="宋体" w:hAnsi="宋体" w:cs="宋体"/>
                <w:kern w:val="0"/>
                <w:szCs w:val="21"/>
                <w:u w:val="single"/>
                <w:lang w:val="zh-CN"/>
              </w:rPr>
              <w:t>10个工作日内</w:t>
            </w:r>
            <w:r>
              <w:rPr>
                <w:rFonts w:hint="eastAsia" w:ascii="宋体" w:hAnsi="宋体" w:cs="宋体"/>
                <w:szCs w:val="21"/>
              </w:rPr>
              <w:t>以书面形式变更合同；</w:t>
            </w:r>
          </w:p>
        </w:tc>
      </w:tr>
      <w:tr w14:paraId="5A4D8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36" w:type="dxa"/>
            <w:tcBorders>
              <w:top w:val="single" w:color="auto" w:sz="6" w:space="0"/>
              <w:left w:val="single" w:color="auto" w:sz="4" w:space="0"/>
              <w:bottom w:val="single" w:color="auto" w:sz="6" w:space="0"/>
              <w:right w:val="single" w:color="auto" w:sz="6" w:space="0"/>
            </w:tcBorders>
            <w:vAlign w:val="center"/>
          </w:tcPr>
          <w:p w14:paraId="7F6436C2">
            <w:pPr>
              <w:spacing w:line="440" w:lineRule="exact"/>
              <w:rPr>
                <w:rFonts w:ascii="宋体" w:hAnsi="宋体" w:cs="宋体"/>
                <w:szCs w:val="21"/>
              </w:rPr>
            </w:pPr>
            <w:r>
              <w:rPr>
                <w:rFonts w:hint="eastAsia" w:ascii="宋体" w:hAnsi="宋体" w:cs="宋体"/>
                <w:szCs w:val="21"/>
              </w:rPr>
              <w:t>2.11.4</w:t>
            </w:r>
          </w:p>
        </w:tc>
        <w:tc>
          <w:tcPr>
            <w:tcW w:w="8809" w:type="dxa"/>
            <w:tcBorders>
              <w:top w:val="single" w:color="auto" w:sz="6" w:space="0"/>
              <w:left w:val="single" w:color="auto" w:sz="6" w:space="0"/>
              <w:bottom w:val="single" w:color="auto" w:sz="6" w:space="0"/>
              <w:right w:val="single" w:color="auto" w:sz="6" w:space="0"/>
            </w:tcBorders>
            <w:vAlign w:val="center"/>
          </w:tcPr>
          <w:p w14:paraId="63D01208">
            <w:pPr>
              <w:spacing w:line="440" w:lineRule="exact"/>
              <w:ind w:firstLine="420" w:firstLineChars="200"/>
              <w:jc w:val="left"/>
              <w:rPr>
                <w:rFonts w:ascii="宋体" w:hAnsi="宋体" w:cs="宋体"/>
                <w:szCs w:val="21"/>
              </w:rPr>
            </w:pPr>
            <w:r>
              <w:rPr>
                <w:rFonts w:hint="eastAsia" w:ascii="宋体" w:hAnsi="宋体" w:cs="宋体"/>
                <w:szCs w:val="21"/>
              </w:rPr>
              <w:t>受不可抗力影响的一方在不可抗力发生后，应在</w:t>
            </w:r>
            <w:r>
              <w:rPr>
                <w:rFonts w:hint="eastAsia" w:ascii="宋体" w:hAnsi="宋体" w:cs="宋体"/>
                <w:kern w:val="0"/>
                <w:szCs w:val="21"/>
                <w:u w:val="single"/>
                <w:lang w:val="zh-CN"/>
              </w:rPr>
              <w:t>10个工作日</w:t>
            </w:r>
            <w:r>
              <w:rPr>
                <w:rFonts w:hint="eastAsia" w:ascii="宋体" w:hAnsi="宋体" w:cs="宋体"/>
                <w:szCs w:val="21"/>
                <w:u w:val="single"/>
              </w:rPr>
              <w:t>内</w:t>
            </w:r>
            <w:r>
              <w:rPr>
                <w:rFonts w:hint="eastAsia" w:ascii="宋体" w:hAnsi="宋体" w:cs="宋体"/>
                <w:szCs w:val="21"/>
              </w:rPr>
              <w:t>以书面形式通知对方当事人，并在</w:t>
            </w:r>
            <w:r>
              <w:rPr>
                <w:rFonts w:hint="eastAsia" w:ascii="宋体" w:hAnsi="宋体" w:cs="宋体"/>
                <w:kern w:val="0"/>
                <w:szCs w:val="21"/>
                <w:u w:val="single"/>
                <w:lang w:val="zh-CN"/>
              </w:rPr>
              <w:t>10个工作日内</w:t>
            </w:r>
            <w:r>
              <w:rPr>
                <w:rFonts w:hint="eastAsia" w:ascii="宋体" w:hAnsi="宋体" w:cs="宋体"/>
                <w:szCs w:val="21"/>
              </w:rPr>
              <w:t>，将有关部门出具的证明文件送达对方当事人。</w:t>
            </w:r>
          </w:p>
        </w:tc>
      </w:tr>
      <w:tr w14:paraId="5D8B6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36" w:type="dxa"/>
            <w:tcBorders>
              <w:top w:val="single" w:color="auto" w:sz="6" w:space="0"/>
              <w:left w:val="single" w:color="auto" w:sz="4" w:space="0"/>
              <w:bottom w:val="single" w:color="auto" w:sz="6" w:space="0"/>
              <w:right w:val="single" w:color="auto" w:sz="6" w:space="0"/>
            </w:tcBorders>
            <w:vAlign w:val="center"/>
          </w:tcPr>
          <w:p w14:paraId="26FD8EC1">
            <w:pPr>
              <w:spacing w:line="440" w:lineRule="exact"/>
              <w:rPr>
                <w:rFonts w:ascii="宋体" w:hAnsi="宋体" w:cs="宋体"/>
                <w:szCs w:val="21"/>
              </w:rPr>
            </w:pPr>
            <w:r>
              <w:rPr>
                <w:rFonts w:hint="eastAsia" w:ascii="宋体" w:hAnsi="宋体" w:cs="宋体"/>
                <w:szCs w:val="21"/>
              </w:rPr>
              <w:t>2.15.1</w:t>
            </w:r>
          </w:p>
        </w:tc>
        <w:tc>
          <w:tcPr>
            <w:tcW w:w="8809" w:type="dxa"/>
            <w:tcBorders>
              <w:top w:val="single" w:color="auto" w:sz="6" w:space="0"/>
              <w:left w:val="single" w:color="auto" w:sz="6" w:space="0"/>
              <w:bottom w:val="single" w:color="auto" w:sz="6" w:space="0"/>
              <w:right w:val="single" w:color="auto" w:sz="6" w:space="0"/>
            </w:tcBorders>
            <w:vAlign w:val="center"/>
          </w:tcPr>
          <w:p w14:paraId="763F5F20">
            <w:pPr>
              <w:tabs>
                <w:tab w:val="left" w:pos="360"/>
                <w:tab w:val="left" w:pos="540"/>
                <w:tab w:val="left" w:pos="1080"/>
              </w:tabs>
              <w:spacing w:line="440" w:lineRule="exact"/>
              <w:ind w:firstLine="420" w:firstLineChars="200"/>
              <w:jc w:val="left"/>
              <w:rPr>
                <w:rFonts w:ascii="宋体" w:hAnsi="宋体" w:cs="宋体"/>
                <w:szCs w:val="21"/>
              </w:rPr>
            </w:pPr>
            <w:r>
              <w:rPr>
                <w:rFonts w:hint="eastAsia" w:ascii="宋体" w:hAnsi="宋体" w:cs="宋体"/>
                <w:szCs w:val="21"/>
              </w:rPr>
              <w:t>无；</w:t>
            </w:r>
          </w:p>
        </w:tc>
      </w:tr>
      <w:tr w14:paraId="28456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36" w:type="dxa"/>
            <w:tcBorders>
              <w:top w:val="single" w:color="auto" w:sz="6" w:space="0"/>
              <w:left w:val="single" w:color="auto" w:sz="4" w:space="0"/>
              <w:bottom w:val="single" w:color="auto" w:sz="6" w:space="0"/>
              <w:right w:val="single" w:color="auto" w:sz="6" w:space="0"/>
            </w:tcBorders>
            <w:vAlign w:val="center"/>
          </w:tcPr>
          <w:p w14:paraId="77E236A9">
            <w:pPr>
              <w:spacing w:line="440" w:lineRule="exact"/>
              <w:rPr>
                <w:rFonts w:ascii="宋体" w:hAnsi="宋体" w:cs="宋体"/>
                <w:szCs w:val="21"/>
              </w:rPr>
            </w:pPr>
            <w:r>
              <w:rPr>
                <w:rFonts w:hint="eastAsia" w:ascii="宋体" w:hAnsi="宋体" w:cs="宋体"/>
                <w:szCs w:val="21"/>
              </w:rPr>
              <w:t>2.15.3</w:t>
            </w:r>
          </w:p>
        </w:tc>
        <w:tc>
          <w:tcPr>
            <w:tcW w:w="8809" w:type="dxa"/>
            <w:tcBorders>
              <w:top w:val="single" w:color="auto" w:sz="6" w:space="0"/>
              <w:left w:val="single" w:color="auto" w:sz="6" w:space="0"/>
              <w:bottom w:val="single" w:color="auto" w:sz="6" w:space="0"/>
              <w:right w:val="single" w:color="auto" w:sz="6" w:space="0"/>
            </w:tcBorders>
            <w:vAlign w:val="center"/>
          </w:tcPr>
          <w:p w14:paraId="0F2DF505">
            <w:pPr>
              <w:spacing w:line="440" w:lineRule="exact"/>
              <w:ind w:firstLine="420" w:firstLineChars="200"/>
              <w:jc w:val="left"/>
              <w:rPr>
                <w:rFonts w:ascii="宋体" w:hAnsi="宋体" w:cs="宋体"/>
                <w:szCs w:val="21"/>
              </w:rPr>
            </w:pPr>
            <w:r>
              <w:rPr>
                <w:rFonts w:hint="eastAsia" w:ascii="宋体" w:hAnsi="宋体" w:cs="宋体"/>
                <w:szCs w:val="21"/>
              </w:rPr>
              <w:t>无；</w:t>
            </w:r>
          </w:p>
        </w:tc>
      </w:tr>
      <w:tr w14:paraId="68ADC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36" w:type="dxa"/>
            <w:tcBorders>
              <w:top w:val="single" w:color="auto" w:sz="6" w:space="0"/>
              <w:left w:val="single" w:color="auto" w:sz="4" w:space="0"/>
              <w:bottom w:val="single" w:color="auto" w:sz="6" w:space="0"/>
              <w:right w:val="single" w:color="auto" w:sz="6" w:space="0"/>
            </w:tcBorders>
            <w:vAlign w:val="center"/>
          </w:tcPr>
          <w:p w14:paraId="32910879">
            <w:pPr>
              <w:spacing w:line="440" w:lineRule="exact"/>
              <w:rPr>
                <w:rFonts w:ascii="宋体" w:hAnsi="宋体" w:cs="宋体"/>
                <w:szCs w:val="21"/>
              </w:rPr>
            </w:pPr>
            <w:r>
              <w:rPr>
                <w:rFonts w:hint="eastAsia" w:ascii="宋体" w:hAnsi="宋体" w:cs="宋体"/>
                <w:szCs w:val="21"/>
              </w:rPr>
              <w:t>2.19</w:t>
            </w:r>
          </w:p>
        </w:tc>
        <w:tc>
          <w:tcPr>
            <w:tcW w:w="8809" w:type="dxa"/>
            <w:tcBorders>
              <w:top w:val="single" w:color="auto" w:sz="6" w:space="0"/>
              <w:left w:val="single" w:color="auto" w:sz="6" w:space="0"/>
              <w:bottom w:val="single" w:color="auto" w:sz="6" w:space="0"/>
              <w:right w:val="single" w:color="auto" w:sz="6" w:space="0"/>
            </w:tcBorders>
            <w:vAlign w:val="center"/>
          </w:tcPr>
          <w:p w14:paraId="42ED69E0">
            <w:pPr>
              <w:spacing w:line="440" w:lineRule="exact"/>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lang w:val="en-US" w:eastAsia="zh-CN"/>
              </w:rPr>
              <w:t>四</w:t>
            </w:r>
            <w:r>
              <w:rPr>
                <w:rFonts w:hint="eastAsia" w:ascii="宋体" w:hAnsi="宋体" w:cs="宋体"/>
                <w:szCs w:val="21"/>
              </w:rPr>
              <w:t>份，甲方持三份，乙方持一份，每份具有同等法律效力。</w:t>
            </w:r>
          </w:p>
        </w:tc>
      </w:tr>
    </w:tbl>
    <w:p w14:paraId="48558A55">
      <w:pPr>
        <w:pStyle w:val="5"/>
        <w:ind w:firstLine="0" w:firstLineChars="0"/>
        <w:jc w:val="left"/>
        <w:rPr>
          <w:rFonts w:ascii="宋体" w:hAnsi="宋体" w:cs="宋体"/>
        </w:rPr>
      </w:pPr>
    </w:p>
    <w:p w14:paraId="2B80272C">
      <w:pPr>
        <w:pStyle w:val="6"/>
        <w:spacing w:line="360" w:lineRule="auto"/>
        <w:rPr>
          <w:rFonts w:ascii="宋体" w:hAnsi="宋体" w:cs="宋体"/>
          <w:szCs w:val="21"/>
        </w:rPr>
      </w:pPr>
    </w:p>
    <w:p w14:paraId="19E0C0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aTeX_Size1">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C30CB"/>
    <w:multiLevelType w:val="singleLevel"/>
    <w:tmpl w:val="459C30CB"/>
    <w:lvl w:ilvl="0" w:tentative="0">
      <w:start w:val="1"/>
      <w:numFmt w:val="decimal"/>
      <w:suff w:val="space"/>
      <w:lvlText w:val="%1."/>
      <w:lvlJc w:val="left"/>
    </w:lvl>
  </w:abstractNum>
  <w:abstractNum w:abstractNumId="1">
    <w:nsid w:val="7FCEAB0C"/>
    <w:multiLevelType w:val="singleLevel"/>
    <w:tmpl w:val="7FCEAB0C"/>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YWZmYjZkYWY4YTMyZDlkMTRmZTJkZjg1MzQ3OTcifQ=="/>
  </w:docVars>
  <w:rsids>
    <w:rsidRoot w:val="007D0D75"/>
    <w:rsid w:val="00256C2F"/>
    <w:rsid w:val="004E5C02"/>
    <w:rsid w:val="00613FED"/>
    <w:rsid w:val="006C4F67"/>
    <w:rsid w:val="00737D2B"/>
    <w:rsid w:val="007D0D75"/>
    <w:rsid w:val="00CE2A01"/>
    <w:rsid w:val="00D65B48"/>
    <w:rsid w:val="00F310AC"/>
    <w:rsid w:val="00FE0D3C"/>
    <w:rsid w:val="06EF2FB1"/>
    <w:rsid w:val="0A190D84"/>
    <w:rsid w:val="0D6C40D7"/>
    <w:rsid w:val="0ED1763B"/>
    <w:rsid w:val="141F11F4"/>
    <w:rsid w:val="17AF0FFD"/>
    <w:rsid w:val="18C53EE2"/>
    <w:rsid w:val="1AFA005A"/>
    <w:rsid w:val="1C341270"/>
    <w:rsid w:val="1FA3607E"/>
    <w:rsid w:val="247D14DC"/>
    <w:rsid w:val="28236002"/>
    <w:rsid w:val="28F434A6"/>
    <w:rsid w:val="30DC2084"/>
    <w:rsid w:val="31354DD6"/>
    <w:rsid w:val="32C330DC"/>
    <w:rsid w:val="36581EF8"/>
    <w:rsid w:val="36D91E7D"/>
    <w:rsid w:val="3949748C"/>
    <w:rsid w:val="3CF27217"/>
    <w:rsid w:val="44221371"/>
    <w:rsid w:val="48362D3C"/>
    <w:rsid w:val="502D46E8"/>
    <w:rsid w:val="549C527C"/>
    <w:rsid w:val="5A946781"/>
    <w:rsid w:val="5AE445B8"/>
    <w:rsid w:val="646D61AD"/>
    <w:rsid w:val="670E1096"/>
    <w:rsid w:val="6ABE0C5F"/>
    <w:rsid w:val="6F3C5D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
    <w:autoRedefine/>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link w:val="1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1"/>
    <w:unhideWhenUsed/>
    <w:qFormat/>
    <w:uiPriority w:val="99"/>
    <w:pPr>
      <w:spacing w:after="120"/>
      <w:ind w:left="420" w:leftChars="200" w:firstLine="420"/>
      <w:jc w:val="left"/>
    </w:pPr>
    <w:rPr>
      <w:rFonts w:cs="宋体"/>
    </w:rPr>
  </w:style>
  <w:style w:type="paragraph" w:styleId="5">
    <w:name w:val="Normal Indent"/>
    <w:basedOn w:val="1"/>
    <w:qFormat/>
    <w:uiPriority w:val="0"/>
    <w:pPr>
      <w:ind w:firstLine="420" w:firstLineChars="200"/>
    </w:pPr>
  </w:style>
  <w:style w:type="paragraph" w:styleId="6">
    <w:name w:val="Body Text"/>
    <w:basedOn w:val="1"/>
    <w:next w:val="7"/>
    <w:qFormat/>
    <w:uiPriority w:val="0"/>
    <w:pPr>
      <w:spacing w:after="120"/>
    </w:pPr>
  </w:style>
  <w:style w:type="paragraph" w:styleId="7">
    <w:name w:val="Body Text First Indent"/>
    <w:basedOn w:val="6"/>
    <w:next w:val="8"/>
    <w:qFormat/>
    <w:uiPriority w:val="0"/>
    <w:pPr>
      <w:ind w:firstLine="420" w:firstLineChars="100"/>
    </w:pPr>
    <w:rPr>
      <w:szCs w:val="20"/>
    </w:rPr>
  </w:style>
  <w:style w:type="paragraph" w:styleId="8">
    <w:name w:val="toc 6"/>
    <w:basedOn w:val="1"/>
    <w:next w:val="1"/>
    <w:qFormat/>
    <w:uiPriority w:val="0"/>
    <w:pPr>
      <w:ind w:left="1050"/>
      <w:jc w:val="left"/>
    </w:pPr>
    <w:rPr>
      <w:sz w:val="18"/>
      <w:szCs w:val="18"/>
    </w:rPr>
  </w:style>
  <w:style w:type="paragraph" w:styleId="9">
    <w:name w:val="Body Text Indent"/>
    <w:basedOn w:val="1"/>
    <w:next w:val="1"/>
    <w:qFormat/>
    <w:uiPriority w:val="99"/>
    <w:pPr>
      <w:widowControl/>
      <w:autoSpaceDE w:val="0"/>
      <w:autoSpaceDN w:val="0"/>
      <w:snapToGrid w:val="0"/>
      <w:spacing w:before="120" w:line="400" w:lineRule="atLeast"/>
      <w:ind w:firstLine="570"/>
      <w:textAlignment w:val="bottom"/>
    </w:pPr>
    <w:rPr>
      <w:rFonts w:ascii="宋体"/>
      <w:kern w:val="0"/>
      <w:sz w:val="24"/>
      <w:szCs w:val="20"/>
    </w:rPr>
  </w:style>
  <w:style w:type="paragraph" w:styleId="10">
    <w:name w:val="Plain Text"/>
    <w:basedOn w:val="1"/>
    <w:qFormat/>
    <w:uiPriority w:val="0"/>
    <w:rPr>
      <w:rFonts w:ascii="宋体" w:hAnsi="Courier New"/>
      <w:szCs w:val="20"/>
    </w:rPr>
  </w:style>
  <w:style w:type="character" w:customStyle="1" w:styleId="13">
    <w:name w:val="标题 1 Char"/>
    <w:basedOn w:val="12"/>
    <w:link w:val="3"/>
    <w:autoRedefine/>
    <w:qFormat/>
    <w:uiPriority w:val="9"/>
    <w:rPr>
      <w:b/>
      <w:bCs/>
      <w:kern w:val="44"/>
      <w:sz w:val="44"/>
      <w:szCs w:val="44"/>
    </w:rPr>
  </w:style>
  <w:style w:type="character" w:customStyle="1" w:styleId="14">
    <w:name w:val="标题 2 Char"/>
    <w:basedOn w:val="12"/>
    <w:link w:val="4"/>
    <w:autoRedefine/>
    <w:qFormat/>
    <w:uiPriority w:val="9"/>
    <w:rPr>
      <w:rFonts w:asciiTheme="majorHAnsi" w:hAnsiTheme="majorHAnsi" w:eastAsiaTheme="majorEastAsia" w:cstheme="majorBidi"/>
      <w:b/>
      <w:bCs/>
      <w:sz w:val="32"/>
      <w:szCs w:val="32"/>
    </w:rPr>
  </w:style>
  <w:style w:type="paragraph" w:styleId="15">
    <w:name w:val="List Paragraph"/>
    <w:basedOn w:val="1"/>
    <w:autoRedefine/>
    <w:qFormat/>
    <w:uiPriority w:val="34"/>
    <w:pPr>
      <w:ind w:firstLine="420" w:firstLineChars="200"/>
    </w:pPr>
    <w:rPr>
      <w:rFonts w:asciiTheme="minorHAnsi" w:hAnsiTheme="minorHAnsi" w:eastAsiaTheme="minorEastAsia" w:cstheme="minorBidi"/>
      <w:szCs w:val="22"/>
    </w:rPr>
  </w:style>
  <w:style w:type="paragraph" w:customStyle="1" w:styleId="16">
    <w:name w:val="正文缩进1"/>
    <w:basedOn w:val="1"/>
    <w:next w:val="9"/>
    <w:qFormat/>
    <w:uiPriority w:val="99"/>
    <w:pPr>
      <w:autoSpaceDE w:val="0"/>
      <w:autoSpaceDN w:val="0"/>
      <w:adjustRightInd w:val="0"/>
      <w:snapToGrid w:val="0"/>
      <w:spacing w:after="120" w:line="360" w:lineRule="auto"/>
      <w:ind w:left="420" w:firstLine="480"/>
    </w:pPr>
    <w:rPr>
      <w:sz w:val="24"/>
    </w:rPr>
  </w:style>
  <w:style w:type="paragraph" w:customStyle="1" w:styleId="17">
    <w:name w:val="索引 11"/>
    <w:basedOn w:val="1"/>
    <w:next w:val="1"/>
    <w:qFormat/>
    <w:uiPriority w:val="99"/>
    <w:pPr>
      <w:spacing w:line="360" w:lineRule="auto"/>
    </w:pPr>
    <w:rPr>
      <w:rFonts w:ascii="仿宋_GB2312" w:eastAsia="仿宋_GB2312"/>
      <w:sz w:val="24"/>
      <w:szCs w:val="20"/>
    </w:rPr>
  </w:style>
  <w:style w:type="paragraph" w:customStyle="1" w:styleId="18">
    <w:name w:val="表格文字"/>
    <w:basedOn w:val="1"/>
    <w:next w:val="6"/>
    <w:qFormat/>
    <w:uiPriority w:val="0"/>
    <w:pPr>
      <w:adjustRightInd w:val="0"/>
      <w:spacing w:line="420" w:lineRule="atLeast"/>
      <w:jc w:val="left"/>
      <w:textAlignment w:val="baseline"/>
    </w:pPr>
    <w:rPr>
      <w:kern w:val="0"/>
      <w:szCs w:val="20"/>
    </w:rPr>
  </w:style>
  <w:style w:type="paragraph" w:customStyle="1" w:styleId="19">
    <w:name w:val="text-tag"/>
    <w:basedOn w:val="1"/>
    <w:semiHidden/>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15</Pages>
  <Words>6628</Words>
  <Characters>8288</Characters>
  <Lines>4</Lines>
  <Paragraphs>1</Paragraphs>
  <TotalTime>7</TotalTime>
  <ScaleCrop>false</ScaleCrop>
  <LinksUpToDate>false</LinksUpToDate>
  <CharactersWithSpaces>8613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2020-08-21T05:14:00Z</dcterms:created>
  <dc:creator>HP</dc:creator>
  <cp:lastModifiedBy>黄小洁</cp:lastModifiedBy>
  <dcterms:modified xsi:type="dcterms:W3CDTF">2025-07-16T23:48:50Z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12270A0FEA5E41E6860B7894585D5AA3_13</vt:lpwstr>
  </property>
  <property fmtid="{D5CDD505-2E9C-101B-9397-08002B2CF9AE}" pid="4" name="KSOTemplateDocerSaveRecord">
    <vt:lpwstr>eyJoZGlkIjoiZTYwMjQ5MDlhNjY1YWMxZDAxMmRiYWE4ZmM4ZjEyODgiLCJ1c2VySWQiOiIyMDk3NDgzMTQifQ==</vt:lpwstr>
  </property>
</Properties>
</file>