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96858">
      <w:pPr>
        <w:spacing w:line="360" w:lineRule="auto"/>
        <w:jc w:val="center"/>
        <w:rPr>
          <w:rFonts w:hint="default"/>
          <w:b/>
          <w:bCs/>
          <w:sz w:val="28"/>
          <w:szCs w:val="28"/>
          <w:lang w:val="en-US" w:eastAsia="zh-CN"/>
        </w:rPr>
      </w:pPr>
      <w:r>
        <w:rPr>
          <w:rFonts w:hint="eastAsia"/>
          <w:b/>
          <w:bCs/>
          <w:sz w:val="28"/>
          <w:szCs w:val="28"/>
          <w:lang w:val="en-US" w:eastAsia="zh-CN"/>
        </w:rPr>
        <w:t>报价表</w:t>
      </w:r>
    </w:p>
    <w:p w14:paraId="5831C149">
      <w:pPr>
        <w:jc w:val="right"/>
        <w:rPr>
          <w:rFonts w:hint="default" w:eastAsia="宋体"/>
          <w:b w:val="0"/>
          <w:bCs/>
          <w:sz w:val="24"/>
          <w:szCs w:val="24"/>
          <w:lang w:val="en-US" w:eastAsia="zh-CN"/>
        </w:rPr>
      </w:pPr>
      <w:r>
        <w:rPr>
          <w:rFonts w:hint="eastAsia"/>
          <w:b w:val="0"/>
          <w:bCs/>
          <w:sz w:val="24"/>
          <w:szCs w:val="24"/>
          <w:lang w:val="en-US" w:eastAsia="zh-CN"/>
        </w:rPr>
        <w:t>单位：元</w:t>
      </w:r>
    </w:p>
    <w:tbl>
      <w:tblPr>
        <w:tblStyle w:val="11"/>
        <w:tblW w:w="82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8"/>
        <w:gridCol w:w="1488"/>
        <w:gridCol w:w="1385"/>
        <w:gridCol w:w="842"/>
        <w:gridCol w:w="1258"/>
        <w:gridCol w:w="1200"/>
        <w:gridCol w:w="1281"/>
      </w:tblGrid>
      <w:tr w14:paraId="41B9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192C">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21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产品名称</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D3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规格型号</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2F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AA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D898">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单价</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0FB7">
            <w:pPr>
              <w:keepNext w:val="0"/>
              <w:keepLines w:val="0"/>
              <w:widowControl/>
              <w:suppressLineNumbers w:val="0"/>
              <w:ind w:firstLine="220" w:firstLineChars="10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sz w:val="22"/>
                <w:szCs w:val="22"/>
                <w:u w:val="none"/>
                <w:lang w:val="en-US" w:eastAsia="zh-CN"/>
              </w:rPr>
              <w:t>金额</w:t>
            </w:r>
          </w:p>
        </w:tc>
      </w:tr>
      <w:tr w14:paraId="7084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85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B88D">
            <w:pPr>
              <w:keepNext w:val="0"/>
              <w:keepLines w:val="0"/>
              <w:widowControl/>
              <w:suppressLineNumbers w:val="0"/>
              <w:jc w:val="left"/>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rPr>
              <w:t>3D打印机</w:t>
            </w:r>
            <w:r>
              <w:rPr>
                <w:rFonts w:hint="eastAsia" w:ascii="等线" w:hAnsi="等线" w:eastAsia="等线" w:cs="等线"/>
                <w:i w:val="0"/>
                <w:iCs w:val="0"/>
                <w:color w:val="000000"/>
                <w:sz w:val="22"/>
                <w:szCs w:val="22"/>
                <w:u w:val="none"/>
                <w:lang w:val="en-US" w:eastAsia="zh-CN"/>
              </w:rPr>
              <w:t>光敏树脂耗材</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966E">
            <w:pPr>
              <w:keepNext w:val="0"/>
              <w:keepLines w:val="0"/>
              <w:widowControl/>
              <w:suppressLineNumbers w:val="0"/>
              <w:jc w:val="left"/>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ZR710</w:t>
            </w:r>
            <w:r>
              <w:rPr>
                <w:rFonts w:hint="eastAsia" w:ascii="等线" w:hAnsi="等线" w:eastAsia="等线" w:cs="等线"/>
                <w:i w:val="0"/>
                <w:iCs w:val="0"/>
                <w:color w:val="000000"/>
                <w:sz w:val="22"/>
                <w:szCs w:val="22"/>
                <w:highlight w:val="yellow"/>
                <w:u w:val="none"/>
                <w:lang w:val="en-US" w:eastAsia="zh-CN"/>
              </w:rPr>
              <w:t>（适用于中瑞科技iSLA660）</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05F2">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26</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F544">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桶（10公斤/桶）</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EEB8">
            <w:pPr>
              <w:jc w:val="center"/>
              <w:rPr>
                <w:rFonts w:hint="eastAsia" w:ascii="等线" w:hAnsi="等线" w:eastAsia="等线" w:cs="等线"/>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79F4">
            <w:pPr>
              <w:jc w:val="center"/>
              <w:rPr>
                <w:rFonts w:hint="eastAsia" w:ascii="等线" w:hAnsi="等线" w:eastAsia="等线" w:cs="等线"/>
                <w:i w:val="0"/>
                <w:iCs w:val="0"/>
                <w:color w:val="000000"/>
                <w:sz w:val="22"/>
                <w:szCs w:val="22"/>
                <w:u w:val="none"/>
              </w:rPr>
            </w:pPr>
          </w:p>
        </w:tc>
      </w:tr>
      <w:tr w14:paraId="4914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37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8125">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合计（</w:t>
            </w:r>
            <w:r>
              <w:rPr>
                <w:rFonts w:hint="eastAsia"/>
                <w:lang w:val="en-US" w:eastAsia="zh-CN"/>
              </w:rPr>
              <w:t xml:space="preserve">大写：人民币         </w:t>
            </w:r>
            <w:r>
              <w:rPr>
                <w:rFonts w:hint="eastAsia" w:ascii="等线" w:hAnsi="等线" w:eastAsia="等线" w:cs="等线"/>
                <w:i w:val="0"/>
                <w:iCs w:val="0"/>
                <w:color w:val="000000"/>
                <w:kern w:val="0"/>
                <w:sz w:val="22"/>
                <w:szCs w:val="22"/>
                <w:u w:val="none"/>
                <w:lang w:val="en-US" w:eastAsia="zh-CN" w:bidi="ar"/>
              </w:rPr>
              <w:t>）</w:t>
            </w:r>
          </w:p>
        </w:tc>
        <w:tc>
          <w:tcPr>
            <w:tcW w:w="45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AE74">
            <w:pPr>
              <w:ind w:firstLine="840" w:firstLineChars="400"/>
              <w:jc w:val="center"/>
              <w:rPr>
                <w:rFonts w:hint="default" w:eastAsia="宋体"/>
                <w:lang w:val="en-US" w:eastAsia="zh-CN"/>
              </w:rPr>
            </w:pPr>
            <w:r>
              <w:rPr>
                <w:rFonts w:hint="eastAsia"/>
                <w:lang w:val="en-US" w:eastAsia="zh-CN"/>
              </w:rPr>
              <w:t>小写：</w:t>
            </w:r>
            <w:r>
              <w:rPr>
                <w:rFonts w:hint="default" w:eastAsia="宋体"/>
                <w:lang w:val="en-US" w:eastAsia="zh-CN"/>
              </w:rPr>
              <w:t>¥</w:t>
            </w:r>
          </w:p>
        </w:tc>
      </w:tr>
    </w:tbl>
    <w:p w14:paraId="2D59FD63">
      <w:pPr>
        <w:numPr>
          <w:ilvl w:val="0"/>
          <w:numId w:val="1"/>
        </w:numPr>
        <w:spacing w:line="360" w:lineRule="auto"/>
        <w:ind w:left="0" w:leftChars="0" w:firstLine="400" w:firstLineChars="0"/>
        <w:rPr>
          <w:rFonts w:hint="eastAsia"/>
          <w:lang w:val="en-US" w:eastAsia="zh-CN"/>
        </w:rPr>
      </w:pPr>
      <w:r>
        <w:rPr>
          <w:rFonts w:hint="eastAsia"/>
          <w:lang w:val="en-US" w:eastAsia="zh-CN"/>
        </w:rPr>
        <w:t>本公司已仔细阅读本项目商务、技术等要求，并承诺响应采购人采购文件所有需求。</w:t>
      </w:r>
    </w:p>
    <w:p w14:paraId="14A52826">
      <w:pPr>
        <w:numPr>
          <w:ilvl w:val="0"/>
          <w:numId w:val="1"/>
        </w:numPr>
        <w:spacing w:line="360" w:lineRule="auto"/>
        <w:ind w:left="0" w:leftChars="0" w:firstLine="400" w:firstLineChars="0"/>
        <w:rPr>
          <w:rFonts w:hint="eastAsia"/>
          <w:highlight w:val="none"/>
          <w:lang w:val="en-US" w:eastAsia="zh-CN"/>
        </w:rPr>
      </w:pPr>
      <w:r>
        <w:rPr>
          <w:rFonts w:hint="eastAsia"/>
          <w:highlight w:val="none"/>
          <w:lang w:val="en-US" w:eastAsia="zh-CN"/>
        </w:rPr>
        <w:t>本项目仅接受上述表格中指定品牌型号产品。</w:t>
      </w:r>
    </w:p>
    <w:p w14:paraId="40F3694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▲本项目预算</w:t>
      </w:r>
      <w:r>
        <w:rPr>
          <w:rFonts w:hint="eastAsia" w:ascii="宋体" w:hAnsi="宋体" w:cs="宋体"/>
          <w:b w:val="0"/>
          <w:bCs/>
          <w:sz w:val="21"/>
          <w:szCs w:val="21"/>
          <w:highlight w:val="none"/>
          <w:lang w:val="en-US" w:eastAsia="zh-CN"/>
        </w:rPr>
        <w:t>4.98</w:t>
      </w:r>
      <w:r>
        <w:rPr>
          <w:rFonts w:hint="eastAsia" w:ascii="宋体" w:hAnsi="宋体" w:eastAsia="宋体" w:cs="宋体"/>
          <w:b w:val="0"/>
          <w:bCs/>
          <w:sz w:val="21"/>
          <w:szCs w:val="21"/>
          <w:highlight w:val="none"/>
          <w:lang w:val="en-US" w:eastAsia="zh-CN"/>
        </w:rPr>
        <w:t>万元，最高限价</w:t>
      </w:r>
      <w:r>
        <w:rPr>
          <w:rFonts w:hint="eastAsia" w:ascii="宋体" w:hAnsi="宋体" w:cs="宋体"/>
          <w:b w:val="0"/>
          <w:bCs/>
          <w:sz w:val="21"/>
          <w:szCs w:val="21"/>
          <w:highlight w:val="none"/>
          <w:lang w:val="en-US" w:eastAsia="zh-CN"/>
        </w:rPr>
        <w:t>4.98</w:t>
      </w:r>
      <w:r>
        <w:rPr>
          <w:rFonts w:hint="eastAsia" w:ascii="宋体" w:hAnsi="宋体" w:eastAsia="宋体" w:cs="宋体"/>
          <w:b w:val="0"/>
          <w:bCs/>
          <w:sz w:val="21"/>
          <w:szCs w:val="21"/>
          <w:highlight w:val="none"/>
          <w:lang w:val="en-US" w:eastAsia="zh-CN"/>
        </w:rPr>
        <w:t>万元，超过最高限价的为无效投标。</w:t>
      </w:r>
    </w:p>
    <w:p w14:paraId="5A749ED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本项目采用交钥匙模式，价格包含但不仅限于货物价款、途中运输费、装卸车费、仓储费、保险费、途中损耗费、</w:t>
      </w:r>
      <w:r>
        <w:rPr>
          <w:rFonts w:hint="eastAsia" w:ascii="宋体" w:hAnsi="宋体" w:cs="宋体"/>
          <w:b w:val="0"/>
          <w:bCs/>
          <w:sz w:val="21"/>
          <w:szCs w:val="21"/>
          <w:highlight w:val="none"/>
          <w:lang w:val="en-US" w:eastAsia="zh-CN"/>
        </w:rPr>
        <w:t>安装调试费、</w:t>
      </w:r>
      <w:r>
        <w:rPr>
          <w:rFonts w:hint="eastAsia" w:ascii="宋体" w:hAnsi="宋体" w:eastAsia="宋体" w:cs="宋体"/>
          <w:b w:val="0"/>
          <w:bCs/>
          <w:sz w:val="21"/>
          <w:szCs w:val="21"/>
          <w:highlight w:val="none"/>
          <w:lang w:val="en-US" w:eastAsia="zh-CN"/>
        </w:rPr>
        <w:t>检测验收费、技术支持、售后服务、货物更换所需的各种费用、必要的保险费用、各项税金、合同包含的所有风险及责任等一切费用，采购人在履行合同过程中无需向中标单位承担合同金额以外的额外费用及税费责任。</w:t>
      </w:r>
    </w:p>
    <w:p w14:paraId="119A1C3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中标人应按合同规定的产品性能、技术要求、质量标准向采购人提供未经使用的全新产品</w:t>
      </w:r>
      <w:r>
        <w:rPr>
          <w:rFonts w:hint="eastAsia" w:ascii="宋体" w:hAnsi="宋体" w:cs="宋体"/>
          <w:b w:val="0"/>
          <w:bCs/>
          <w:sz w:val="21"/>
          <w:szCs w:val="21"/>
          <w:highlight w:val="none"/>
          <w:lang w:val="en-US" w:eastAsia="zh-CN"/>
        </w:rPr>
        <w:t>，产品出厂日期为2025年01月01日及之后。</w:t>
      </w:r>
      <w:bookmarkStart w:id="0" w:name="_GoBack"/>
      <w:bookmarkEnd w:id="0"/>
    </w:p>
    <w:p w14:paraId="0908FEF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lang w:val="en-US" w:eastAsia="zh-CN"/>
        </w:rPr>
      </w:pPr>
      <w:r>
        <w:rPr>
          <w:rFonts w:hint="eastAsia"/>
          <w:highlight w:val="none"/>
          <w:lang w:val="en-US" w:eastAsia="zh-CN"/>
        </w:rPr>
        <w:t>▲</w:t>
      </w:r>
      <w:r>
        <w:rPr>
          <w:rFonts w:hint="eastAsia" w:ascii="宋体" w:hAnsi="宋体" w:cs="宋体"/>
          <w:b w:val="0"/>
          <w:bCs/>
          <w:sz w:val="21"/>
          <w:szCs w:val="21"/>
          <w:lang w:val="en-US" w:eastAsia="zh-CN"/>
        </w:rPr>
        <w:t>若耗材在使用过程中存在质量问题导致设备损坏，投标人需承担相应责任并提供设备维修或赔偿服务，保证不影响采购人正常教学。</w:t>
      </w:r>
    </w:p>
    <w:p w14:paraId="02DD3FC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中标人提供的产品在质保期内发生故障，中标人应免费提供</w:t>
      </w:r>
      <w:r>
        <w:rPr>
          <w:rFonts w:hint="eastAsia" w:ascii="宋体" w:hAnsi="宋体" w:cs="宋体"/>
          <w:b w:val="0"/>
          <w:bCs/>
          <w:sz w:val="21"/>
          <w:szCs w:val="21"/>
          <w:lang w:val="en-US" w:eastAsia="zh-CN"/>
        </w:rPr>
        <w:t>维修或</w:t>
      </w:r>
      <w:r>
        <w:rPr>
          <w:rFonts w:hint="eastAsia" w:ascii="宋体" w:hAnsi="宋体" w:eastAsia="宋体" w:cs="宋体"/>
          <w:b w:val="0"/>
          <w:bCs/>
          <w:sz w:val="21"/>
          <w:szCs w:val="21"/>
          <w:lang w:val="en-US" w:eastAsia="zh-CN"/>
        </w:rPr>
        <w:t>更换等服务。</w:t>
      </w:r>
      <w:r>
        <w:rPr>
          <w:rFonts w:hint="eastAsia" w:ascii="宋体" w:hAnsi="宋体" w:cs="宋体"/>
          <w:b w:val="0"/>
          <w:bCs/>
          <w:sz w:val="21"/>
          <w:szCs w:val="21"/>
          <w:highlight w:val="yellow"/>
          <w:lang w:val="en-US" w:eastAsia="zh-CN"/>
        </w:rPr>
        <w:t>本项目质保期不少于1年，自项目验收合格之日起算。</w:t>
      </w:r>
    </w:p>
    <w:p w14:paraId="28F1D1A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投标人所投标产品必须完全满足本项目的技术、商务等条款。</w:t>
      </w:r>
    </w:p>
    <w:p w14:paraId="359107D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其余条款详见</w:t>
      </w:r>
      <w:r>
        <w:rPr>
          <w:rFonts w:hint="eastAsia" w:ascii="宋体" w:hAnsi="宋体" w:cs="宋体"/>
          <w:b w:val="0"/>
          <w:bCs/>
          <w:sz w:val="21"/>
          <w:szCs w:val="21"/>
          <w:lang w:val="en-US" w:eastAsia="zh-CN"/>
        </w:rPr>
        <w:t>《采购合同》</w:t>
      </w:r>
      <w:r>
        <w:rPr>
          <w:rFonts w:hint="eastAsia" w:ascii="宋体" w:hAnsi="宋体" w:eastAsia="宋体" w:cs="宋体"/>
          <w:b w:val="0"/>
          <w:bCs/>
          <w:sz w:val="21"/>
          <w:szCs w:val="21"/>
          <w:lang w:val="en-US" w:eastAsia="zh-CN"/>
        </w:rPr>
        <w:t>。</w:t>
      </w:r>
    </w:p>
    <w:p w14:paraId="2EB2CEA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采购联系人：0571-69936023黄老师</w:t>
      </w:r>
      <w:r>
        <w:rPr>
          <w:rFonts w:hint="eastAsia" w:ascii="宋体" w:hAnsi="宋体" w:eastAsia="宋体" w:cs="宋体"/>
          <w:b w:val="0"/>
          <w:bCs/>
          <w:kern w:val="0"/>
          <w:sz w:val="21"/>
          <w:szCs w:val="21"/>
          <w:lang w:val="en-US" w:eastAsia="zh-CN"/>
        </w:rPr>
        <w:t>。</w:t>
      </w:r>
    </w:p>
    <w:p w14:paraId="495D8D26">
      <w:pPr>
        <w:jc w:val="left"/>
        <w:rPr>
          <w:rFonts w:hint="eastAsia"/>
          <w:b w:val="0"/>
          <w:bCs/>
          <w:sz w:val="24"/>
          <w:szCs w:val="24"/>
          <w:lang w:val="en-US" w:eastAsia="zh-CN"/>
        </w:rPr>
      </w:pPr>
    </w:p>
    <w:p w14:paraId="26D10A0C">
      <w:pPr>
        <w:spacing w:line="360" w:lineRule="auto"/>
        <w:ind w:firstLine="420" w:firstLineChars="200"/>
        <w:jc w:val="left"/>
        <w:rPr>
          <w:rFonts w:ascii="宋体" w:hAnsi="宋体" w:cs="宋体"/>
          <w:sz w:val="21"/>
          <w:szCs w:val="21"/>
          <w:u w:val="single"/>
        </w:rPr>
      </w:pPr>
      <w:r>
        <w:rPr>
          <w:rFonts w:hint="eastAsia" w:ascii="宋体" w:hAnsi="宋体" w:cs="宋体"/>
          <w:sz w:val="21"/>
          <w:szCs w:val="21"/>
        </w:rPr>
        <w:t>投标响应方全称（公章）：</w:t>
      </w:r>
      <w:r>
        <w:rPr>
          <w:rFonts w:hint="eastAsia" w:ascii="宋体" w:hAnsi="宋体" w:cs="宋体"/>
          <w:sz w:val="21"/>
          <w:szCs w:val="21"/>
          <w:u w:val="single"/>
        </w:rPr>
        <w:t xml:space="preserve">                    </w:t>
      </w:r>
    </w:p>
    <w:p w14:paraId="7F909EE8">
      <w:pPr>
        <w:spacing w:line="360" w:lineRule="auto"/>
        <w:ind w:firstLine="420" w:firstLineChars="200"/>
        <w:jc w:val="left"/>
        <w:rPr>
          <w:rFonts w:ascii="宋体" w:hAnsi="宋体" w:cs="宋体"/>
          <w:sz w:val="21"/>
          <w:szCs w:val="21"/>
          <w:u w:val="single"/>
        </w:rPr>
      </w:pPr>
      <w:r>
        <w:rPr>
          <w:rFonts w:hint="eastAsia" w:ascii="宋体" w:hAnsi="宋体" w:cs="宋体"/>
          <w:sz w:val="21"/>
          <w:szCs w:val="21"/>
        </w:rPr>
        <w:t>全权代表签字：</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56F961A5">
      <w:pPr>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联系人及联系电话：</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14:paraId="780D8318">
      <w:pPr>
        <w:spacing w:line="360" w:lineRule="auto"/>
        <w:ind w:firstLine="420" w:firstLineChars="200"/>
        <w:jc w:val="left"/>
        <w:rPr>
          <w:rFonts w:hint="default"/>
          <w:lang w:val="en-US" w:eastAsia="zh-CN"/>
        </w:rPr>
      </w:pPr>
      <w:r>
        <w:rPr>
          <w:rFonts w:hint="eastAsia" w:ascii="宋体" w:hAnsi="宋体" w:cs="宋体"/>
          <w:sz w:val="21"/>
          <w:szCs w:val="21"/>
        </w:rPr>
        <w:t>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4C80343C">
      <w:pPr>
        <w:pageBreakBefore w:val="0"/>
        <w:kinsoku/>
        <w:wordWrap/>
        <w:overflowPunct/>
        <w:topLinePunct w:val="0"/>
        <w:autoSpaceDE/>
        <w:autoSpaceDN/>
        <w:bidi w:val="0"/>
        <w:adjustRightInd/>
        <w:spacing w:line="360" w:lineRule="auto"/>
        <w:ind w:left="0"/>
        <w:jc w:val="center"/>
        <w:rPr>
          <w:rFonts w:hint="eastAsia" w:ascii="宋体" w:hAnsi="宋体"/>
          <w:b/>
          <w:bCs/>
          <w:sz w:val="28"/>
          <w:szCs w:val="28"/>
          <w:lang w:val="en-US" w:eastAsia="zh-CN"/>
        </w:rPr>
        <w:sectPr>
          <w:footerReference r:id="rId3" w:type="default"/>
          <w:pgSz w:w="11906" w:h="16838"/>
          <w:pgMar w:top="1440" w:right="1800" w:bottom="1440" w:left="1800" w:header="851" w:footer="992" w:gutter="0"/>
          <w:cols w:space="720" w:num="1"/>
          <w:docGrid w:type="lines" w:linePitch="312" w:charSpace="0"/>
        </w:sectPr>
      </w:pPr>
    </w:p>
    <w:p w14:paraId="26AFDF25">
      <w:pPr>
        <w:pageBreakBefore w:val="0"/>
        <w:kinsoku/>
        <w:wordWrap/>
        <w:overflowPunct/>
        <w:topLinePunct w:val="0"/>
        <w:autoSpaceDE/>
        <w:autoSpaceDN/>
        <w:bidi w:val="0"/>
        <w:adjustRightInd/>
        <w:spacing w:line="360" w:lineRule="auto"/>
        <w:ind w:left="0"/>
        <w:jc w:val="center"/>
        <w:rPr>
          <w:rFonts w:hint="default" w:ascii="宋体" w:hAnsi="宋体" w:eastAsia="宋体"/>
          <w:b/>
          <w:bCs/>
          <w:sz w:val="28"/>
          <w:szCs w:val="28"/>
          <w:lang w:val="en-US" w:eastAsia="zh-CN"/>
        </w:rPr>
      </w:pPr>
      <w:r>
        <w:rPr>
          <w:rFonts w:hint="eastAsia" w:ascii="宋体" w:hAnsi="宋体"/>
          <w:b/>
          <w:bCs/>
          <w:sz w:val="28"/>
          <w:szCs w:val="28"/>
          <w:lang w:val="en-US" w:eastAsia="zh-CN"/>
        </w:rPr>
        <w:t>采购合同</w:t>
      </w:r>
    </w:p>
    <w:p w14:paraId="5F94BE0C">
      <w:pPr>
        <w:pageBreakBefore w:val="0"/>
        <w:kinsoku/>
        <w:wordWrap/>
        <w:overflowPunct/>
        <w:topLinePunct w:val="0"/>
        <w:autoSpaceDE/>
        <w:autoSpaceDN/>
        <w:bidi w:val="0"/>
        <w:adjustRightInd/>
        <w:snapToGrid w:val="0"/>
        <w:spacing w:line="360" w:lineRule="auto"/>
        <w:ind w:left="0"/>
        <w:jc w:val="center"/>
        <w:rPr>
          <w:rFonts w:hint="eastAsia" w:ascii="宋体" w:hAnsi="宋体" w:eastAsia="宋体" w:cs="Arial"/>
          <w:b w:val="0"/>
          <w:bCs/>
          <w:szCs w:val="21"/>
          <w:lang w:eastAsia="zh-CN"/>
        </w:rPr>
      </w:pPr>
      <w:r>
        <w:rPr>
          <w:rFonts w:hint="eastAsia" w:hAnsi="宋体" w:cs="宋体"/>
          <w:szCs w:val="21"/>
          <w:lang w:eastAsia="zh-CN"/>
        </w:rPr>
        <w:t>（</w:t>
      </w:r>
      <w:r>
        <w:rPr>
          <w:rFonts w:hint="eastAsia" w:hAnsi="宋体" w:cs="宋体"/>
          <w:szCs w:val="21"/>
        </w:rPr>
        <w:t>本合同为合同样稿，最终稿由双方协商后确定</w:t>
      </w:r>
      <w:r>
        <w:rPr>
          <w:rFonts w:hint="eastAsia" w:hAnsi="宋体" w:cs="宋体"/>
          <w:szCs w:val="21"/>
          <w:lang w:eastAsia="zh-CN"/>
        </w:rPr>
        <w:t>）</w:t>
      </w:r>
    </w:p>
    <w:p w14:paraId="4555609D">
      <w:pPr>
        <w:spacing w:line="348" w:lineRule="auto"/>
        <w:rPr>
          <w:rFonts w:ascii="宋体" w:hAnsi="宋体" w:cs="宋体"/>
          <w:szCs w:val="21"/>
        </w:rPr>
      </w:pPr>
      <w:r>
        <w:rPr>
          <w:rFonts w:hint="eastAsia" w:ascii="宋体" w:hAnsi="宋体" w:cs="宋体"/>
          <w:b/>
          <w:bCs/>
          <w:szCs w:val="21"/>
        </w:rPr>
        <w:t>甲方（需方）：</w:t>
      </w:r>
      <w:r>
        <w:rPr>
          <w:rFonts w:hint="eastAsia" w:ascii="宋体" w:hAnsi="宋体" w:cs="宋体"/>
          <w:szCs w:val="21"/>
          <w:u w:val="single"/>
        </w:rPr>
        <w:t>浙江工商大学杭州商学院</w:t>
      </w:r>
    </w:p>
    <w:p w14:paraId="6E82EAF5">
      <w:pPr>
        <w:spacing w:line="348" w:lineRule="auto"/>
        <w:rPr>
          <w:rFonts w:ascii="宋体" w:hAnsi="宋体" w:cs="宋体"/>
          <w:szCs w:val="21"/>
        </w:rPr>
      </w:pPr>
      <w:r>
        <w:rPr>
          <w:rFonts w:hint="eastAsia" w:ascii="宋体" w:hAnsi="宋体" w:cs="宋体"/>
          <w:b/>
          <w:bCs/>
          <w:szCs w:val="21"/>
        </w:rPr>
        <w:t>乙方（供方）：</w:t>
      </w:r>
    </w:p>
    <w:p w14:paraId="3224EE29">
      <w:pPr>
        <w:spacing w:line="348" w:lineRule="auto"/>
        <w:ind w:firstLine="420" w:firstLineChars="200"/>
        <w:rPr>
          <w:rFonts w:ascii="宋体" w:hAnsi="宋体" w:cs="宋体"/>
          <w:szCs w:val="21"/>
        </w:rPr>
      </w:pPr>
      <w:r>
        <w:rPr>
          <w:rFonts w:hint="eastAsia" w:ascii="宋体" w:hAnsi="宋体" w:cs="宋体"/>
          <w:szCs w:val="21"/>
        </w:rPr>
        <w:t>甲、乙双方根据浙江工商大学杭州商学院</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  月  日       项目</w:t>
      </w:r>
      <w:r>
        <w:rPr>
          <w:rFonts w:hint="eastAsia" w:ascii="宋体" w:hAnsi="宋体" w:cs="宋体"/>
          <w:szCs w:val="21"/>
        </w:rPr>
        <w:t xml:space="preserve"> </w:t>
      </w:r>
      <w:r>
        <w:rPr>
          <w:rFonts w:hint="eastAsia" w:ascii="宋体" w:hAnsi="宋体" w:cs="宋体"/>
          <w:szCs w:val="21"/>
          <w:lang w:val="en-US" w:eastAsia="zh-CN"/>
        </w:rPr>
        <w:t>政采云在线询价</w:t>
      </w:r>
      <w:r>
        <w:rPr>
          <w:rFonts w:hint="eastAsia" w:ascii="宋体" w:hAnsi="宋体" w:cs="宋体"/>
          <w:szCs w:val="21"/>
        </w:rPr>
        <w:t>的结果，确定</w:t>
      </w:r>
      <w:r>
        <w:rPr>
          <w:rFonts w:hint="eastAsia" w:ascii="宋体" w:hAnsi="宋体" w:cs="宋体"/>
          <w:szCs w:val="21"/>
          <w:u w:val="single"/>
        </w:rPr>
        <w:t>乙方</w:t>
      </w:r>
      <w:r>
        <w:rPr>
          <w:rFonts w:hint="eastAsia" w:ascii="宋体" w:hAnsi="宋体" w:cs="宋体"/>
          <w:szCs w:val="21"/>
        </w:rPr>
        <w:t>为该项目供应商。为明确双方的权利和义务，更好的保持合作关系,经双方友好协商共达成如下条款：</w:t>
      </w:r>
    </w:p>
    <w:p w14:paraId="251B2019">
      <w:pPr>
        <w:spacing w:line="348" w:lineRule="auto"/>
        <w:rPr>
          <w:rFonts w:ascii="宋体" w:hAnsi="宋体" w:cs="宋体"/>
          <w:b/>
          <w:bCs/>
          <w:szCs w:val="21"/>
        </w:rPr>
      </w:pPr>
      <w:r>
        <w:rPr>
          <w:rFonts w:hint="eastAsia" w:ascii="宋体" w:hAnsi="宋体" w:cs="宋体"/>
          <w:b/>
          <w:bCs/>
          <w:szCs w:val="21"/>
        </w:rPr>
        <w:t>一、采购产品清单及价格</w:t>
      </w:r>
    </w:p>
    <w:tbl>
      <w:tblPr>
        <w:tblStyle w:val="11"/>
        <w:tblW w:w="10035" w:type="dxa"/>
        <w:jc w:val="center"/>
        <w:tblLayout w:type="fixed"/>
        <w:tblCellMar>
          <w:top w:w="0" w:type="dxa"/>
          <w:left w:w="0" w:type="dxa"/>
          <w:bottom w:w="0" w:type="dxa"/>
          <w:right w:w="0" w:type="dxa"/>
        </w:tblCellMar>
      </w:tblPr>
      <w:tblGrid>
        <w:gridCol w:w="800"/>
        <w:gridCol w:w="1725"/>
        <w:gridCol w:w="1119"/>
        <w:gridCol w:w="1880"/>
        <w:gridCol w:w="875"/>
        <w:gridCol w:w="986"/>
        <w:gridCol w:w="1276"/>
        <w:gridCol w:w="1374"/>
      </w:tblGrid>
      <w:tr w14:paraId="3B602629">
        <w:tblPrEx>
          <w:tblCellMar>
            <w:top w:w="0" w:type="dxa"/>
            <w:left w:w="0" w:type="dxa"/>
            <w:bottom w:w="0" w:type="dxa"/>
            <w:right w:w="0" w:type="dxa"/>
          </w:tblCellMar>
        </w:tblPrEx>
        <w:trPr>
          <w:trHeight w:val="567" w:hRule="atLeast"/>
          <w:jc w:val="center"/>
        </w:trPr>
        <w:tc>
          <w:tcPr>
            <w:tcW w:w="8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DD23D0">
            <w:pPr>
              <w:jc w:val="center"/>
              <w:rPr>
                <w:rFonts w:ascii="宋体" w:hAnsi="宋体" w:cs="宋体"/>
                <w:szCs w:val="21"/>
              </w:rPr>
            </w:pPr>
            <w:r>
              <w:rPr>
                <w:rFonts w:hint="eastAsia" w:ascii="宋体" w:hAnsi="宋体" w:cs="宋体"/>
                <w:szCs w:val="21"/>
              </w:rPr>
              <w:t>序号</w:t>
            </w:r>
          </w:p>
        </w:tc>
        <w:tc>
          <w:tcPr>
            <w:tcW w:w="1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19E74E">
            <w:pPr>
              <w:jc w:val="center"/>
              <w:rPr>
                <w:rFonts w:ascii="宋体" w:hAnsi="宋体" w:cs="宋体"/>
                <w:szCs w:val="21"/>
              </w:rPr>
            </w:pPr>
            <w:r>
              <w:rPr>
                <w:rFonts w:hint="eastAsia" w:ascii="宋体" w:hAnsi="宋体" w:cs="宋体"/>
                <w:szCs w:val="21"/>
              </w:rPr>
              <w:t>产品</w:t>
            </w:r>
          </w:p>
        </w:tc>
        <w:tc>
          <w:tcPr>
            <w:tcW w:w="11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756B6A4">
            <w:pPr>
              <w:jc w:val="center"/>
              <w:rPr>
                <w:rFonts w:ascii="宋体" w:hAnsi="宋体" w:cs="宋体"/>
                <w:szCs w:val="21"/>
              </w:rPr>
            </w:pPr>
            <w:r>
              <w:rPr>
                <w:rFonts w:hint="eastAsia" w:ascii="宋体" w:hAnsi="宋体" w:cs="宋体"/>
                <w:szCs w:val="21"/>
              </w:rPr>
              <w:t>品牌</w:t>
            </w: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1B4B1A">
            <w:pPr>
              <w:jc w:val="center"/>
              <w:rPr>
                <w:rFonts w:ascii="宋体" w:hAnsi="宋体" w:cs="宋体"/>
                <w:szCs w:val="21"/>
              </w:rPr>
            </w:pPr>
            <w:r>
              <w:rPr>
                <w:rFonts w:hint="eastAsia" w:ascii="宋体" w:hAnsi="宋体" w:cs="宋体"/>
                <w:szCs w:val="21"/>
              </w:rPr>
              <w:t>规格型号</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0CE8E28">
            <w:pPr>
              <w:jc w:val="center"/>
              <w:rPr>
                <w:rFonts w:ascii="宋体" w:hAnsi="宋体" w:cs="宋体"/>
                <w:szCs w:val="21"/>
              </w:rPr>
            </w:pPr>
            <w:r>
              <w:rPr>
                <w:rFonts w:hint="eastAsia" w:ascii="宋体" w:hAnsi="宋体" w:cs="宋体"/>
                <w:szCs w:val="21"/>
              </w:rPr>
              <w:t>单位</w:t>
            </w:r>
          </w:p>
        </w:tc>
        <w:tc>
          <w:tcPr>
            <w:tcW w:w="9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566F80">
            <w:pPr>
              <w:jc w:val="center"/>
              <w:rPr>
                <w:rFonts w:ascii="宋体" w:hAnsi="宋体" w:cs="宋体"/>
                <w:szCs w:val="21"/>
              </w:rPr>
            </w:pPr>
            <w:r>
              <w:rPr>
                <w:rFonts w:hint="eastAsia" w:ascii="宋体" w:hAnsi="宋体" w:cs="宋体"/>
                <w:szCs w:val="21"/>
              </w:rPr>
              <w:t>数量</w:t>
            </w:r>
          </w:p>
        </w:tc>
        <w:tc>
          <w:tcPr>
            <w:tcW w:w="1276" w:type="dxa"/>
            <w:tcBorders>
              <w:top w:val="single" w:color="auto" w:sz="4" w:space="0"/>
              <w:left w:val="nil"/>
              <w:bottom w:val="single" w:color="auto" w:sz="4" w:space="0"/>
              <w:right w:val="single" w:color="auto" w:sz="4" w:space="0"/>
            </w:tcBorders>
            <w:vAlign w:val="center"/>
          </w:tcPr>
          <w:p w14:paraId="6EABA779">
            <w:pPr>
              <w:jc w:val="center"/>
              <w:rPr>
                <w:rFonts w:ascii="宋体" w:hAnsi="宋体" w:cs="宋体"/>
                <w:szCs w:val="21"/>
              </w:rPr>
            </w:pPr>
            <w:r>
              <w:rPr>
                <w:rFonts w:hint="eastAsia" w:ascii="宋体" w:hAnsi="宋体" w:cs="宋体"/>
                <w:szCs w:val="21"/>
              </w:rPr>
              <w:t>单价（元）</w:t>
            </w:r>
          </w:p>
        </w:tc>
        <w:tc>
          <w:tcPr>
            <w:tcW w:w="13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237794">
            <w:pPr>
              <w:jc w:val="center"/>
              <w:rPr>
                <w:rFonts w:ascii="宋体" w:hAnsi="宋体" w:cs="宋体"/>
                <w:szCs w:val="21"/>
              </w:rPr>
            </w:pPr>
            <w:r>
              <w:rPr>
                <w:rFonts w:hint="eastAsia" w:ascii="宋体" w:hAnsi="宋体" w:cs="宋体"/>
                <w:szCs w:val="21"/>
              </w:rPr>
              <w:t>金额（元）</w:t>
            </w:r>
          </w:p>
        </w:tc>
      </w:tr>
      <w:tr w14:paraId="2E386DE2">
        <w:tblPrEx>
          <w:tblCellMar>
            <w:top w:w="0" w:type="dxa"/>
            <w:left w:w="0" w:type="dxa"/>
            <w:bottom w:w="0" w:type="dxa"/>
            <w:right w:w="0" w:type="dxa"/>
          </w:tblCellMar>
        </w:tblPrEx>
        <w:trPr>
          <w:trHeight w:val="567" w:hRule="atLeast"/>
          <w:jc w:val="center"/>
        </w:trPr>
        <w:tc>
          <w:tcPr>
            <w:tcW w:w="80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E33928E">
            <w:pPr>
              <w:jc w:val="center"/>
              <w:rPr>
                <w:rFonts w:ascii="宋体" w:hAnsi="宋体" w:cs="宋体"/>
                <w:szCs w:val="21"/>
              </w:rPr>
            </w:pPr>
            <w:r>
              <w:rPr>
                <w:rFonts w:hint="eastAsia" w:ascii="宋体" w:hAnsi="宋体" w:cs="宋体"/>
                <w:szCs w:val="21"/>
              </w:rPr>
              <w:t>1</w:t>
            </w:r>
          </w:p>
        </w:tc>
        <w:tc>
          <w:tcPr>
            <w:tcW w:w="1725" w:type="dxa"/>
            <w:tcBorders>
              <w:top w:val="nil"/>
              <w:left w:val="nil"/>
              <w:bottom w:val="single" w:color="auto" w:sz="4" w:space="0"/>
              <w:right w:val="single" w:color="auto" w:sz="4" w:space="0"/>
            </w:tcBorders>
            <w:tcMar>
              <w:top w:w="15" w:type="dxa"/>
              <w:left w:w="15" w:type="dxa"/>
              <w:bottom w:w="0" w:type="dxa"/>
              <w:right w:w="15" w:type="dxa"/>
            </w:tcMar>
            <w:vAlign w:val="center"/>
          </w:tcPr>
          <w:p w14:paraId="7FFE0BFC">
            <w:pPr>
              <w:widowControl/>
              <w:jc w:val="center"/>
              <w:textAlignment w:val="center"/>
              <w:rPr>
                <w:rFonts w:ascii="宋体" w:hAnsi="宋体" w:cs="宋体"/>
                <w:color w:val="000000"/>
                <w:szCs w:val="21"/>
              </w:rPr>
            </w:pPr>
          </w:p>
        </w:tc>
        <w:tc>
          <w:tcPr>
            <w:tcW w:w="1119" w:type="dxa"/>
            <w:tcBorders>
              <w:top w:val="nil"/>
              <w:left w:val="nil"/>
              <w:bottom w:val="single" w:color="auto" w:sz="4" w:space="0"/>
              <w:right w:val="single" w:color="auto" w:sz="4" w:space="0"/>
            </w:tcBorders>
            <w:tcMar>
              <w:top w:w="15" w:type="dxa"/>
              <w:left w:w="15" w:type="dxa"/>
              <w:bottom w:w="0" w:type="dxa"/>
              <w:right w:w="15" w:type="dxa"/>
            </w:tcMar>
            <w:vAlign w:val="center"/>
          </w:tcPr>
          <w:p w14:paraId="09396940">
            <w:pPr>
              <w:widowControl/>
              <w:jc w:val="center"/>
              <w:textAlignment w:val="center"/>
              <w:rPr>
                <w:rFonts w:ascii="宋体" w:hAnsi="宋体" w:cs="宋体"/>
                <w:color w:val="000000"/>
                <w:kern w:val="0"/>
                <w:szCs w:val="21"/>
                <w:lang w:bidi="ar"/>
              </w:rPr>
            </w:pPr>
          </w:p>
        </w:tc>
        <w:tc>
          <w:tcPr>
            <w:tcW w:w="1880" w:type="dxa"/>
            <w:tcBorders>
              <w:top w:val="nil"/>
              <w:left w:val="nil"/>
              <w:bottom w:val="single" w:color="auto" w:sz="4" w:space="0"/>
              <w:right w:val="single" w:color="auto" w:sz="4" w:space="0"/>
            </w:tcBorders>
            <w:tcMar>
              <w:top w:w="15" w:type="dxa"/>
              <w:left w:w="15" w:type="dxa"/>
              <w:bottom w:w="0" w:type="dxa"/>
              <w:right w:w="15" w:type="dxa"/>
            </w:tcMar>
            <w:vAlign w:val="center"/>
          </w:tcPr>
          <w:p w14:paraId="52DED6F0">
            <w:pPr>
              <w:widowControl/>
              <w:jc w:val="center"/>
              <w:textAlignment w:val="center"/>
              <w:rPr>
                <w:rFonts w:ascii="宋体" w:hAnsi="宋体" w:cs="宋体"/>
                <w:color w:val="000000"/>
                <w:kern w:val="0"/>
                <w:szCs w:val="21"/>
                <w:lang w:bidi="ar"/>
              </w:rPr>
            </w:pPr>
          </w:p>
        </w:tc>
        <w:tc>
          <w:tcPr>
            <w:tcW w:w="875" w:type="dxa"/>
            <w:tcBorders>
              <w:top w:val="nil"/>
              <w:left w:val="nil"/>
              <w:bottom w:val="single" w:color="auto" w:sz="4" w:space="0"/>
              <w:right w:val="single" w:color="auto" w:sz="4" w:space="0"/>
            </w:tcBorders>
            <w:tcMar>
              <w:top w:w="15" w:type="dxa"/>
              <w:left w:w="15" w:type="dxa"/>
              <w:bottom w:w="0" w:type="dxa"/>
              <w:right w:w="15" w:type="dxa"/>
            </w:tcMar>
            <w:vAlign w:val="center"/>
          </w:tcPr>
          <w:p w14:paraId="1C5EEE0E">
            <w:pPr>
              <w:widowControl/>
              <w:jc w:val="center"/>
              <w:textAlignment w:val="center"/>
              <w:rPr>
                <w:rFonts w:ascii="宋体" w:hAnsi="宋体" w:cs="宋体"/>
                <w:color w:val="000000"/>
                <w:szCs w:val="21"/>
              </w:rPr>
            </w:pPr>
          </w:p>
        </w:tc>
        <w:tc>
          <w:tcPr>
            <w:tcW w:w="986" w:type="dxa"/>
            <w:tcBorders>
              <w:top w:val="nil"/>
              <w:left w:val="nil"/>
              <w:bottom w:val="single" w:color="auto" w:sz="4" w:space="0"/>
              <w:right w:val="single" w:color="auto" w:sz="4" w:space="0"/>
            </w:tcBorders>
            <w:tcMar>
              <w:top w:w="15" w:type="dxa"/>
              <w:left w:w="15" w:type="dxa"/>
              <w:bottom w:w="0" w:type="dxa"/>
              <w:right w:w="15" w:type="dxa"/>
            </w:tcMar>
            <w:vAlign w:val="center"/>
          </w:tcPr>
          <w:p w14:paraId="6867BA28">
            <w:pPr>
              <w:widowControl/>
              <w:jc w:val="center"/>
              <w:textAlignment w:val="center"/>
              <w:rPr>
                <w:rFonts w:ascii="宋体" w:hAnsi="宋体" w:cs="宋体"/>
                <w:color w:val="000000"/>
                <w:szCs w:val="21"/>
              </w:rPr>
            </w:pPr>
          </w:p>
        </w:tc>
        <w:tc>
          <w:tcPr>
            <w:tcW w:w="1276" w:type="dxa"/>
            <w:tcBorders>
              <w:top w:val="nil"/>
              <w:left w:val="nil"/>
              <w:bottom w:val="single" w:color="auto" w:sz="4" w:space="0"/>
              <w:right w:val="single" w:color="auto" w:sz="4" w:space="0"/>
            </w:tcBorders>
            <w:vAlign w:val="center"/>
          </w:tcPr>
          <w:p w14:paraId="4B71BBA2">
            <w:pPr>
              <w:widowControl/>
              <w:spacing w:line="30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w:t>
            </w:r>
          </w:p>
        </w:tc>
        <w:tc>
          <w:tcPr>
            <w:tcW w:w="1374" w:type="dxa"/>
            <w:tcBorders>
              <w:top w:val="nil"/>
              <w:left w:val="nil"/>
              <w:bottom w:val="single" w:color="auto" w:sz="4" w:space="0"/>
              <w:right w:val="single" w:color="auto" w:sz="4" w:space="0"/>
            </w:tcBorders>
            <w:tcMar>
              <w:top w:w="15" w:type="dxa"/>
              <w:left w:w="15" w:type="dxa"/>
              <w:bottom w:w="0" w:type="dxa"/>
              <w:right w:w="15" w:type="dxa"/>
            </w:tcMar>
            <w:vAlign w:val="center"/>
          </w:tcPr>
          <w:p w14:paraId="295E15CC">
            <w:pPr>
              <w:widowControl/>
              <w:spacing w:line="300" w:lineRule="auto"/>
              <w:jc w:val="center"/>
              <w:textAlignment w:val="center"/>
              <w:rPr>
                <w:rFonts w:ascii="宋体" w:hAnsi="宋体" w:cs="宋体"/>
                <w:color w:val="000000"/>
                <w:szCs w:val="21"/>
              </w:rPr>
            </w:pPr>
          </w:p>
        </w:tc>
      </w:tr>
      <w:tr w14:paraId="692717CC">
        <w:tblPrEx>
          <w:tblCellMar>
            <w:top w:w="0" w:type="dxa"/>
            <w:left w:w="0" w:type="dxa"/>
            <w:bottom w:w="0" w:type="dxa"/>
            <w:right w:w="0" w:type="dxa"/>
          </w:tblCellMar>
        </w:tblPrEx>
        <w:trPr>
          <w:trHeight w:val="567" w:hRule="atLeast"/>
          <w:jc w:val="center"/>
        </w:trPr>
        <w:tc>
          <w:tcPr>
            <w:tcW w:w="6399" w:type="dxa"/>
            <w:gridSpan w:val="5"/>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F9D4414">
            <w:pPr>
              <w:jc w:val="center"/>
              <w:rPr>
                <w:rFonts w:ascii="宋体" w:hAnsi="宋体" w:cs="宋体"/>
                <w:szCs w:val="21"/>
              </w:rPr>
            </w:pPr>
            <w:r>
              <w:rPr>
                <w:rFonts w:hint="eastAsia" w:ascii="宋体" w:hAnsi="宋体" w:cs="宋体"/>
                <w:szCs w:val="21"/>
              </w:rPr>
              <w:t>合计        大写：人民币</w:t>
            </w:r>
          </w:p>
        </w:tc>
        <w:tc>
          <w:tcPr>
            <w:tcW w:w="3636"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14:paraId="3D7E6318">
            <w:pPr>
              <w:jc w:val="center"/>
              <w:rPr>
                <w:rFonts w:ascii="宋体" w:hAnsi="宋体" w:cs="宋体"/>
                <w:szCs w:val="21"/>
              </w:rPr>
            </w:pPr>
            <w:r>
              <w:rPr>
                <w:rFonts w:hint="eastAsia" w:ascii="宋体" w:hAnsi="宋体" w:cs="宋体"/>
                <w:color w:val="000000"/>
                <w:szCs w:val="21"/>
              </w:rPr>
              <w:t>小写：￥</w:t>
            </w:r>
          </w:p>
        </w:tc>
      </w:tr>
    </w:tbl>
    <w:p w14:paraId="4E521101">
      <w:pPr>
        <w:spacing w:line="348" w:lineRule="auto"/>
        <w:ind w:firstLine="420" w:firstLineChars="200"/>
        <w:rPr>
          <w:rFonts w:ascii="宋体" w:hAnsi="宋体" w:cs="宋体"/>
          <w:szCs w:val="21"/>
        </w:rPr>
      </w:pPr>
      <w:r>
        <w:rPr>
          <w:rFonts w:hint="eastAsia" w:ascii="宋体" w:hAnsi="宋体" w:cs="宋体"/>
          <w:szCs w:val="21"/>
        </w:rPr>
        <w:t>注：报价包括运抵各供货地点的包装、运输、装卸、保险、安装、调试、所需附件、辅料、培训、验收及售后服务等发生的所有费用和税金。</w:t>
      </w:r>
    </w:p>
    <w:p w14:paraId="4DC0BD51">
      <w:pPr>
        <w:pStyle w:val="5"/>
        <w:snapToGrid w:val="0"/>
        <w:spacing w:line="360" w:lineRule="auto"/>
        <w:rPr>
          <w:rFonts w:hAnsi="宋体" w:cs="宋体"/>
          <w:b/>
        </w:rPr>
      </w:pPr>
      <w:r>
        <w:rPr>
          <w:rFonts w:hint="eastAsia" w:hAnsi="宋体" w:cs="宋体"/>
          <w:b/>
        </w:rPr>
        <w:t>二、技术资料</w:t>
      </w:r>
    </w:p>
    <w:p w14:paraId="46D62BE3">
      <w:pPr>
        <w:pStyle w:val="5"/>
        <w:snapToGrid w:val="0"/>
        <w:spacing w:line="360" w:lineRule="auto"/>
        <w:ind w:firstLine="420" w:firstLineChars="200"/>
        <w:rPr>
          <w:rFonts w:hAnsi="宋体" w:cs="宋体"/>
        </w:rPr>
      </w:pPr>
      <w:r>
        <w:rPr>
          <w:rFonts w:hint="eastAsia" w:hAnsi="宋体" w:cs="宋体"/>
        </w:rPr>
        <w:t>1.乙方应按</w:t>
      </w:r>
      <w:r>
        <w:rPr>
          <w:rFonts w:hint="eastAsia" w:hAnsi="宋体" w:cs="宋体"/>
          <w:lang w:eastAsia="zh-CN"/>
        </w:rPr>
        <w:t>采购</w:t>
      </w:r>
      <w:r>
        <w:rPr>
          <w:rFonts w:hint="eastAsia" w:hAnsi="宋体" w:cs="宋体"/>
        </w:rPr>
        <w:t>文件的规定，向甲方提供产品的有关技术资料。</w:t>
      </w:r>
    </w:p>
    <w:p w14:paraId="2A1F29CA">
      <w:pPr>
        <w:pStyle w:val="5"/>
        <w:snapToGrid w:val="0"/>
        <w:spacing w:line="360" w:lineRule="auto"/>
        <w:ind w:firstLine="420" w:firstLineChars="200"/>
        <w:rPr>
          <w:rFonts w:hAnsi="宋体" w:cs="宋体"/>
        </w:rPr>
      </w:pPr>
      <w:r>
        <w:rPr>
          <w:rFonts w:hint="eastAsia"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FEC0F9">
      <w:pPr>
        <w:pStyle w:val="5"/>
        <w:snapToGrid w:val="0"/>
        <w:spacing w:line="360" w:lineRule="auto"/>
        <w:rPr>
          <w:rFonts w:hAnsi="宋体" w:cs="宋体"/>
          <w:b/>
        </w:rPr>
      </w:pPr>
      <w:r>
        <w:rPr>
          <w:rFonts w:hint="eastAsia" w:hAnsi="宋体" w:cs="宋体"/>
          <w:b/>
        </w:rPr>
        <w:t>三、知识产权</w:t>
      </w:r>
    </w:p>
    <w:p w14:paraId="0409EAF0">
      <w:pPr>
        <w:pStyle w:val="5"/>
        <w:snapToGrid w:val="0"/>
        <w:spacing w:line="360" w:lineRule="auto"/>
        <w:ind w:firstLine="420" w:firstLineChars="200"/>
        <w:rPr>
          <w:rFonts w:hAnsi="宋体" w:cs="宋体"/>
        </w:rPr>
      </w:pPr>
      <w:r>
        <w:rPr>
          <w:rFonts w:hint="eastAsia" w:hAnsi="宋体" w:cs="宋体"/>
        </w:rPr>
        <w:t>乙方应保证所提供的产品或其任何一部分均不会侵犯任何第三方的知识产权。</w:t>
      </w:r>
    </w:p>
    <w:p w14:paraId="4E4D3F1E">
      <w:pPr>
        <w:pStyle w:val="5"/>
        <w:snapToGrid w:val="0"/>
        <w:spacing w:line="360" w:lineRule="auto"/>
        <w:rPr>
          <w:rFonts w:hAnsi="宋体" w:cs="宋体"/>
          <w:b/>
        </w:rPr>
      </w:pPr>
      <w:r>
        <w:rPr>
          <w:rFonts w:hint="eastAsia" w:hAnsi="宋体" w:cs="宋体"/>
          <w:b/>
        </w:rPr>
        <w:t>四、产权担保</w:t>
      </w:r>
    </w:p>
    <w:p w14:paraId="398B67E9">
      <w:pPr>
        <w:pStyle w:val="5"/>
        <w:snapToGrid w:val="0"/>
        <w:spacing w:line="360" w:lineRule="auto"/>
        <w:ind w:firstLine="420" w:firstLineChars="200"/>
        <w:rPr>
          <w:rFonts w:hAnsi="宋体" w:cs="宋体"/>
        </w:rPr>
      </w:pPr>
      <w:r>
        <w:rPr>
          <w:rFonts w:hint="eastAsia" w:hAnsi="宋体" w:cs="宋体"/>
        </w:rPr>
        <w:t>乙方保证所交付的产品的所有权完全属于乙方且无任何抵押、查封等产权瑕疵。</w:t>
      </w:r>
    </w:p>
    <w:p w14:paraId="13A7825C">
      <w:pPr>
        <w:pStyle w:val="5"/>
        <w:tabs>
          <w:tab w:val="right" w:pos="8306"/>
        </w:tabs>
        <w:snapToGrid w:val="0"/>
        <w:spacing w:line="360" w:lineRule="auto"/>
        <w:rPr>
          <w:rFonts w:hAnsi="宋体" w:cs="宋体"/>
          <w:b/>
        </w:rPr>
      </w:pPr>
      <w:r>
        <w:rPr>
          <w:rFonts w:hint="eastAsia" w:hAnsi="宋体" w:cs="宋体"/>
          <w:b/>
        </w:rPr>
        <w:t>五、质量保证</w:t>
      </w:r>
      <w:r>
        <w:rPr>
          <w:rFonts w:hint="eastAsia" w:hAnsi="宋体" w:cs="宋体"/>
          <w:b/>
        </w:rPr>
        <w:tab/>
      </w:r>
    </w:p>
    <w:p w14:paraId="790377D4">
      <w:pPr>
        <w:pStyle w:val="5"/>
        <w:snapToGrid w:val="0"/>
        <w:spacing w:line="360" w:lineRule="auto"/>
        <w:ind w:firstLine="420" w:firstLineChars="200"/>
        <w:rPr>
          <w:rFonts w:hAnsi="宋体" w:cs="宋体"/>
        </w:rPr>
      </w:pPr>
      <w:r>
        <w:rPr>
          <w:rFonts w:hint="eastAsia" w:hAnsi="宋体" w:cs="宋体"/>
        </w:rPr>
        <w:t>乙方保证本合同中所供应的产品是符合国家技术规格质量标准、及</w:t>
      </w:r>
      <w:r>
        <w:rPr>
          <w:rFonts w:hint="eastAsia" w:hAnsi="宋体" w:cs="宋体"/>
          <w:lang w:eastAsia="zh-CN"/>
        </w:rPr>
        <w:t>采购</w:t>
      </w:r>
      <w:r>
        <w:rPr>
          <w:rFonts w:hint="eastAsia" w:hAnsi="宋体" w:cs="宋体"/>
        </w:rPr>
        <w:t>文件规定的合格产品。如发生所供产品与</w:t>
      </w:r>
      <w:r>
        <w:rPr>
          <w:rFonts w:hint="eastAsia" w:hAnsi="宋体" w:cs="宋体"/>
          <w:lang w:eastAsia="zh-CN"/>
        </w:rPr>
        <w:t>采购</w:t>
      </w:r>
      <w:r>
        <w:rPr>
          <w:rFonts w:hint="eastAsia" w:hAnsi="宋体" w:cs="宋体"/>
        </w:rPr>
        <w:t>文件、合同不符或不符合国家技术规格和质量标准的，甲方有权拒收或退货，由此产生的一切责任和后果由乙方承担。</w:t>
      </w:r>
    </w:p>
    <w:p w14:paraId="070ABACB">
      <w:pPr>
        <w:pStyle w:val="5"/>
        <w:snapToGrid w:val="0"/>
        <w:spacing w:line="360" w:lineRule="auto"/>
        <w:ind w:firstLine="420" w:firstLineChars="200"/>
        <w:rPr>
          <w:rFonts w:hAnsi="宋体" w:cs="宋体"/>
        </w:rPr>
      </w:pPr>
      <w:r>
        <w:rPr>
          <w:rFonts w:hint="eastAsia" w:hAnsi="宋体" w:cs="宋体"/>
        </w:rPr>
        <w:t>在质保期内，乙方应对产品出现的质量及安全问题负责处理解决并承担一切费用。</w:t>
      </w:r>
    </w:p>
    <w:p w14:paraId="50603AA3">
      <w:pPr>
        <w:pStyle w:val="5"/>
        <w:snapToGrid w:val="0"/>
        <w:spacing w:line="360" w:lineRule="auto"/>
        <w:rPr>
          <w:rFonts w:hAnsi="宋体" w:cs="宋体"/>
          <w:b/>
        </w:rPr>
      </w:pPr>
      <w:r>
        <w:rPr>
          <w:rFonts w:hint="eastAsia" w:hAnsi="宋体" w:cs="宋体"/>
          <w:b/>
        </w:rPr>
        <w:t>六、委托履行的禁止</w:t>
      </w:r>
    </w:p>
    <w:p w14:paraId="5BED0150">
      <w:pPr>
        <w:pStyle w:val="5"/>
        <w:snapToGrid w:val="0"/>
        <w:spacing w:line="360" w:lineRule="auto"/>
        <w:ind w:firstLine="420" w:firstLineChars="200"/>
        <w:rPr>
          <w:rFonts w:hAnsi="宋体" w:cs="宋体"/>
        </w:rPr>
      </w:pPr>
      <w:r>
        <w:rPr>
          <w:rFonts w:hint="eastAsia" w:hAnsi="宋体" w:cs="宋体"/>
        </w:rPr>
        <w:t>1.乙方依据本合同约定承担的义务，非经甲方书面同意，不得委托第三方履行。</w:t>
      </w:r>
    </w:p>
    <w:p w14:paraId="1F15AEF5">
      <w:pPr>
        <w:pStyle w:val="5"/>
        <w:snapToGrid w:val="0"/>
        <w:spacing w:line="360" w:lineRule="auto"/>
        <w:ind w:firstLine="420" w:firstLineChars="200"/>
        <w:rPr>
          <w:rFonts w:hAnsi="宋体" w:cs="宋体"/>
        </w:rPr>
      </w:pPr>
      <w:r>
        <w:rPr>
          <w:rFonts w:hint="eastAsia" w:hAnsi="宋体" w:cs="宋体"/>
        </w:rPr>
        <w:t>2.如有转让和未经甲方同意的分包行为，甲方有权解除合同，没收履约保证金并追究乙方的违约责任。</w:t>
      </w:r>
    </w:p>
    <w:p w14:paraId="5CB61E3C">
      <w:pPr>
        <w:pStyle w:val="5"/>
        <w:snapToGrid w:val="0"/>
        <w:spacing w:line="360" w:lineRule="auto"/>
        <w:rPr>
          <w:rFonts w:hAnsi="宋体" w:cs="宋体"/>
          <w:b/>
        </w:rPr>
      </w:pPr>
      <w:r>
        <w:rPr>
          <w:rFonts w:hint="eastAsia" w:hAnsi="宋体" w:cs="宋体"/>
          <w:b/>
        </w:rPr>
        <w:t>七、履约保证金</w:t>
      </w:r>
    </w:p>
    <w:p w14:paraId="3EA03B21">
      <w:pPr>
        <w:pStyle w:val="5"/>
        <w:snapToGrid w:val="0"/>
        <w:spacing w:line="360" w:lineRule="auto"/>
        <w:ind w:firstLine="420" w:firstLineChars="200"/>
        <w:rPr>
          <w:rFonts w:hAnsi="宋体" w:cs="宋体"/>
        </w:rPr>
      </w:pPr>
      <w:r>
        <w:rPr>
          <w:rFonts w:hint="eastAsia" w:hAnsi="宋体" w:cs="宋体"/>
          <w:lang w:val="en-US" w:eastAsia="zh-CN"/>
        </w:rPr>
        <w:t>无</w:t>
      </w:r>
      <w:r>
        <w:rPr>
          <w:rFonts w:hint="eastAsia" w:hAnsi="宋体" w:cs="宋体"/>
        </w:rPr>
        <w:t>。</w:t>
      </w:r>
    </w:p>
    <w:p w14:paraId="22C88337">
      <w:pPr>
        <w:pStyle w:val="5"/>
        <w:snapToGrid w:val="0"/>
        <w:spacing w:line="360" w:lineRule="auto"/>
        <w:rPr>
          <w:rFonts w:hAnsi="宋体" w:cs="宋体"/>
          <w:b/>
        </w:rPr>
      </w:pPr>
      <w:r>
        <w:rPr>
          <w:rFonts w:hint="eastAsia" w:hAnsi="宋体" w:cs="宋体"/>
          <w:b/>
        </w:rPr>
        <w:t>八、交货时间、地点</w:t>
      </w:r>
    </w:p>
    <w:p w14:paraId="5639DEA3">
      <w:pPr>
        <w:pStyle w:val="5"/>
        <w:snapToGrid w:val="0"/>
        <w:spacing w:line="360" w:lineRule="auto"/>
        <w:ind w:firstLine="420" w:firstLineChars="200"/>
        <w:rPr>
          <w:rFonts w:hAnsi="宋体" w:cs="宋体"/>
        </w:rPr>
      </w:pPr>
      <w:r>
        <w:rPr>
          <w:rFonts w:hint="eastAsia" w:hAnsi="宋体" w:cs="宋体"/>
          <w:lang w:val="en-US" w:eastAsia="zh-CN"/>
        </w:rPr>
        <w:t>1</w:t>
      </w:r>
      <w:r>
        <w:rPr>
          <w:rFonts w:hint="eastAsia" w:hAnsi="宋体" w:cs="宋体"/>
        </w:rPr>
        <w:t>.在所供产品交付使用时，乙方必须向甲方提供产品说明书、保修卡等必须具备的相关资料和必备的附件。</w:t>
      </w:r>
    </w:p>
    <w:p w14:paraId="5DE6E188">
      <w:pPr>
        <w:pStyle w:val="5"/>
        <w:snapToGrid w:val="0"/>
        <w:spacing w:line="360" w:lineRule="auto"/>
        <w:ind w:firstLine="420" w:firstLineChars="200"/>
        <w:rPr>
          <w:rFonts w:hAnsi="宋体" w:cs="宋体"/>
        </w:rPr>
      </w:pPr>
      <w:r>
        <w:rPr>
          <w:rFonts w:hint="eastAsia" w:hAnsi="宋体" w:cs="宋体"/>
          <w:lang w:val="en-US" w:eastAsia="zh-CN"/>
        </w:rPr>
        <w:t>2</w:t>
      </w:r>
      <w:r>
        <w:rPr>
          <w:rFonts w:hint="eastAsia" w:hAnsi="宋体" w:cs="宋体"/>
        </w:rPr>
        <w:t>.在乙方安装调试完毕并交甲方接收前，产品的风险及一切费用由乙方承担。</w:t>
      </w:r>
    </w:p>
    <w:p w14:paraId="0889AE06">
      <w:pPr>
        <w:pStyle w:val="5"/>
        <w:snapToGrid w:val="0"/>
        <w:spacing w:line="360" w:lineRule="auto"/>
        <w:rPr>
          <w:rFonts w:hAnsi="宋体" w:cs="宋体"/>
          <w:b/>
        </w:rPr>
      </w:pPr>
      <w:r>
        <w:rPr>
          <w:rFonts w:hint="eastAsia" w:hAnsi="宋体" w:cs="宋体"/>
          <w:b/>
        </w:rPr>
        <w:t>九、产品包装、发运及运输</w:t>
      </w:r>
      <w:r>
        <w:rPr>
          <w:rFonts w:hint="eastAsia" w:hAnsi="宋体" w:cs="宋体"/>
          <w:b/>
        </w:rPr>
        <w:br w:type="textWrapping"/>
      </w:r>
      <w:r>
        <w:rPr>
          <w:rFonts w:hint="eastAsia" w:hAnsi="宋体" w:cs="宋体"/>
          <w:b/>
        </w:rPr>
        <w:t xml:space="preserve">    </w:t>
      </w:r>
      <w:r>
        <w:rPr>
          <w:rFonts w:hint="eastAsia" w:hAnsi="宋体" w:cs="宋体"/>
        </w:rPr>
        <w:t>1.乙方应在产品发运前对其进行满足运输距离、防潮、防震、防锈和防破损装卸等要求包装，以保证产品安全运达甲方指定地点。</w:t>
      </w:r>
      <w:r>
        <w:rPr>
          <w:rFonts w:hint="eastAsia" w:hAnsi="宋体" w:cs="宋体"/>
        </w:rPr>
        <w:br w:type="textWrapping"/>
      </w:r>
      <w:r>
        <w:rPr>
          <w:rFonts w:hint="eastAsia" w:hAnsi="宋体" w:cs="宋体"/>
        </w:rPr>
        <w:t xml:space="preserve">    2.使用说明书、质量检验证明书、随配附件和工具以及清单一并附于产品内。</w:t>
      </w:r>
      <w:r>
        <w:rPr>
          <w:rFonts w:hint="eastAsia" w:hAnsi="宋体" w:cs="宋体"/>
        </w:rPr>
        <w:br w:type="textWrapping"/>
      </w:r>
      <w:r>
        <w:rPr>
          <w:rFonts w:hint="eastAsia" w:hAnsi="宋体" w:cs="宋体"/>
        </w:rPr>
        <w:t xml:space="preserve">    3.乙方在产品发运手续办理完毕后24小时内或货到甲方48小时前通知甲方，以准备接货。</w:t>
      </w:r>
      <w:r>
        <w:rPr>
          <w:rFonts w:hint="eastAsia" w:hAnsi="宋体" w:cs="宋体"/>
        </w:rPr>
        <w:br w:type="textWrapping"/>
      </w:r>
      <w:r>
        <w:rPr>
          <w:rFonts w:hint="eastAsia" w:hAnsi="宋体" w:cs="宋体"/>
        </w:rPr>
        <w:t xml:space="preserve">    4.产品在交付甲方前发生的风险均由乙方负责。</w:t>
      </w:r>
      <w:r>
        <w:rPr>
          <w:rFonts w:hint="eastAsia" w:hAnsi="宋体" w:cs="宋体"/>
        </w:rPr>
        <w:br w:type="textWrapping"/>
      </w:r>
      <w:r>
        <w:rPr>
          <w:rFonts w:hint="eastAsia" w:hAnsi="宋体" w:cs="宋体"/>
          <w:b/>
        </w:rPr>
        <w:t>十、调试和验收</w:t>
      </w:r>
      <w:r>
        <w:rPr>
          <w:rFonts w:hint="eastAsia" w:hAnsi="宋体" w:cs="宋体"/>
          <w:b/>
        </w:rPr>
        <w:br w:type="textWrapping"/>
      </w:r>
      <w:r>
        <w:rPr>
          <w:rFonts w:hint="eastAsia" w:hAnsi="宋体" w:cs="宋体"/>
          <w:b/>
        </w:rPr>
        <w:t xml:space="preserve">    </w:t>
      </w:r>
      <w:r>
        <w:rPr>
          <w:rFonts w:hint="eastAsia" w:hAnsi="宋体" w:cs="宋体"/>
        </w:rPr>
        <w:t>1.甲方对乙方提交的产品依据</w:t>
      </w:r>
      <w:r>
        <w:rPr>
          <w:rFonts w:hint="eastAsia" w:hAnsi="宋体" w:cs="宋体"/>
          <w:lang w:eastAsia="zh-CN"/>
        </w:rPr>
        <w:t>采购</w:t>
      </w:r>
      <w:r>
        <w:rPr>
          <w:rFonts w:hint="eastAsia" w:hAnsi="宋体" w:cs="宋体"/>
        </w:rPr>
        <w:t>文件确定的技术规格要求和国家有关质量标准组织进行验收。</w:t>
      </w:r>
      <w:r>
        <w:rPr>
          <w:rFonts w:hint="eastAsia" w:hAnsi="宋体" w:cs="宋体"/>
        </w:rPr>
        <w:br w:type="textWrapping"/>
      </w:r>
      <w:r>
        <w:rPr>
          <w:rFonts w:hint="eastAsia" w:hAnsi="宋体" w:cs="宋体"/>
        </w:rPr>
        <w:t xml:space="preserve">    2.乙方交货前应对产品作出全面检查和对验收文件进行整理，列出清单并提供系列检测报告，作为甲方收货验收和使用的技术条件依据，检验的结果应随产品交甲方。</w:t>
      </w:r>
      <w:r>
        <w:rPr>
          <w:rFonts w:hint="eastAsia" w:hAnsi="宋体" w:cs="宋体"/>
        </w:rPr>
        <w:br w:type="textWrapping"/>
      </w:r>
      <w:r>
        <w:rPr>
          <w:rFonts w:hint="eastAsia" w:hAnsi="宋体" w:cs="宋体"/>
        </w:rPr>
        <w:t xml:space="preserve">    3.甲方对乙方提供的产品在使用前进行调试时，乙方需负责安装并培训甲方的使用操作人员，并协助甲方一起调试，直到符合技术要求。</w:t>
      </w:r>
      <w:r>
        <w:rPr>
          <w:rFonts w:hint="eastAsia" w:hAnsi="宋体" w:cs="宋体"/>
        </w:rPr>
        <w:br w:type="textWrapping"/>
      </w:r>
      <w:r>
        <w:rPr>
          <w:rFonts w:hint="eastAsia" w:hAnsi="宋体" w:cs="宋体"/>
          <w:b/>
        </w:rPr>
        <w:t>十一、乙方应提供的售后服务</w:t>
      </w:r>
    </w:p>
    <w:p w14:paraId="4E0F0B52">
      <w:pPr>
        <w:pStyle w:val="5"/>
        <w:snapToGrid w:val="0"/>
        <w:spacing w:line="360" w:lineRule="auto"/>
        <w:ind w:firstLine="420" w:firstLineChars="200"/>
        <w:rPr>
          <w:rFonts w:hAnsi="宋体" w:cs="宋体"/>
        </w:rPr>
      </w:pPr>
      <w:r>
        <w:rPr>
          <w:rFonts w:hint="eastAsia" w:hAnsi="宋体" w:cs="宋体"/>
        </w:rPr>
        <w:t>1.项目所有产品质保  年，设备维修质保   ，质保期自验收合格之日起算。质保期内，乙方提供硬件免费维修。质保期满后，硬件维修只收取部件成本费，免人工费。</w:t>
      </w:r>
    </w:p>
    <w:p w14:paraId="1A0011E4">
      <w:pPr>
        <w:pStyle w:val="5"/>
        <w:snapToGrid w:val="0"/>
        <w:spacing w:line="360" w:lineRule="auto"/>
        <w:ind w:firstLine="420" w:firstLineChars="200"/>
        <w:rPr>
          <w:rFonts w:hAnsi="宋体" w:cs="宋体"/>
        </w:rPr>
      </w:pPr>
      <w:r>
        <w:rPr>
          <w:rFonts w:hint="eastAsia" w:hAnsi="宋体" w:cs="宋体"/>
        </w:rPr>
        <w:t>2.乙方应按</w:t>
      </w:r>
      <w:r>
        <w:rPr>
          <w:rFonts w:hint="eastAsia" w:hAnsi="宋体" w:cs="宋体"/>
          <w:lang w:eastAsia="zh-CN"/>
        </w:rPr>
        <w:t>采购</w:t>
      </w:r>
      <w:r>
        <w:rPr>
          <w:rFonts w:hint="eastAsia" w:hAnsi="宋体" w:cs="宋体"/>
        </w:rPr>
        <w:t>文件规定的产品性能、技术要求、质量标准向甲方提供未经使用的全新产品。</w:t>
      </w:r>
    </w:p>
    <w:p w14:paraId="31847F86">
      <w:pPr>
        <w:pStyle w:val="5"/>
        <w:snapToGrid w:val="0"/>
        <w:spacing w:line="360" w:lineRule="auto"/>
        <w:ind w:firstLine="420" w:firstLineChars="200"/>
        <w:rPr>
          <w:rFonts w:hAnsi="宋体" w:cs="宋体"/>
        </w:rPr>
      </w:pPr>
      <w:r>
        <w:rPr>
          <w:rFonts w:hint="eastAsia" w:hAnsi="宋体" w:cs="宋体"/>
        </w:rPr>
        <w:t>3.乙方提供的产品在质保期内发生故障，乙方应免费提供修复、完善和升级等技术服务。经修理后仍达不到技术要求者，根据实际情况，经双方协商，可按以下办法处理：</w:t>
      </w:r>
    </w:p>
    <w:p w14:paraId="20D00F72">
      <w:pPr>
        <w:pStyle w:val="5"/>
        <w:snapToGrid w:val="0"/>
        <w:spacing w:before="120" w:after="120" w:line="360" w:lineRule="exact"/>
        <w:ind w:firstLine="420" w:firstLineChars="200"/>
        <w:rPr>
          <w:rFonts w:hAnsi="宋体" w:cs="宋体"/>
        </w:rPr>
      </w:pPr>
      <w:r>
        <w:rPr>
          <w:rFonts w:hint="eastAsia" w:hAnsi="宋体" w:cs="宋体"/>
        </w:rPr>
        <w:t>3.1更换处理：由乙方承担所发生的全部费用。</w:t>
      </w:r>
    </w:p>
    <w:p w14:paraId="2DABE444">
      <w:pPr>
        <w:pStyle w:val="5"/>
        <w:snapToGrid w:val="0"/>
        <w:spacing w:before="120" w:after="120" w:line="360" w:lineRule="exact"/>
        <w:ind w:firstLine="420" w:firstLineChars="200"/>
        <w:rPr>
          <w:rFonts w:hAnsi="宋体" w:cs="宋体"/>
        </w:rPr>
      </w:pPr>
      <w:r>
        <w:rPr>
          <w:rFonts w:hint="eastAsia" w:hAnsi="宋体" w:cs="宋体"/>
        </w:rPr>
        <w:t>3.2退货处理：乙方应退还甲方支付的合同款，同时应承担该产品的直接费用（运输、保险、检验、货款及利息等）。</w:t>
      </w:r>
    </w:p>
    <w:p w14:paraId="2EC33A9E">
      <w:pPr>
        <w:pStyle w:val="5"/>
        <w:snapToGrid w:val="0"/>
        <w:spacing w:before="120" w:after="120" w:line="360" w:lineRule="exact"/>
        <w:ind w:firstLine="420" w:firstLineChars="200"/>
        <w:rPr>
          <w:rFonts w:hint="eastAsia" w:hAnsi="宋体" w:cs="宋体"/>
        </w:rPr>
      </w:pPr>
      <w:r>
        <w:rPr>
          <w:rFonts w:hint="eastAsia" w:hAnsi="宋体" w:cs="宋体"/>
        </w:rPr>
        <w:t>4.在质保期内，乙方提供免费的故障排除、性能调优、技术咨询等售后技术支持服务。乙方应对产品出现的质量及安全问题，负责处理解决并承担一切费用。因不能排除的故障而影响工作的情况每发生1次，其质保期相应延长60天。乙方提供终身免费及时的技术支持（包括电话支持和远程协助支持）。质保期满后，维修仅收取成本费，免人工费。</w:t>
      </w:r>
      <w:r>
        <w:rPr>
          <w:rFonts w:hint="eastAsia" w:hAnsi="宋体" w:cs="宋体"/>
        </w:rPr>
        <w:br w:type="textWrapping"/>
      </w:r>
      <w:r>
        <w:rPr>
          <w:rFonts w:hint="eastAsia" w:hAnsi="宋体" w:cs="宋体"/>
        </w:rPr>
        <w:t xml:space="preserve">    5.售后服务响应时间：乙方提供7*24小时的电话服务支持，在产品整个使用过程中出现问题，在接到维修通知后10分钟内响应，2小时内到达现场，4小时内解决故障，如遇设备故障需要提供备机时，4小时内送达，保证不影响甲方正常校园生活秩序。</w:t>
      </w:r>
      <w:r>
        <w:rPr>
          <w:rFonts w:hint="eastAsia" w:hAnsi="宋体" w:cs="宋体"/>
        </w:rPr>
        <w:br w:type="textWrapping"/>
      </w:r>
      <w:r>
        <w:rPr>
          <w:rFonts w:hint="eastAsia" w:hAnsi="宋体" w:cs="宋体"/>
        </w:rPr>
        <w:t xml:space="preserve">    6.乙方工作人员、工作设备或在运输、装卸、施工过程中对其他邻近设备、管线、设施（含其他成品）等造成损坏的，乙方承诺负责修复原状及承担一切费用。</w:t>
      </w:r>
    </w:p>
    <w:p w14:paraId="0CFCFFB7">
      <w:pPr>
        <w:pStyle w:val="5"/>
        <w:snapToGrid w:val="0"/>
        <w:spacing w:before="120" w:after="120" w:line="360" w:lineRule="exact"/>
        <w:ind w:firstLine="420" w:firstLineChars="200"/>
        <w:rPr>
          <w:rFonts w:hint="eastAsia" w:hAnsi="宋体" w:eastAsia="宋体" w:cs="宋体"/>
          <w:lang w:eastAsia="zh-CN"/>
        </w:rPr>
      </w:pPr>
      <w:r>
        <w:rPr>
          <w:rFonts w:hint="eastAsia" w:hAnsi="宋体" w:cs="宋体"/>
          <w:lang w:val="en-US" w:eastAsia="zh-CN"/>
        </w:rPr>
        <w:t>7.</w:t>
      </w:r>
      <w:r>
        <w:rPr>
          <w:rFonts w:hint="eastAsia" w:hAnsi="宋体" w:cs="宋体"/>
        </w:rPr>
        <w:t>乙方</w:t>
      </w:r>
      <w:r>
        <w:rPr>
          <w:rFonts w:hint="eastAsia" w:hAnsi="宋体" w:cs="宋体"/>
          <w:lang w:val="en-US" w:eastAsia="zh-CN"/>
        </w:rPr>
        <w:t>现场施工</w:t>
      </w:r>
      <w:r>
        <w:rPr>
          <w:rFonts w:hint="eastAsia" w:hAnsi="宋体" w:cs="宋体"/>
        </w:rPr>
        <w:t>的员工必须身体健康、仪容端正、品德良好、无违法犯罪记录。乙方应按照国家有关规定做好安全教育、安全防护等工作，执行甲方现场管理规定，保证员工财产与人身安全，若员工发生安全事故，由乙方承担一切责任</w:t>
      </w:r>
      <w:r>
        <w:rPr>
          <w:rFonts w:hint="eastAsia" w:hAnsi="宋体" w:cs="宋体"/>
          <w:lang w:eastAsia="zh-CN"/>
        </w:rPr>
        <w:t>。</w:t>
      </w:r>
    </w:p>
    <w:p w14:paraId="68CE2A2D">
      <w:pPr>
        <w:pStyle w:val="5"/>
        <w:snapToGrid w:val="0"/>
        <w:spacing w:line="360" w:lineRule="auto"/>
        <w:rPr>
          <w:rFonts w:hAnsi="宋体" w:cs="宋体"/>
          <w:b/>
        </w:rPr>
      </w:pPr>
      <w:r>
        <w:rPr>
          <w:rFonts w:hint="eastAsia" w:hAnsi="宋体" w:cs="宋体"/>
          <w:b/>
        </w:rPr>
        <w:t>十二、货款的支付及质保金</w:t>
      </w:r>
    </w:p>
    <w:p w14:paraId="1C04C00F">
      <w:pPr>
        <w:pStyle w:val="5"/>
        <w:snapToGrid w:val="0"/>
        <w:spacing w:line="360" w:lineRule="auto"/>
        <w:ind w:firstLine="420" w:firstLineChars="200"/>
        <w:rPr>
          <w:rFonts w:hAnsi="宋体" w:cs="宋体"/>
          <w:b/>
        </w:rPr>
      </w:pPr>
      <w:r>
        <w:rPr>
          <w:rFonts w:hint="eastAsia" w:hAnsi="宋体" w:cs="宋体"/>
        </w:rPr>
        <w:t>项目全部交付并验收合格后15个工作日内支付总价款的</w:t>
      </w:r>
      <w:r>
        <w:rPr>
          <w:rFonts w:hint="eastAsia" w:hAnsi="宋体" w:cs="宋体"/>
          <w:lang w:val="en-US" w:eastAsia="zh-CN"/>
        </w:rPr>
        <w:t>100</w:t>
      </w:r>
      <w:r>
        <w:rPr>
          <w:rFonts w:hint="eastAsia" w:hAnsi="宋体" w:cs="宋体"/>
        </w:rPr>
        <w:t>%</w:t>
      </w:r>
      <w:r>
        <w:rPr>
          <w:rFonts w:hint="eastAsia" w:hAnsi="宋体" w:cs="宋体"/>
          <w:lang w:eastAsia="zh-CN"/>
        </w:rPr>
        <w:t>。</w:t>
      </w:r>
      <w:r>
        <w:rPr>
          <w:rFonts w:hint="eastAsia" w:hAnsi="宋体" w:cs="宋体"/>
          <w:lang w:val="en-US" w:eastAsia="zh-CN"/>
        </w:rPr>
        <w:t>甲方</w:t>
      </w:r>
      <w:r>
        <w:rPr>
          <w:rFonts w:hint="eastAsia" w:hAnsi="宋体" w:cs="宋体"/>
        </w:rPr>
        <w:t>在向</w:t>
      </w:r>
      <w:r>
        <w:rPr>
          <w:rFonts w:hint="eastAsia" w:hAnsi="宋体" w:cs="宋体"/>
          <w:lang w:val="en-US" w:eastAsia="zh-CN"/>
        </w:rPr>
        <w:t>乙方</w:t>
      </w:r>
      <w:r>
        <w:rPr>
          <w:rFonts w:hint="eastAsia" w:hAnsi="宋体" w:cs="宋体"/>
        </w:rPr>
        <w:t>支付货款前，</w:t>
      </w:r>
      <w:r>
        <w:rPr>
          <w:rFonts w:hint="eastAsia" w:hAnsi="宋体" w:cs="宋体"/>
          <w:lang w:val="en-US" w:eastAsia="zh-CN"/>
        </w:rPr>
        <w:t>乙方</w:t>
      </w:r>
      <w:r>
        <w:rPr>
          <w:rFonts w:hint="eastAsia" w:hAnsi="宋体" w:cs="宋体"/>
        </w:rPr>
        <w:t>应向采购人提供货款的全额正规发票，本合同执行中相关的一切税费均由</w:t>
      </w:r>
      <w:r>
        <w:rPr>
          <w:rFonts w:hint="eastAsia" w:hAnsi="宋体" w:cs="宋体"/>
          <w:lang w:val="en-US" w:eastAsia="zh-CN"/>
        </w:rPr>
        <w:t>乙方</w:t>
      </w:r>
      <w:r>
        <w:rPr>
          <w:rFonts w:hint="eastAsia" w:hAnsi="宋体" w:cs="宋体"/>
        </w:rPr>
        <w:t>负担。</w:t>
      </w:r>
      <w:r>
        <w:rPr>
          <w:rFonts w:hint="eastAsia" w:hAnsi="宋体" w:cs="宋体"/>
        </w:rPr>
        <w:br w:type="textWrapping"/>
      </w:r>
      <w:r>
        <w:rPr>
          <w:rFonts w:hint="eastAsia" w:hAnsi="宋体" w:cs="宋体"/>
          <w:b/>
        </w:rPr>
        <w:t>十三、违约责任</w:t>
      </w:r>
    </w:p>
    <w:p w14:paraId="02A368D6">
      <w:pPr>
        <w:pStyle w:val="5"/>
        <w:snapToGrid w:val="0"/>
        <w:spacing w:before="120" w:after="120" w:line="360" w:lineRule="exact"/>
        <w:ind w:firstLine="420" w:firstLineChars="200"/>
        <w:rPr>
          <w:rFonts w:hAnsi="宋体" w:cs="宋体"/>
        </w:rPr>
      </w:pPr>
      <w:r>
        <w:rPr>
          <w:rFonts w:hint="eastAsia" w:hAnsi="宋体" w:cs="宋体"/>
        </w:rPr>
        <w:t>1.乙方逾期完成项目的，乙方应按合同总额每日2‱向甲方支付违约金，由甲方从待付货款中扣除。逾期超过约定日期10个工作日不能交货的，甲方可解除本合同。乙方因逾期完成项目或因其他违约行为导致甲方解除合同的，乙方应向甲方支付合同总值5%的违约金，如造成甲方损失超过违约金的，超出部分由乙方继续承担赔偿责任。</w:t>
      </w:r>
    </w:p>
    <w:p w14:paraId="1B9AE3F9">
      <w:pPr>
        <w:pStyle w:val="5"/>
        <w:snapToGrid w:val="0"/>
        <w:spacing w:before="120" w:after="120" w:line="360" w:lineRule="exact"/>
        <w:ind w:firstLine="420" w:firstLineChars="200"/>
        <w:rPr>
          <w:rFonts w:hAnsi="宋体" w:cs="宋体"/>
        </w:rPr>
      </w:pPr>
      <w:r>
        <w:rPr>
          <w:rFonts w:hint="eastAsia" w:hAnsi="宋体" w:cs="宋体"/>
        </w:rPr>
        <w:t>2.乙方所交的产品型号、规格、技术参数不符合合同规定及</w:t>
      </w:r>
      <w:r>
        <w:rPr>
          <w:rFonts w:hint="eastAsia" w:hAnsi="宋体" w:cs="宋体"/>
          <w:lang w:eastAsia="zh-CN"/>
        </w:rPr>
        <w:t>采购</w:t>
      </w:r>
      <w:r>
        <w:rPr>
          <w:rFonts w:hint="eastAsia" w:hAnsi="宋体" w:cs="宋体"/>
        </w:rPr>
        <w:t>文件规定标准的，甲方有权拒收该产品，乙方愿意更换产品但逾期交货的，按乙方逾期交货处理。乙方拒绝更换产品的，甲方可单方面解除合同，除甲方没收其履约保证金外，乙方应甲方支付合同总值5%的违约金，如造成甲方损失超过违约金的，超出部分由乙方继续承担赔偿责任。</w:t>
      </w:r>
    </w:p>
    <w:p w14:paraId="751F4547">
      <w:pPr>
        <w:pStyle w:val="5"/>
        <w:snapToGrid w:val="0"/>
        <w:spacing w:before="180" w:after="120" w:line="360" w:lineRule="exact"/>
        <w:rPr>
          <w:rFonts w:hAnsi="宋体" w:cs="宋体"/>
          <w:b/>
        </w:rPr>
      </w:pPr>
      <w:r>
        <w:rPr>
          <w:rFonts w:hint="eastAsia" w:hAnsi="宋体" w:cs="宋体"/>
          <w:b/>
        </w:rPr>
        <w:t>十四、不可抗力事件处理</w:t>
      </w:r>
    </w:p>
    <w:p w14:paraId="66FDE30F">
      <w:pPr>
        <w:pStyle w:val="5"/>
        <w:snapToGrid w:val="0"/>
        <w:spacing w:line="360" w:lineRule="auto"/>
        <w:ind w:firstLine="420" w:firstLineChars="200"/>
        <w:rPr>
          <w:rFonts w:hAnsi="宋体" w:cs="宋体"/>
        </w:rPr>
      </w:pPr>
      <w:r>
        <w:rPr>
          <w:rFonts w:hint="eastAsia" w:hAnsi="宋体" w:cs="宋体"/>
        </w:rPr>
        <w:t>1.在合同有效期内，任何一方因不可抗力事件导致不能履行合同，则合同履行期可延长，其延长期与不可抗力影响期相同。</w:t>
      </w:r>
    </w:p>
    <w:p w14:paraId="2572D049">
      <w:pPr>
        <w:pStyle w:val="5"/>
        <w:snapToGrid w:val="0"/>
        <w:spacing w:line="360" w:lineRule="auto"/>
        <w:ind w:firstLine="420" w:firstLineChars="200"/>
        <w:rPr>
          <w:rFonts w:hAnsi="宋体" w:cs="宋体"/>
        </w:rPr>
      </w:pPr>
      <w:r>
        <w:rPr>
          <w:rFonts w:hint="eastAsia" w:hAnsi="宋体" w:cs="宋体"/>
        </w:rPr>
        <w:t>2.不可抗力事件发生后，应立即通知对方，并寄送有关权威机构出具的证明。</w:t>
      </w:r>
    </w:p>
    <w:p w14:paraId="15653E4E">
      <w:pPr>
        <w:pStyle w:val="5"/>
        <w:snapToGrid w:val="0"/>
        <w:spacing w:line="360" w:lineRule="auto"/>
        <w:ind w:firstLine="420" w:firstLineChars="200"/>
        <w:rPr>
          <w:rFonts w:hAnsi="宋体" w:cs="宋体"/>
        </w:rPr>
      </w:pPr>
      <w:r>
        <w:rPr>
          <w:rFonts w:hint="eastAsia" w:hAnsi="宋体" w:cs="宋体"/>
        </w:rPr>
        <w:t>3.不可抗力事件延续120天以上，双方应通过友好协商，确定是否继续履行合同。</w:t>
      </w:r>
      <w:r>
        <w:rPr>
          <w:rFonts w:hint="eastAsia" w:hAnsi="宋体" w:cs="宋体"/>
        </w:rPr>
        <w:br w:type="textWrapping"/>
      </w:r>
      <w:r>
        <w:rPr>
          <w:rFonts w:hint="eastAsia" w:hAnsi="宋体" w:cs="宋体"/>
        </w:rPr>
        <w:t xml:space="preserve">    4.质保期内，因国家政策或上级主管部门要求（含独立学院转设），导致甲方需求变更，甲方有权就产品相应内容要求乙方进行调整，甲方需书面向乙方提出并附上相关文件说明，且不承担由此产生的费用。</w:t>
      </w:r>
    </w:p>
    <w:p w14:paraId="139BD5E7">
      <w:pPr>
        <w:pStyle w:val="5"/>
        <w:snapToGrid w:val="0"/>
        <w:spacing w:before="180" w:after="120" w:line="360" w:lineRule="exact"/>
        <w:rPr>
          <w:rFonts w:hAnsi="宋体" w:cs="宋体"/>
          <w:b/>
        </w:rPr>
      </w:pPr>
      <w:r>
        <w:rPr>
          <w:rFonts w:hint="eastAsia" w:hAnsi="宋体" w:cs="宋体"/>
          <w:b/>
        </w:rPr>
        <w:t>十五、诉讼</w:t>
      </w:r>
    </w:p>
    <w:p w14:paraId="23F79C25">
      <w:pPr>
        <w:pStyle w:val="5"/>
        <w:snapToGrid w:val="0"/>
        <w:spacing w:before="120" w:after="120" w:line="360" w:lineRule="exact"/>
        <w:ind w:firstLine="420" w:firstLineChars="200"/>
        <w:rPr>
          <w:rFonts w:hAnsi="宋体" w:cs="宋体"/>
        </w:rPr>
      </w:pPr>
      <w:r>
        <w:rPr>
          <w:rFonts w:hint="eastAsia" w:hAnsi="宋体" w:cs="宋体"/>
        </w:rPr>
        <w:t>双方在执行合同中所发生的一切争议，应通过协商解决。如协商不成，可向桐庐县人民法院起诉。</w:t>
      </w:r>
    </w:p>
    <w:p w14:paraId="77ABBD3F">
      <w:pPr>
        <w:pStyle w:val="5"/>
        <w:snapToGrid w:val="0"/>
        <w:spacing w:before="180" w:after="120" w:line="360" w:lineRule="exact"/>
        <w:rPr>
          <w:rFonts w:hAnsi="宋体" w:cs="宋体"/>
          <w:b/>
        </w:rPr>
      </w:pPr>
      <w:r>
        <w:rPr>
          <w:rFonts w:hint="eastAsia" w:hAnsi="宋体" w:cs="宋体"/>
          <w:b/>
        </w:rPr>
        <w:t>十六、合同生效及其它</w:t>
      </w:r>
    </w:p>
    <w:p w14:paraId="452FC75D">
      <w:pPr>
        <w:pStyle w:val="5"/>
        <w:snapToGrid w:val="0"/>
        <w:spacing w:before="120" w:after="120" w:line="360" w:lineRule="exact"/>
        <w:ind w:firstLine="420" w:firstLineChars="200"/>
        <w:rPr>
          <w:rFonts w:hAnsi="宋体" w:cs="宋体"/>
        </w:rPr>
      </w:pPr>
      <w:r>
        <w:rPr>
          <w:rFonts w:hint="eastAsia" w:hAnsi="宋体" w:cs="宋体"/>
        </w:rPr>
        <w:t>1.合同经双方法定代表人或授权代理人签字并加盖单位公章后生效。</w:t>
      </w:r>
    </w:p>
    <w:p w14:paraId="267DD3A7">
      <w:pPr>
        <w:pStyle w:val="5"/>
        <w:snapToGrid w:val="0"/>
        <w:spacing w:before="120" w:after="120" w:line="360" w:lineRule="exact"/>
        <w:ind w:firstLine="420" w:firstLineChars="200"/>
        <w:rPr>
          <w:rFonts w:hAnsi="宋体" w:cs="宋体"/>
        </w:rPr>
      </w:pPr>
      <w:r>
        <w:rPr>
          <w:rFonts w:hint="eastAsia" w:hAnsi="宋体" w:cs="宋体"/>
        </w:rPr>
        <w:t>2.本合同正本一式四份，具有同等法律效力，甲方持二份，乙方持二份。</w:t>
      </w:r>
    </w:p>
    <w:p w14:paraId="4B0FC961">
      <w:pPr>
        <w:pStyle w:val="5"/>
        <w:snapToGrid w:val="0"/>
        <w:spacing w:before="120" w:after="120" w:line="360" w:lineRule="exact"/>
        <w:ind w:firstLine="420" w:firstLineChars="200"/>
        <w:rPr>
          <w:rFonts w:hAnsi="宋体" w:cs="宋体"/>
        </w:rPr>
      </w:pPr>
      <w:r>
        <w:rPr>
          <w:rFonts w:hint="eastAsia" w:hAnsi="宋体" w:cs="宋体"/>
        </w:rPr>
        <w:t>3.相关</w:t>
      </w:r>
      <w:r>
        <w:rPr>
          <w:rFonts w:hint="eastAsia" w:hAnsi="宋体" w:cs="宋体"/>
          <w:lang w:eastAsia="zh-CN"/>
        </w:rPr>
        <w:t>采购</w:t>
      </w:r>
      <w:r>
        <w:rPr>
          <w:rFonts w:hint="eastAsia" w:hAnsi="宋体" w:cs="宋体"/>
        </w:rPr>
        <w:t>文件、</w:t>
      </w:r>
      <w:r>
        <w:rPr>
          <w:rFonts w:hint="eastAsia" w:hAnsi="宋体" w:cs="宋体"/>
          <w:lang w:val="en-US" w:eastAsia="zh-CN"/>
        </w:rPr>
        <w:t>响应</w:t>
      </w:r>
      <w:r>
        <w:rPr>
          <w:rFonts w:hint="eastAsia" w:hAnsi="宋体" w:cs="宋体"/>
        </w:rPr>
        <w:t>文件及乙方的有关承诺作为本合同的组成部分，用以补充或解释本合同。</w:t>
      </w:r>
    </w:p>
    <w:p w14:paraId="01901E97">
      <w:pPr>
        <w:pStyle w:val="5"/>
        <w:snapToGrid w:val="0"/>
        <w:spacing w:before="120" w:after="120" w:line="360" w:lineRule="exact"/>
        <w:ind w:firstLine="420" w:firstLineChars="200"/>
        <w:rPr>
          <w:rFonts w:hAnsi="宋体" w:cs="宋体"/>
        </w:rPr>
      </w:pPr>
      <w:r>
        <w:rPr>
          <w:rFonts w:hint="eastAsia" w:hAnsi="宋体" w:cs="宋体"/>
        </w:rPr>
        <w:t>4.本合同未尽事宜，遵照《民法典》有关条文执行。</w:t>
      </w:r>
    </w:p>
    <w:p w14:paraId="42A7710E">
      <w:pPr>
        <w:pStyle w:val="5"/>
        <w:snapToGrid w:val="0"/>
        <w:spacing w:line="360" w:lineRule="auto"/>
        <w:rPr>
          <w:rFonts w:hAnsi="宋体" w:cs="宋体"/>
        </w:rPr>
      </w:pPr>
      <w:r>
        <w:rPr>
          <w:rFonts w:hint="eastAsia" w:hAnsi="宋体" w:cs="宋体"/>
        </w:rPr>
        <w:t>（以下无正文）</w:t>
      </w:r>
    </w:p>
    <w:p w14:paraId="133EA98C">
      <w:pPr>
        <w:pStyle w:val="5"/>
        <w:snapToGrid w:val="0"/>
        <w:spacing w:line="360" w:lineRule="auto"/>
        <w:rPr>
          <w:rFonts w:hAnsi="宋体" w:cs="宋体"/>
        </w:rPr>
      </w:pPr>
    </w:p>
    <w:p w14:paraId="5B5B28F0">
      <w:pPr>
        <w:pStyle w:val="5"/>
        <w:snapToGrid w:val="0"/>
        <w:spacing w:line="360" w:lineRule="auto"/>
        <w:rPr>
          <w:rFonts w:hAnsi="宋体" w:cs="宋体"/>
        </w:rPr>
      </w:pPr>
    </w:p>
    <w:p w14:paraId="19A4C993">
      <w:pPr>
        <w:pStyle w:val="5"/>
        <w:snapToGrid w:val="0"/>
        <w:spacing w:line="360" w:lineRule="auto"/>
        <w:rPr>
          <w:rFonts w:hAnsi="宋体" w:cs="宋体"/>
        </w:rPr>
      </w:pPr>
    </w:p>
    <w:p w14:paraId="57562388">
      <w:pPr>
        <w:pStyle w:val="5"/>
        <w:snapToGrid w:val="0"/>
        <w:spacing w:line="360" w:lineRule="auto"/>
        <w:rPr>
          <w:rFonts w:hAnsi="宋体" w:cs="宋体"/>
        </w:rPr>
      </w:pPr>
      <w:r>
        <w:rPr>
          <w:rFonts w:hint="eastAsia" w:hAnsi="宋体" w:cs="宋体"/>
        </w:rPr>
        <w:t>（以下为签署页）</w:t>
      </w:r>
    </w:p>
    <w:tbl>
      <w:tblPr>
        <w:tblStyle w:val="11"/>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5"/>
        <w:gridCol w:w="4850"/>
      </w:tblGrid>
      <w:tr w14:paraId="4D1B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06669785">
            <w:pPr>
              <w:snapToGrid w:val="0"/>
              <w:spacing w:before="120" w:after="120" w:line="360" w:lineRule="exact"/>
              <w:rPr>
                <w:rFonts w:ascii="宋体" w:hAnsi="宋体" w:cs="宋体"/>
                <w:szCs w:val="21"/>
              </w:rPr>
            </w:pPr>
            <w:r>
              <w:rPr>
                <w:rFonts w:hint="eastAsia" w:ascii="宋体" w:hAnsi="宋体" w:cs="宋体"/>
                <w:szCs w:val="21"/>
              </w:rPr>
              <w:t>甲方：浙江工商大学杭州商学院（章）</w:t>
            </w:r>
          </w:p>
        </w:tc>
        <w:tc>
          <w:tcPr>
            <w:tcW w:w="4850" w:type="dxa"/>
            <w:vAlign w:val="center"/>
          </w:tcPr>
          <w:p w14:paraId="1EBBD54D">
            <w:pPr>
              <w:snapToGrid w:val="0"/>
              <w:spacing w:before="120" w:after="120" w:line="360" w:lineRule="exact"/>
              <w:rPr>
                <w:rFonts w:ascii="宋体" w:hAnsi="宋体" w:cs="宋体"/>
                <w:szCs w:val="21"/>
              </w:rPr>
            </w:pPr>
            <w:r>
              <w:rPr>
                <w:rFonts w:hint="eastAsia" w:ascii="宋体" w:hAnsi="宋体" w:cs="宋体"/>
                <w:szCs w:val="21"/>
              </w:rPr>
              <w:t>乙方：（章）</w:t>
            </w:r>
          </w:p>
        </w:tc>
      </w:tr>
      <w:tr w14:paraId="4940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615A8DE6">
            <w:pPr>
              <w:snapToGrid w:val="0"/>
              <w:spacing w:before="120" w:after="120" w:line="360" w:lineRule="exact"/>
              <w:rPr>
                <w:rFonts w:ascii="宋体" w:hAnsi="宋体" w:cs="宋体"/>
                <w:szCs w:val="21"/>
              </w:rPr>
            </w:pPr>
            <w:r>
              <w:rPr>
                <w:rFonts w:hint="eastAsia" w:ascii="宋体" w:hAnsi="宋体" w:cs="宋体"/>
                <w:szCs w:val="21"/>
              </w:rPr>
              <w:t>地址：杭州桐庐环城南路66号</w:t>
            </w:r>
          </w:p>
        </w:tc>
        <w:tc>
          <w:tcPr>
            <w:tcW w:w="4850" w:type="dxa"/>
            <w:vAlign w:val="center"/>
          </w:tcPr>
          <w:p w14:paraId="042927ED">
            <w:pPr>
              <w:snapToGrid w:val="0"/>
              <w:spacing w:before="120" w:after="120" w:line="360" w:lineRule="exact"/>
              <w:rPr>
                <w:rFonts w:ascii="宋体" w:hAnsi="宋体" w:cs="宋体"/>
                <w:szCs w:val="21"/>
              </w:rPr>
            </w:pPr>
            <w:r>
              <w:rPr>
                <w:rFonts w:hint="eastAsia" w:ascii="宋体" w:hAnsi="宋体" w:cs="宋体"/>
                <w:szCs w:val="21"/>
              </w:rPr>
              <w:t>地址：</w:t>
            </w:r>
          </w:p>
        </w:tc>
      </w:tr>
      <w:tr w14:paraId="6D10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45ED8D9B">
            <w:pPr>
              <w:snapToGrid w:val="0"/>
              <w:spacing w:before="120" w:after="120" w:line="360" w:lineRule="exact"/>
              <w:rPr>
                <w:rFonts w:ascii="宋体" w:hAnsi="宋体" w:cs="宋体"/>
                <w:szCs w:val="21"/>
              </w:rPr>
            </w:pPr>
            <w:r>
              <w:rPr>
                <w:rFonts w:hint="eastAsia" w:ascii="宋体" w:hAnsi="宋体" w:cs="宋体"/>
                <w:szCs w:val="21"/>
              </w:rPr>
              <w:t>法定（授权）代表人：</w:t>
            </w:r>
          </w:p>
        </w:tc>
        <w:tc>
          <w:tcPr>
            <w:tcW w:w="4850" w:type="dxa"/>
            <w:vAlign w:val="center"/>
          </w:tcPr>
          <w:p w14:paraId="5B584E6F">
            <w:pPr>
              <w:snapToGrid w:val="0"/>
              <w:spacing w:before="120" w:after="120" w:line="360" w:lineRule="exact"/>
              <w:rPr>
                <w:rFonts w:ascii="宋体" w:hAnsi="宋体" w:cs="宋体"/>
                <w:szCs w:val="21"/>
              </w:rPr>
            </w:pPr>
            <w:r>
              <w:rPr>
                <w:rFonts w:hint="eastAsia" w:ascii="宋体" w:hAnsi="宋体" w:cs="宋体"/>
                <w:szCs w:val="21"/>
              </w:rPr>
              <w:t>法定（授权）代表人：</w:t>
            </w:r>
          </w:p>
        </w:tc>
      </w:tr>
      <w:tr w14:paraId="2161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73168781">
            <w:pPr>
              <w:snapToGrid w:val="0"/>
              <w:spacing w:before="120" w:after="120" w:line="360" w:lineRule="exact"/>
              <w:rPr>
                <w:rFonts w:ascii="宋体" w:hAnsi="宋体" w:cs="宋体"/>
                <w:szCs w:val="21"/>
              </w:rPr>
            </w:pPr>
            <w:r>
              <w:rPr>
                <w:rFonts w:hint="eastAsia" w:ascii="宋体" w:hAnsi="宋体" w:cs="宋体"/>
                <w:szCs w:val="21"/>
              </w:rPr>
              <w:t>开户银行：工行桐庐支行</w:t>
            </w:r>
          </w:p>
        </w:tc>
        <w:tc>
          <w:tcPr>
            <w:tcW w:w="4850" w:type="dxa"/>
            <w:vAlign w:val="center"/>
          </w:tcPr>
          <w:p w14:paraId="7FCDBA2E">
            <w:pPr>
              <w:snapToGrid w:val="0"/>
              <w:spacing w:before="120" w:after="120" w:line="360" w:lineRule="exact"/>
              <w:rPr>
                <w:rFonts w:ascii="宋体" w:hAnsi="宋体" w:cs="宋体"/>
                <w:szCs w:val="21"/>
              </w:rPr>
            </w:pPr>
            <w:r>
              <w:rPr>
                <w:rFonts w:hint="eastAsia" w:ascii="宋体" w:hAnsi="宋体" w:cs="宋体"/>
                <w:szCs w:val="21"/>
              </w:rPr>
              <w:t>银行：</w:t>
            </w:r>
          </w:p>
        </w:tc>
      </w:tr>
      <w:tr w14:paraId="4A41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518EC62A">
            <w:pPr>
              <w:snapToGrid w:val="0"/>
              <w:spacing w:before="120" w:after="120" w:line="360" w:lineRule="exact"/>
              <w:rPr>
                <w:rFonts w:ascii="宋体" w:hAnsi="宋体" w:cs="宋体"/>
                <w:szCs w:val="21"/>
              </w:rPr>
            </w:pPr>
            <w:r>
              <w:rPr>
                <w:rFonts w:hint="eastAsia" w:ascii="宋体" w:hAnsi="宋体" w:cs="宋体"/>
                <w:szCs w:val="21"/>
              </w:rPr>
              <w:t>账号：1202089119900104396</w:t>
            </w:r>
          </w:p>
        </w:tc>
        <w:tc>
          <w:tcPr>
            <w:tcW w:w="4850" w:type="dxa"/>
            <w:vAlign w:val="center"/>
          </w:tcPr>
          <w:p w14:paraId="7CF139CC">
            <w:pPr>
              <w:snapToGrid w:val="0"/>
              <w:spacing w:before="120" w:after="120" w:line="360" w:lineRule="exact"/>
              <w:rPr>
                <w:rFonts w:ascii="宋体" w:hAnsi="宋体" w:cs="宋体"/>
                <w:szCs w:val="21"/>
              </w:rPr>
            </w:pPr>
            <w:r>
              <w:rPr>
                <w:rFonts w:hint="eastAsia" w:ascii="宋体" w:hAnsi="宋体" w:cs="宋体"/>
                <w:szCs w:val="21"/>
              </w:rPr>
              <w:t>账号：</w:t>
            </w:r>
          </w:p>
        </w:tc>
      </w:tr>
      <w:tr w14:paraId="09D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55" w:type="dxa"/>
            <w:vAlign w:val="center"/>
          </w:tcPr>
          <w:p w14:paraId="354A399E">
            <w:pPr>
              <w:snapToGrid w:val="0"/>
              <w:spacing w:before="120" w:after="120" w:line="360" w:lineRule="exact"/>
              <w:rPr>
                <w:rFonts w:ascii="宋体" w:hAnsi="宋体" w:cs="宋体"/>
                <w:szCs w:val="21"/>
              </w:rPr>
            </w:pPr>
          </w:p>
        </w:tc>
        <w:tc>
          <w:tcPr>
            <w:tcW w:w="4850" w:type="dxa"/>
            <w:vAlign w:val="center"/>
          </w:tcPr>
          <w:p w14:paraId="5F674140">
            <w:pPr>
              <w:snapToGrid w:val="0"/>
              <w:spacing w:before="120" w:after="120" w:line="360" w:lineRule="exact"/>
              <w:jc w:val="right"/>
              <w:rPr>
                <w:rFonts w:ascii="宋体" w:hAnsi="宋体" w:cs="宋体"/>
                <w:szCs w:val="21"/>
              </w:rPr>
            </w:pPr>
            <w:r>
              <w:rPr>
                <w:rFonts w:hint="eastAsia" w:ascii="宋体" w:hAnsi="宋体" w:cs="宋体"/>
                <w:szCs w:val="21"/>
              </w:rPr>
              <w:t>签约日期：202</w:t>
            </w:r>
            <w:r>
              <w:rPr>
                <w:rFonts w:hint="eastAsia" w:ascii="宋体" w:hAnsi="宋体" w:cs="宋体"/>
                <w:szCs w:val="21"/>
                <w:lang w:val="en-US" w:eastAsia="zh-CN"/>
              </w:rPr>
              <w:t>5</w:t>
            </w:r>
            <w:r>
              <w:rPr>
                <w:rFonts w:hint="eastAsia" w:ascii="宋体" w:hAnsi="宋体" w:cs="宋体"/>
                <w:szCs w:val="21"/>
              </w:rPr>
              <w:t>年  月  日</w:t>
            </w:r>
          </w:p>
        </w:tc>
      </w:tr>
    </w:tbl>
    <w:p w14:paraId="45E86CEF">
      <w:pPr>
        <w:spacing w:line="360" w:lineRule="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594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B83E6">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3FB83E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0EFC1"/>
    <w:multiLevelType w:val="singleLevel"/>
    <w:tmpl w:val="83D0EFC1"/>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Q5MDlhNjY1YWMxZDAxMmRiYWE4ZmM4ZjEyODgifQ=="/>
  </w:docVars>
  <w:rsids>
    <w:rsidRoot w:val="00172A27"/>
    <w:rsid w:val="000200C8"/>
    <w:rsid w:val="00073C38"/>
    <w:rsid w:val="001F5FA3"/>
    <w:rsid w:val="00201926"/>
    <w:rsid w:val="002105A6"/>
    <w:rsid w:val="00220BE4"/>
    <w:rsid w:val="002555D6"/>
    <w:rsid w:val="002574EE"/>
    <w:rsid w:val="00290E2C"/>
    <w:rsid w:val="002D6BE9"/>
    <w:rsid w:val="00347DD7"/>
    <w:rsid w:val="00363312"/>
    <w:rsid w:val="00377CE6"/>
    <w:rsid w:val="00382DEE"/>
    <w:rsid w:val="003C2C1A"/>
    <w:rsid w:val="004B61D5"/>
    <w:rsid w:val="004C2D5B"/>
    <w:rsid w:val="00504F40"/>
    <w:rsid w:val="00505870"/>
    <w:rsid w:val="00530922"/>
    <w:rsid w:val="00541E1D"/>
    <w:rsid w:val="00564C6F"/>
    <w:rsid w:val="00567D30"/>
    <w:rsid w:val="006372C9"/>
    <w:rsid w:val="00644AA5"/>
    <w:rsid w:val="006B68D1"/>
    <w:rsid w:val="006D0E84"/>
    <w:rsid w:val="006D37B5"/>
    <w:rsid w:val="006D5205"/>
    <w:rsid w:val="007272D3"/>
    <w:rsid w:val="00743A21"/>
    <w:rsid w:val="00763B4A"/>
    <w:rsid w:val="007F3534"/>
    <w:rsid w:val="00812048"/>
    <w:rsid w:val="00822D10"/>
    <w:rsid w:val="008961EA"/>
    <w:rsid w:val="008A7886"/>
    <w:rsid w:val="008C3A7D"/>
    <w:rsid w:val="008C3AC0"/>
    <w:rsid w:val="0097763B"/>
    <w:rsid w:val="00A267A6"/>
    <w:rsid w:val="00A74443"/>
    <w:rsid w:val="00A75E0B"/>
    <w:rsid w:val="00AC3A65"/>
    <w:rsid w:val="00AD10E6"/>
    <w:rsid w:val="00C06C46"/>
    <w:rsid w:val="00C27BF7"/>
    <w:rsid w:val="00C3243C"/>
    <w:rsid w:val="00C57DE9"/>
    <w:rsid w:val="00CA56A5"/>
    <w:rsid w:val="00D27B09"/>
    <w:rsid w:val="00D31C6D"/>
    <w:rsid w:val="00D54C8F"/>
    <w:rsid w:val="00D75F17"/>
    <w:rsid w:val="00D9319B"/>
    <w:rsid w:val="00DA0EF3"/>
    <w:rsid w:val="00EB5416"/>
    <w:rsid w:val="00F14762"/>
    <w:rsid w:val="00F45764"/>
    <w:rsid w:val="00F8011C"/>
    <w:rsid w:val="00FC62E9"/>
    <w:rsid w:val="01284C10"/>
    <w:rsid w:val="014D4677"/>
    <w:rsid w:val="01993D60"/>
    <w:rsid w:val="01D628BE"/>
    <w:rsid w:val="02137340"/>
    <w:rsid w:val="0270061D"/>
    <w:rsid w:val="02D212D8"/>
    <w:rsid w:val="02FF7BF3"/>
    <w:rsid w:val="03367AB9"/>
    <w:rsid w:val="03451AAA"/>
    <w:rsid w:val="04F82B4C"/>
    <w:rsid w:val="0539563E"/>
    <w:rsid w:val="060E56E1"/>
    <w:rsid w:val="06604097"/>
    <w:rsid w:val="072D2F81"/>
    <w:rsid w:val="080B2B96"/>
    <w:rsid w:val="08F92952"/>
    <w:rsid w:val="094B5940"/>
    <w:rsid w:val="09DE0562"/>
    <w:rsid w:val="09F204B1"/>
    <w:rsid w:val="0A7C1A2B"/>
    <w:rsid w:val="0AF72D89"/>
    <w:rsid w:val="0B521208"/>
    <w:rsid w:val="0B5F35E9"/>
    <w:rsid w:val="0BEC3448"/>
    <w:rsid w:val="0C1831FC"/>
    <w:rsid w:val="0CE32CAB"/>
    <w:rsid w:val="0DC43F13"/>
    <w:rsid w:val="0DE93979"/>
    <w:rsid w:val="0E4B1576"/>
    <w:rsid w:val="0EB360EB"/>
    <w:rsid w:val="0EC90CFE"/>
    <w:rsid w:val="0F33766C"/>
    <w:rsid w:val="0F76748F"/>
    <w:rsid w:val="0F783207"/>
    <w:rsid w:val="0F9D2C6D"/>
    <w:rsid w:val="0FA20284"/>
    <w:rsid w:val="102962AF"/>
    <w:rsid w:val="102B0279"/>
    <w:rsid w:val="10802373"/>
    <w:rsid w:val="12C350EA"/>
    <w:rsid w:val="12FC5EFD"/>
    <w:rsid w:val="134C0C32"/>
    <w:rsid w:val="13A34025"/>
    <w:rsid w:val="14863CD0"/>
    <w:rsid w:val="14B24AC5"/>
    <w:rsid w:val="14D94748"/>
    <w:rsid w:val="150851F2"/>
    <w:rsid w:val="15632263"/>
    <w:rsid w:val="15787ABD"/>
    <w:rsid w:val="15E1475F"/>
    <w:rsid w:val="164230FE"/>
    <w:rsid w:val="16783AEC"/>
    <w:rsid w:val="16A51314"/>
    <w:rsid w:val="16BC60CF"/>
    <w:rsid w:val="174D4F79"/>
    <w:rsid w:val="1840688C"/>
    <w:rsid w:val="18EB67F8"/>
    <w:rsid w:val="1917583F"/>
    <w:rsid w:val="19526877"/>
    <w:rsid w:val="19600F94"/>
    <w:rsid w:val="19D61256"/>
    <w:rsid w:val="1A274BFC"/>
    <w:rsid w:val="1A497AE3"/>
    <w:rsid w:val="1A9D3D82"/>
    <w:rsid w:val="1AB86BAD"/>
    <w:rsid w:val="1B0D6EF9"/>
    <w:rsid w:val="1B154000"/>
    <w:rsid w:val="1BEA2D97"/>
    <w:rsid w:val="1C200EAE"/>
    <w:rsid w:val="1C2C1601"/>
    <w:rsid w:val="1C4C1CA3"/>
    <w:rsid w:val="1CA04DBD"/>
    <w:rsid w:val="1CC730D8"/>
    <w:rsid w:val="1D0C61BE"/>
    <w:rsid w:val="1D247414"/>
    <w:rsid w:val="1DF223D6"/>
    <w:rsid w:val="1E18008F"/>
    <w:rsid w:val="1E220E24"/>
    <w:rsid w:val="1E520781"/>
    <w:rsid w:val="1E537319"/>
    <w:rsid w:val="1E935967"/>
    <w:rsid w:val="1EF43A4A"/>
    <w:rsid w:val="1FB738D7"/>
    <w:rsid w:val="1FE83A91"/>
    <w:rsid w:val="1FFC12EA"/>
    <w:rsid w:val="201533A7"/>
    <w:rsid w:val="20541106"/>
    <w:rsid w:val="205522E5"/>
    <w:rsid w:val="20A36AB8"/>
    <w:rsid w:val="20A51982"/>
    <w:rsid w:val="20DA787E"/>
    <w:rsid w:val="215713F4"/>
    <w:rsid w:val="21A85DC9"/>
    <w:rsid w:val="21C910B4"/>
    <w:rsid w:val="21CB71C6"/>
    <w:rsid w:val="223C1E72"/>
    <w:rsid w:val="22615E11"/>
    <w:rsid w:val="2277734E"/>
    <w:rsid w:val="22837AA1"/>
    <w:rsid w:val="22F4099F"/>
    <w:rsid w:val="235C67B3"/>
    <w:rsid w:val="247B3126"/>
    <w:rsid w:val="24D46CDA"/>
    <w:rsid w:val="24F13E55"/>
    <w:rsid w:val="25B20DC9"/>
    <w:rsid w:val="26865DB2"/>
    <w:rsid w:val="268F5BDE"/>
    <w:rsid w:val="26A440C8"/>
    <w:rsid w:val="26AB487C"/>
    <w:rsid w:val="274C1B50"/>
    <w:rsid w:val="281B6434"/>
    <w:rsid w:val="285A3FB8"/>
    <w:rsid w:val="29F06015"/>
    <w:rsid w:val="2A4174EC"/>
    <w:rsid w:val="2A750617"/>
    <w:rsid w:val="2AE80DE9"/>
    <w:rsid w:val="2B6C7C6C"/>
    <w:rsid w:val="2B9B528B"/>
    <w:rsid w:val="2C025EDA"/>
    <w:rsid w:val="2C0B2FE1"/>
    <w:rsid w:val="2C2C2F57"/>
    <w:rsid w:val="2C90798A"/>
    <w:rsid w:val="2D8F292F"/>
    <w:rsid w:val="2DEE3957"/>
    <w:rsid w:val="2E2C36E3"/>
    <w:rsid w:val="2E497DF1"/>
    <w:rsid w:val="2F191EB9"/>
    <w:rsid w:val="2F2A7C22"/>
    <w:rsid w:val="2F5527C5"/>
    <w:rsid w:val="2FA439CE"/>
    <w:rsid w:val="2FB27C17"/>
    <w:rsid w:val="2FCD67AE"/>
    <w:rsid w:val="303348B4"/>
    <w:rsid w:val="304B42F4"/>
    <w:rsid w:val="30536D05"/>
    <w:rsid w:val="30A13F14"/>
    <w:rsid w:val="31441164"/>
    <w:rsid w:val="315E0057"/>
    <w:rsid w:val="31B61C41"/>
    <w:rsid w:val="31D976DD"/>
    <w:rsid w:val="31ED6AC5"/>
    <w:rsid w:val="31F6028F"/>
    <w:rsid w:val="32C57C62"/>
    <w:rsid w:val="331A1D5C"/>
    <w:rsid w:val="33BC1065"/>
    <w:rsid w:val="33BF2903"/>
    <w:rsid w:val="33CF6FEA"/>
    <w:rsid w:val="340D366E"/>
    <w:rsid w:val="342B6971"/>
    <w:rsid w:val="342F78F8"/>
    <w:rsid w:val="344A041F"/>
    <w:rsid w:val="34525525"/>
    <w:rsid w:val="34AA5361"/>
    <w:rsid w:val="354206E5"/>
    <w:rsid w:val="354C613D"/>
    <w:rsid w:val="35747E49"/>
    <w:rsid w:val="358B0CEF"/>
    <w:rsid w:val="35C01438"/>
    <w:rsid w:val="36527A5E"/>
    <w:rsid w:val="36AA1648"/>
    <w:rsid w:val="36FA437E"/>
    <w:rsid w:val="37272C99"/>
    <w:rsid w:val="377A54BF"/>
    <w:rsid w:val="379A16BD"/>
    <w:rsid w:val="37A60062"/>
    <w:rsid w:val="383E473E"/>
    <w:rsid w:val="385769F7"/>
    <w:rsid w:val="389B31FB"/>
    <w:rsid w:val="38A345A1"/>
    <w:rsid w:val="394538AA"/>
    <w:rsid w:val="3991256B"/>
    <w:rsid w:val="3A614714"/>
    <w:rsid w:val="3A746492"/>
    <w:rsid w:val="3A9E7716"/>
    <w:rsid w:val="3B225C51"/>
    <w:rsid w:val="3BCD02B3"/>
    <w:rsid w:val="3BDC04F6"/>
    <w:rsid w:val="3BE64207"/>
    <w:rsid w:val="3C3C2F54"/>
    <w:rsid w:val="3CD91B7E"/>
    <w:rsid w:val="3CE33E99"/>
    <w:rsid w:val="3CE37662"/>
    <w:rsid w:val="3D271C45"/>
    <w:rsid w:val="3D421C50"/>
    <w:rsid w:val="3E7C1B1C"/>
    <w:rsid w:val="3E900856"/>
    <w:rsid w:val="3F12422F"/>
    <w:rsid w:val="3F1735F3"/>
    <w:rsid w:val="3F8C3FE1"/>
    <w:rsid w:val="3FC14840"/>
    <w:rsid w:val="3FE060DB"/>
    <w:rsid w:val="404478ED"/>
    <w:rsid w:val="408B2C62"/>
    <w:rsid w:val="40B42B43"/>
    <w:rsid w:val="40FA31CC"/>
    <w:rsid w:val="41151DB4"/>
    <w:rsid w:val="41154AD0"/>
    <w:rsid w:val="41654AEA"/>
    <w:rsid w:val="41666B4A"/>
    <w:rsid w:val="420936C7"/>
    <w:rsid w:val="421877CE"/>
    <w:rsid w:val="421B164C"/>
    <w:rsid w:val="42BC2E2F"/>
    <w:rsid w:val="42C70F97"/>
    <w:rsid w:val="42EA585D"/>
    <w:rsid w:val="42F44377"/>
    <w:rsid w:val="431C742A"/>
    <w:rsid w:val="43252782"/>
    <w:rsid w:val="436332AB"/>
    <w:rsid w:val="43B35FE0"/>
    <w:rsid w:val="44112D07"/>
    <w:rsid w:val="4508410A"/>
    <w:rsid w:val="45612761"/>
    <w:rsid w:val="466E2B87"/>
    <w:rsid w:val="46FD7572"/>
    <w:rsid w:val="4780267D"/>
    <w:rsid w:val="47B70069"/>
    <w:rsid w:val="47E40387"/>
    <w:rsid w:val="47F444C0"/>
    <w:rsid w:val="4904108C"/>
    <w:rsid w:val="49641B2B"/>
    <w:rsid w:val="49FE57C7"/>
    <w:rsid w:val="4AAA17BF"/>
    <w:rsid w:val="4AB56AE2"/>
    <w:rsid w:val="4AE074D5"/>
    <w:rsid w:val="4B2652EA"/>
    <w:rsid w:val="4B6127C6"/>
    <w:rsid w:val="4BB01057"/>
    <w:rsid w:val="4D2B4E39"/>
    <w:rsid w:val="4D5B32F8"/>
    <w:rsid w:val="4D677E3B"/>
    <w:rsid w:val="4D862070"/>
    <w:rsid w:val="4DA93FB0"/>
    <w:rsid w:val="4DF00016"/>
    <w:rsid w:val="4DF74CA9"/>
    <w:rsid w:val="4E4361B3"/>
    <w:rsid w:val="4E57737C"/>
    <w:rsid w:val="4EA34EA3"/>
    <w:rsid w:val="4EE07EA5"/>
    <w:rsid w:val="4EF179BD"/>
    <w:rsid w:val="501244F0"/>
    <w:rsid w:val="506F6020"/>
    <w:rsid w:val="5086680E"/>
    <w:rsid w:val="50892300"/>
    <w:rsid w:val="51DC4954"/>
    <w:rsid w:val="525B1904"/>
    <w:rsid w:val="526B31C7"/>
    <w:rsid w:val="53083527"/>
    <w:rsid w:val="535D761C"/>
    <w:rsid w:val="53642461"/>
    <w:rsid w:val="536746F1"/>
    <w:rsid w:val="53693A52"/>
    <w:rsid w:val="539B25ED"/>
    <w:rsid w:val="540006A2"/>
    <w:rsid w:val="548A602F"/>
    <w:rsid w:val="550541C2"/>
    <w:rsid w:val="553E76D4"/>
    <w:rsid w:val="5552317F"/>
    <w:rsid w:val="55E464CD"/>
    <w:rsid w:val="564D4072"/>
    <w:rsid w:val="56861332"/>
    <w:rsid w:val="56AA3354"/>
    <w:rsid w:val="57D32627"/>
    <w:rsid w:val="57E84C39"/>
    <w:rsid w:val="583354EA"/>
    <w:rsid w:val="58C93758"/>
    <w:rsid w:val="59096014"/>
    <w:rsid w:val="59100855"/>
    <w:rsid w:val="597E2795"/>
    <w:rsid w:val="59991357"/>
    <w:rsid w:val="59A31AEA"/>
    <w:rsid w:val="59AA0BBB"/>
    <w:rsid w:val="5A5F4374"/>
    <w:rsid w:val="5AF2343A"/>
    <w:rsid w:val="5B0D415F"/>
    <w:rsid w:val="5B1C2265"/>
    <w:rsid w:val="5B3C05A8"/>
    <w:rsid w:val="5BA42DEA"/>
    <w:rsid w:val="5BCD355F"/>
    <w:rsid w:val="5BE60016"/>
    <w:rsid w:val="5C0E60A3"/>
    <w:rsid w:val="5C7A36E7"/>
    <w:rsid w:val="5CAA564F"/>
    <w:rsid w:val="5CB84210"/>
    <w:rsid w:val="5CE70651"/>
    <w:rsid w:val="5D02548B"/>
    <w:rsid w:val="5D041203"/>
    <w:rsid w:val="5D0E0EE0"/>
    <w:rsid w:val="5DF9063C"/>
    <w:rsid w:val="5E2F22B0"/>
    <w:rsid w:val="5E787E91"/>
    <w:rsid w:val="5E916AC6"/>
    <w:rsid w:val="5EE95772"/>
    <w:rsid w:val="5F742670"/>
    <w:rsid w:val="5FA1500A"/>
    <w:rsid w:val="5FB94527"/>
    <w:rsid w:val="60172FFB"/>
    <w:rsid w:val="605B738C"/>
    <w:rsid w:val="60B349C5"/>
    <w:rsid w:val="61700C15"/>
    <w:rsid w:val="62AF39BF"/>
    <w:rsid w:val="62B72874"/>
    <w:rsid w:val="630E06E5"/>
    <w:rsid w:val="631B2E02"/>
    <w:rsid w:val="636429FB"/>
    <w:rsid w:val="63C4349A"/>
    <w:rsid w:val="643A541E"/>
    <w:rsid w:val="64436AB5"/>
    <w:rsid w:val="645164D2"/>
    <w:rsid w:val="64632CB3"/>
    <w:rsid w:val="64B320CB"/>
    <w:rsid w:val="64D12312"/>
    <w:rsid w:val="64E73D36"/>
    <w:rsid w:val="651144BD"/>
    <w:rsid w:val="65180C44"/>
    <w:rsid w:val="657E6716"/>
    <w:rsid w:val="662A7F2C"/>
    <w:rsid w:val="667A42E4"/>
    <w:rsid w:val="66BC66AA"/>
    <w:rsid w:val="6857384D"/>
    <w:rsid w:val="68821CC5"/>
    <w:rsid w:val="689578D4"/>
    <w:rsid w:val="68C652EE"/>
    <w:rsid w:val="68E5638C"/>
    <w:rsid w:val="68F0088D"/>
    <w:rsid w:val="68FC5484"/>
    <w:rsid w:val="69D65CD5"/>
    <w:rsid w:val="69FE755C"/>
    <w:rsid w:val="6AE0505D"/>
    <w:rsid w:val="6B091FAC"/>
    <w:rsid w:val="6B156899"/>
    <w:rsid w:val="6B98344F"/>
    <w:rsid w:val="6CA631E6"/>
    <w:rsid w:val="6CA65E33"/>
    <w:rsid w:val="6D77157D"/>
    <w:rsid w:val="6DD16EDF"/>
    <w:rsid w:val="6E203822"/>
    <w:rsid w:val="6E4E6782"/>
    <w:rsid w:val="6EDE143B"/>
    <w:rsid w:val="6F0C000D"/>
    <w:rsid w:val="6F475230"/>
    <w:rsid w:val="6FBA084E"/>
    <w:rsid w:val="6FDF5171"/>
    <w:rsid w:val="700F3CEF"/>
    <w:rsid w:val="70205AFA"/>
    <w:rsid w:val="70327008"/>
    <w:rsid w:val="71290DE0"/>
    <w:rsid w:val="719D3C87"/>
    <w:rsid w:val="71AB5C99"/>
    <w:rsid w:val="71C034F3"/>
    <w:rsid w:val="72275320"/>
    <w:rsid w:val="72640322"/>
    <w:rsid w:val="72D471FB"/>
    <w:rsid w:val="731E50E6"/>
    <w:rsid w:val="73A34E7A"/>
    <w:rsid w:val="74503B27"/>
    <w:rsid w:val="748C3B60"/>
    <w:rsid w:val="74A92964"/>
    <w:rsid w:val="74FA4F6E"/>
    <w:rsid w:val="760746C8"/>
    <w:rsid w:val="76515061"/>
    <w:rsid w:val="768C3455"/>
    <w:rsid w:val="77297D8C"/>
    <w:rsid w:val="773425F1"/>
    <w:rsid w:val="77AD4519"/>
    <w:rsid w:val="77C74EAF"/>
    <w:rsid w:val="77E912C9"/>
    <w:rsid w:val="78161B0E"/>
    <w:rsid w:val="78C23FC1"/>
    <w:rsid w:val="78C32847"/>
    <w:rsid w:val="78D67AA0"/>
    <w:rsid w:val="79501600"/>
    <w:rsid w:val="797F6122"/>
    <w:rsid w:val="79D61B76"/>
    <w:rsid w:val="7A490FEA"/>
    <w:rsid w:val="7AB1432C"/>
    <w:rsid w:val="7B1448AF"/>
    <w:rsid w:val="7B181738"/>
    <w:rsid w:val="7B2E771F"/>
    <w:rsid w:val="7B3D3E06"/>
    <w:rsid w:val="7C275F06"/>
    <w:rsid w:val="7C971EA3"/>
    <w:rsid w:val="7DA41F1A"/>
    <w:rsid w:val="7E0A2CE6"/>
    <w:rsid w:val="7E2B263C"/>
    <w:rsid w:val="7E4E3DE5"/>
    <w:rsid w:val="7E4F167C"/>
    <w:rsid w:val="7F1E5C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line="360" w:lineRule="auto"/>
      <w:ind w:firstLine="200" w:firstLineChars="200"/>
      <w:outlineLvl w:val="1"/>
    </w:pPr>
    <w:rPr>
      <w:rFonts w:ascii="Arial" w:hAnsi="Arial"/>
      <w:b/>
      <w:bCs/>
      <w:szCs w:val="32"/>
    </w:rPr>
  </w:style>
  <w:style w:type="paragraph" w:styleId="3">
    <w:name w:val="heading 3"/>
    <w:basedOn w:val="1"/>
    <w:next w:val="1"/>
    <w:link w:val="19"/>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5">
    <w:name w:val="Plain Text"/>
    <w:basedOn w:val="1"/>
    <w:next w:val="6"/>
    <w:qFormat/>
    <w:uiPriority w:val="99"/>
    <w:rPr>
      <w:rFonts w:ascii="宋体" w:hAnsi="Courier New" w:cs="Arial"/>
      <w:snapToGrid w:val="0"/>
      <w:szCs w:val="21"/>
    </w:rPr>
  </w:style>
  <w:style w:type="paragraph" w:styleId="6">
    <w:name w:val="toc 2"/>
    <w:basedOn w:val="1"/>
    <w:next w:val="1"/>
    <w:qFormat/>
    <w:uiPriority w:val="0"/>
    <w:pPr>
      <w:ind w:left="420" w:leftChars="2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6"/>
    <w:basedOn w:val="1"/>
    <w:next w:val="1"/>
    <w:qFormat/>
    <w:uiPriority w:val="0"/>
    <w:pPr>
      <w:ind w:left="2100" w:leftChars="1000"/>
    </w:pPr>
  </w:style>
  <w:style w:type="paragraph" w:styleId="10">
    <w:name w:val="Body Text First Indent"/>
    <w:basedOn w:val="4"/>
    <w:qFormat/>
    <w:uiPriority w:val="99"/>
    <w:pPr>
      <w:ind w:firstLine="420"/>
    </w:pPr>
    <w:rPr>
      <w:rFonts w:hAnsi="Calibri" w:cs="Times New Roman"/>
      <w:snapToGrid/>
      <w:szCs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脚 Char"/>
    <w:link w:val="7"/>
    <w:semiHidden/>
    <w:qFormat/>
    <w:uiPriority w:val="99"/>
    <w:rPr>
      <w:sz w:val="18"/>
      <w:szCs w:val="18"/>
    </w:rPr>
  </w:style>
  <w:style w:type="character" w:customStyle="1" w:styleId="16">
    <w:name w:val="页眉 Char"/>
    <w:link w:val="8"/>
    <w:semiHidden/>
    <w:qFormat/>
    <w:uiPriority w:val="99"/>
    <w:rPr>
      <w:sz w:val="18"/>
      <w:szCs w:val="18"/>
    </w:rPr>
  </w:style>
  <w:style w:type="paragraph" w:customStyle="1" w:styleId="17">
    <w:name w:val="正文首行缩进1"/>
    <w:basedOn w:val="4"/>
    <w:qFormat/>
    <w:uiPriority w:val="0"/>
    <w:pPr>
      <w:spacing w:before="100" w:beforeAutospacing="1"/>
      <w:ind w:firstLine="420" w:firstLineChars="100"/>
    </w:pPr>
  </w:style>
  <w:style w:type="paragraph" w:customStyle="1" w:styleId="18">
    <w:name w:val="无间隔2"/>
    <w:basedOn w:val="1"/>
    <w:qFormat/>
    <w:uiPriority w:val="99"/>
    <w:rPr>
      <w:szCs w:val="22"/>
    </w:rPr>
  </w:style>
  <w:style w:type="character" w:customStyle="1" w:styleId="19">
    <w:name w:val="标题 3 字符"/>
    <w:link w:val="3"/>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3325</Words>
  <Characters>3431</Characters>
  <Lines>20</Lines>
  <Paragraphs>5</Paragraphs>
  <TotalTime>13</TotalTime>
  <ScaleCrop>false</ScaleCrop>
  <LinksUpToDate>false</LinksUpToDate>
  <CharactersWithSpaces>3612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2023-06-15T08:21:00Z</dcterms:created>
  <dc:creator>Administrator</dc:creator>
  <cp:lastModifiedBy>黄小洁</cp:lastModifiedBy>
  <cp:lastPrinted>2023-06-15T06:06:00Z</cp:lastPrinted>
  <dcterms:modified xsi:type="dcterms:W3CDTF">2025-03-03T07:00:35Z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88F66FC11ED3468FAC041A2510A09C4A_13</vt:lpwstr>
  </property>
  <property fmtid="{D5CDD505-2E9C-101B-9397-08002B2CF9AE}" pid="4" name="KSOTemplateDocerSaveRecord">
    <vt:lpwstr>eyJoZGlkIjoiZTYwMjQ5MDlhNjY1YWMxZDAxMmRiYWE4ZmM4ZjEyODgiLCJ1c2VySWQiOiIyMDk3NDgzMTQifQ==</vt:lpwstr>
  </property>
</Properties>
</file>