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05390">
      <w:pPr>
        <w:spacing w:line="360" w:lineRule="auto"/>
        <w:jc w:val="center"/>
        <w:outlineLvl w:val="0"/>
        <w:rPr>
          <w:rFonts w:hint="default" w:ascii="宋体" w:hAnsi="宋体" w:eastAsia="宋体" w:cs="宋体"/>
          <w:b/>
          <w:sz w:val="30"/>
          <w:szCs w:val="30"/>
          <w:lang w:val="en-US" w:eastAsia="zh-CN"/>
        </w:rPr>
      </w:pPr>
      <w:r>
        <w:rPr>
          <w:rFonts w:hint="eastAsia" w:ascii="宋体" w:hAnsi="宋体" w:cs="宋体"/>
          <w:b/>
          <w:sz w:val="30"/>
          <w:szCs w:val="30"/>
          <w:lang w:val="en-US" w:eastAsia="zh-CN"/>
        </w:rPr>
        <w:t>综合门户二级等保测评服务项目</w:t>
      </w:r>
    </w:p>
    <w:p w14:paraId="398EE9E7">
      <w:pPr>
        <w:pStyle w:val="5"/>
        <w:spacing w:line="360" w:lineRule="auto"/>
        <w:ind w:firstLine="0" w:firstLineChars="0"/>
        <w:rPr>
          <w:rFonts w:hint="eastAsia" w:ascii="宋体" w:hAnsi="宋体" w:eastAsia="宋体" w:cs="宋体"/>
          <w:b/>
          <w:snapToGrid/>
          <w:kern w:val="0"/>
          <w:sz w:val="24"/>
          <w:szCs w:val="24"/>
          <w:lang w:val="en-US" w:eastAsia="zh-CN" w:bidi="ar-SA"/>
        </w:rPr>
      </w:pPr>
      <w:r>
        <w:rPr>
          <w:rFonts w:hint="eastAsia" w:ascii="宋体" w:hAnsi="宋体" w:eastAsia="宋体" w:cs="宋体"/>
          <w:b/>
          <w:snapToGrid/>
          <w:kern w:val="0"/>
          <w:sz w:val="24"/>
          <w:szCs w:val="24"/>
          <w:lang w:val="en-US" w:eastAsia="zh-CN" w:bidi="ar-SA"/>
        </w:rPr>
        <w:t>一、采购标的</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3784"/>
        <w:gridCol w:w="980"/>
        <w:gridCol w:w="981"/>
        <w:gridCol w:w="1339"/>
        <w:gridCol w:w="941"/>
      </w:tblGrid>
      <w:tr w14:paraId="2C2D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695706C">
            <w:pPr>
              <w:pStyle w:val="17"/>
              <w:jc w:val="center"/>
              <w:rPr>
                <w:rFonts w:hint="eastAsia" w:ascii="宋体" w:hAnsi="宋体" w:eastAsia="宋体" w:cs="仿宋"/>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仿宋"/>
                <w:b/>
                <w:bCs/>
                <w:color w:val="000000" w:themeColor="text1"/>
                <w:kern w:val="2"/>
                <w:sz w:val="21"/>
                <w:szCs w:val="21"/>
                <w:highlight w:val="none"/>
                <w:lang w:val="en-US" w:eastAsia="zh-CN" w:bidi="ar-SA"/>
                <w14:textFill>
                  <w14:solidFill>
                    <w14:schemeClr w14:val="tx1"/>
                  </w14:solidFill>
                </w14:textFill>
              </w:rPr>
              <w:t>序号</w:t>
            </w:r>
          </w:p>
        </w:tc>
        <w:tc>
          <w:tcPr>
            <w:tcW w:w="3784" w:type="dxa"/>
            <w:vAlign w:val="center"/>
          </w:tcPr>
          <w:p w14:paraId="120FA2FB">
            <w:pPr>
              <w:pStyle w:val="17"/>
              <w:jc w:val="center"/>
              <w:rPr>
                <w:rFonts w:hint="default" w:ascii="宋体" w:hAnsi="宋体" w:eastAsia="宋体" w:cs="仿宋"/>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仿宋"/>
                <w:b/>
                <w:bCs/>
                <w:color w:val="000000" w:themeColor="text1"/>
                <w:kern w:val="2"/>
                <w:sz w:val="21"/>
                <w:szCs w:val="21"/>
                <w:highlight w:val="none"/>
                <w:lang w:val="en-US" w:eastAsia="zh-CN" w:bidi="ar-SA"/>
                <w14:textFill>
                  <w14:solidFill>
                    <w14:schemeClr w14:val="tx1"/>
                  </w14:solidFill>
                </w14:textFill>
              </w:rPr>
              <w:t>标的内容</w:t>
            </w:r>
          </w:p>
        </w:tc>
        <w:tc>
          <w:tcPr>
            <w:tcW w:w="980" w:type="dxa"/>
            <w:vAlign w:val="center"/>
          </w:tcPr>
          <w:p w14:paraId="01D483C3">
            <w:pPr>
              <w:pStyle w:val="17"/>
              <w:jc w:val="center"/>
              <w:rPr>
                <w:rFonts w:hint="eastAsia" w:ascii="宋体" w:hAnsi="宋体" w:eastAsia="宋体" w:cs="仿宋"/>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仿宋"/>
                <w:b/>
                <w:bCs/>
                <w:color w:val="000000" w:themeColor="text1"/>
                <w:kern w:val="2"/>
                <w:sz w:val="21"/>
                <w:szCs w:val="21"/>
                <w:highlight w:val="none"/>
                <w:lang w:val="en-US" w:eastAsia="zh-CN" w:bidi="ar-SA"/>
                <w14:textFill>
                  <w14:solidFill>
                    <w14:schemeClr w14:val="tx1"/>
                  </w14:solidFill>
                </w14:textFill>
              </w:rPr>
              <w:t>数量</w:t>
            </w:r>
          </w:p>
        </w:tc>
        <w:tc>
          <w:tcPr>
            <w:tcW w:w="981" w:type="dxa"/>
            <w:vAlign w:val="center"/>
          </w:tcPr>
          <w:p w14:paraId="61524FE3">
            <w:pPr>
              <w:pStyle w:val="17"/>
              <w:jc w:val="center"/>
              <w:rPr>
                <w:rFonts w:hint="eastAsia" w:ascii="宋体" w:hAnsi="宋体" w:eastAsia="宋体" w:cs="仿宋"/>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仿宋"/>
                <w:b/>
                <w:bCs/>
                <w:color w:val="000000" w:themeColor="text1"/>
                <w:kern w:val="2"/>
                <w:sz w:val="21"/>
                <w:szCs w:val="21"/>
                <w:highlight w:val="none"/>
                <w:lang w:val="en-US" w:eastAsia="zh-CN" w:bidi="ar-SA"/>
                <w14:textFill>
                  <w14:solidFill>
                    <w14:schemeClr w14:val="tx1"/>
                  </w14:solidFill>
                </w14:textFill>
              </w:rPr>
              <w:t>单位</w:t>
            </w:r>
          </w:p>
        </w:tc>
        <w:tc>
          <w:tcPr>
            <w:tcW w:w="1339" w:type="dxa"/>
            <w:vAlign w:val="center"/>
          </w:tcPr>
          <w:p w14:paraId="67E74609">
            <w:pPr>
              <w:pStyle w:val="17"/>
              <w:jc w:val="center"/>
              <w:rPr>
                <w:rFonts w:hint="default" w:ascii="宋体" w:hAnsi="宋体" w:eastAsia="宋体" w:cs="仿宋"/>
                <w:b/>
                <w:bCs/>
                <w:color w:val="000000" w:themeColor="text1"/>
                <w:kern w:val="2"/>
                <w:sz w:val="21"/>
                <w:szCs w:val="21"/>
                <w:highlight w:val="none"/>
                <w:lang w:val="en-US" w:eastAsia="zh-CN" w:bidi="ar-SA"/>
                <w14:textFill>
                  <w14:solidFill>
                    <w14:schemeClr w14:val="tx1"/>
                  </w14:solidFill>
                </w14:textFill>
              </w:rPr>
            </w:pPr>
            <w:r>
              <w:rPr>
                <w:rFonts w:hint="eastAsia" w:ascii="宋体" w:eastAsia="宋体" w:cs="仿宋"/>
                <w:b/>
                <w:bCs/>
                <w:color w:val="000000" w:themeColor="text1"/>
                <w:kern w:val="2"/>
                <w:sz w:val="21"/>
                <w:szCs w:val="21"/>
                <w:highlight w:val="none"/>
                <w:lang w:val="en-US" w:eastAsia="zh-CN" w:bidi="ar-SA"/>
                <w14:textFill>
                  <w14:solidFill>
                    <w14:schemeClr w14:val="tx1"/>
                  </w14:solidFill>
                </w14:textFill>
              </w:rPr>
              <w:t>预算</w:t>
            </w:r>
          </w:p>
        </w:tc>
        <w:tc>
          <w:tcPr>
            <w:tcW w:w="941" w:type="dxa"/>
            <w:vAlign w:val="center"/>
          </w:tcPr>
          <w:p w14:paraId="2FEF33BF">
            <w:pPr>
              <w:pStyle w:val="17"/>
              <w:jc w:val="center"/>
              <w:rPr>
                <w:rFonts w:hint="eastAsia" w:ascii="宋体" w:eastAsia="宋体" w:cs="仿宋"/>
                <w:b/>
                <w:bCs/>
                <w:color w:val="000000" w:themeColor="text1"/>
                <w:kern w:val="2"/>
                <w:sz w:val="21"/>
                <w:szCs w:val="21"/>
                <w:highlight w:val="none"/>
                <w:lang w:val="en-US" w:eastAsia="zh-CN" w:bidi="ar-SA"/>
                <w14:textFill>
                  <w14:solidFill>
                    <w14:schemeClr w14:val="tx1"/>
                  </w14:solidFill>
                </w14:textFill>
              </w:rPr>
            </w:pPr>
            <w:r>
              <w:rPr>
                <w:rFonts w:hint="eastAsia" w:ascii="宋体" w:eastAsia="宋体" w:cs="仿宋"/>
                <w:b/>
                <w:bCs/>
                <w:color w:val="000000" w:themeColor="text1"/>
                <w:kern w:val="2"/>
                <w:sz w:val="21"/>
                <w:szCs w:val="21"/>
                <w:highlight w:val="none"/>
                <w:lang w:val="en-US" w:eastAsia="zh-CN" w:bidi="ar-SA"/>
                <w14:textFill>
                  <w14:solidFill>
                    <w14:schemeClr w14:val="tx1"/>
                  </w14:solidFill>
                </w14:textFill>
              </w:rPr>
              <w:t>备注</w:t>
            </w:r>
          </w:p>
        </w:tc>
      </w:tr>
      <w:tr w14:paraId="1BAB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73680981">
            <w:pPr>
              <w:pStyle w:val="17"/>
              <w:jc w:val="center"/>
              <w:rPr>
                <w:rFonts w:hint="eastAsia" w:ascii="宋体" w:hAnsi="宋体" w:eastAsia="宋体"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仿宋"/>
                <w:color w:val="000000" w:themeColor="text1"/>
                <w:kern w:val="2"/>
                <w:sz w:val="21"/>
                <w:szCs w:val="21"/>
                <w:highlight w:val="none"/>
                <w:lang w:val="en-US" w:eastAsia="zh-CN" w:bidi="ar-SA"/>
                <w14:textFill>
                  <w14:solidFill>
                    <w14:schemeClr w14:val="tx1"/>
                  </w14:solidFill>
                </w14:textFill>
              </w:rPr>
              <w:t>1</w:t>
            </w:r>
          </w:p>
        </w:tc>
        <w:tc>
          <w:tcPr>
            <w:tcW w:w="3784" w:type="dxa"/>
            <w:vAlign w:val="center"/>
          </w:tcPr>
          <w:p w14:paraId="62A31F8E">
            <w:pPr>
              <w:pStyle w:val="17"/>
              <w:jc w:val="center"/>
              <w:rPr>
                <w:rFonts w:hint="eastAsia" w:ascii="宋体" w:hAnsi="宋体" w:eastAsia="宋体" w:cs="仿宋"/>
                <w:color w:val="000000" w:themeColor="text1"/>
                <w:kern w:val="2"/>
                <w:sz w:val="21"/>
                <w:szCs w:val="21"/>
                <w:highlight w:val="none"/>
                <w:lang w:val="en-US" w:eastAsia="zh-CN" w:bidi="ar-SA"/>
                <w14:textFill>
                  <w14:solidFill>
                    <w14:schemeClr w14:val="tx1"/>
                  </w14:solidFill>
                </w14:textFill>
              </w:rPr>
            </w:pPr>
            <w:r>
              <w:rPr>
                <w:rFonts w:hint="eastAsia" w:eastAsia="宋体"/>
                <w:bCs/>
                <w:sz w:val="21"/>
                <w:szCs w:val="21"/>
                <w:lang w:val="en-US" w:eastAsia="zh-CN"/>
              </w:rPr>
              <w:t>综合门户二级等保测评服务</w:t>
            </w:r>
          </w:p>
        </w:tc>
        <w:tc>
          <w:tcPr>
            <w:tcW w:w="980" w:type="dxa"/>
            <w:vAlign w:val="center"/>
          </w:tcPr>
          <w:p w14:paraId="4408F1D7">
            <w:pPr>
              <w:pStyle w:val="17"/>
              <w:jc w:val="center"/>
              <w:rPr>
                <w:rFonts w:hint="default" w:ascii="宋体" w:hAnsi="宋体" w:eastAsia="宋体" w:cs="仿宋"/>
                <w:color w:val="000000" w:themeColor="text1"/>
                <w:kern w:val="2"/>
                <w:sz w:val="21"/>
                <w:szCs w:val="21"/>
                <w:highlight w:val="none"/>
                <w:lang w:val="en-US" w:eastAsia="zh-CN" w:bidi="ar-SA"/>
                <w14:textFill>
                  <w14:solidFill>
                    <w14:schemeClr w14:val="tx1"/>
                  </w14:solidFill>
                </w14:textFill>
              </w:rPr>
            </w:pPr>
            <w:r>
              <w:rPr>
                <w:rFonts w:hint="eastAsia" w:ascii="宋体" w:eastAsia="宋体" w:cs="仿宋"/>
                <w:color w:val="000000" w:themeColor="text1"/>
                <w:kern w:val="2"/>
                <w:sz w:val="21"/>
                <w:szCs w:val="21"/>
                <w:highlight w:val="none"/>
                <w:lang w:val="en-US" w:eastAsia="zh-CN" w:bidi="ar-SA"/>
                <w14:textFill>
                  <w14:solidFill>
                    <w14:schemeClr w14:val="tx1"/>
                  </w14:solidFill>
                </w14:textFill>
              </w:rPr>
              <w:t>1</w:t>
            </w:r>
          </w:p>
        </w:tc>
        <w:tc>
          <w:tcPr>
            <w:tcW w:w="981" w:type="dxa"/>
            <w:vAlign w:val="center"/>
          </w:tcPr>
          <w:p w14:paraId="1F41F32E">
            <w:pPr>
              <w:pStyle w:val="17"/>
              <w:jc w:val="center"/>
              <w:rPr>
                <w:rFonts w:hint="default" w:ascii="宋体" w:hAnsi="宋体" w:eastAsia="宋体" w:cs="仿宋"/>
                <w:color w:val="000000" w:themeColor="text1"/>
                <w:kern w:val="2"/>
                <w:sz w:val="21"/>
                <w:szCs w:val="21"/>
                <w:highlight w:val="none"/>
                <w:lang w:val="en-US" w:eastAsia="zh-CN" w:bidi="ar-SA"/>
                <w14:textFill>
                  <w14:solidFill>
                    <w14:schemeClr w14:val="tx1"/>
                  </w14:solidFill>
                </w14:textFill>
              </w:rPr>
            </w:pPr>
            <w:r>
              <w:rPr>
                <w:rFonts w:hint="eastAsia" w:ascii="宋体" w:eastAsia="宋体" w:cs="仿宋"/>
                <w:color w:val="000000" w:themeColor="text1"/>
                <w:kern w:val="2"/>
                <w:sz w:val="21"/>
                <w:szCs w:val="21"/>
                <w:highlight w:val="none"/>
                <w:lang w:val="en-US" w:eastAsia="zh-CN" w:bidi="ar-SA"/>
                <w14:textFill>
                  <w14:solidFill>
                    <w14:schemeClr w14:val="tx1"/>
                  </w14:solidFill>
                </w14:textFill>
              </w:rPr>
              <w:t>项</w:t>
            </w:r>
          </w:p>
        </w:tc>
        <w:tc>
          <w:tcPr>
            <w:tcW w:w="1339" w:type="dxa"/>
            <w:vAlign w:val="center"/>
          </w:tcPr>
          <w:p w14:paraId="52C772CA">
            <w:pPr>
              <w:pStyle w:val="17"/>
              <w:jc w:val="center"/>
              <w:rPr>
                <w:rFonts w:hint="default" w:ascii="宋体" w:hAnsi="宋体" w:eastAsia="宋体" w:cs="仿宋"/>
                <w:color w:val="000000" w:themeColor="text1"/>
                <w:kern w:val="2"/>
                <w:sz w:val="21"/>
                <w:szCs w:val="21"/>
                <w:highlight w:val="none"/>
                <w:lang w:val="en-US" w:eastAsia="zh-CN" w:bidi="ar-SA"/>
                <w14:textFill>
                  <w14:solidFill>
                    <w14:schemeClr w14:val="tx1"/>
                  </w14:solidFill>
                </w14:textFill>
              </w:rPr>
            </w:pPr>
            <w:r>
              <w:rPr>
                <w:rFonts w:hint="eastAsia" w:ascii="宋体" w:eastAsia="宋体" w:cs="仿宋"/>
                <w:color w:val="000000" w:themeColor="text1"/>
                <w:kern w:val="2"/>
                <w:sz w:val="21"/>
                <w:szCs w:val="21"/>
                <w:highlight w:val="none"/>
                <w:lang w:val="en-US" w:eastAsia="zh-CN" w:bidi="ar-SA"/>
                <w14:textFill>
                  <w14:solidFill>
                    <w14:schemeClr w14:val="tx1"/>
                  </w14:solidFill>
                </w14:textFill>
              </w:rPr>
              <w:t>4万元</w:t>
            </w:r>
          </w:p>
        </w:tc>
        <w:tc>
          <w:tcPr>
            <w:tcW w:w="941" w:type="dxa"/>
            <w:vAlign w:val="center"/>
          </w:tcPr>
          <w:p w14:paraId="58A2CA76">
            <w:pPr>
              <w:pStyle w:val="17"/>
              <w:jc w:val="center"/>
              <w:rPr>
                <w:rFonts w:hint="eastAsia" w:ascii="宋体" w:hAnsi="宋体" w:eastAsia="宋体" w:cs="仿宋"/>
                <w:color w:val="000000" w:themeColor="text1"/>
                <w:kern w:val="2"/>
                <w:sz w:val="21"/>
                <w:szCs w:val="21"/>
                <w:highlight w:val="none"/>
                <w:lang w:val="en-US" w:eastAsia="zh-CN" w:bidi="ar-SA"/>
                <w14:textFill>
                  <w14:solidFill>
                    <w14:schemeClr w14:val="tx1"/>
                  </w14:solidFill>
                </w14:textFill>
              </w:rPr>
            </w:pPr>
          </w:p>
        </w:tc>
      </w:tr>
    </w:tbl>
    <w:p w14:paraId="35ECA45C">
      <w:pPr>
        <w:numPr>
          <w:ilvl w:val="0"/>
          <w:numId w:val="0"/>
        </w:numPr>
        <w:tabs>
          <w:tab w:val="center" w:pos="4139"/>
        </w:tabs>
        <w:spacing w:line="240" w:lineRule="auto"/>
        <w:rPr>
          <w:rFonts w:hint="eastAsia" w:ascii="宋体" w:hAnsi="宋体" w:eastAsia="宋体" w:cs="仿宋"/>
          <w:color w:val="000000" w:themeColor="text1"/>
          <w:kern w:val="2"/>
          <w:sz w:val="21"/>
          <w:szCs w:val="21"/>
          <w:lang w:val="en-US" w:eastAsia="zh-CN" w:bidi="ar-SA"/>
          <w14:textFill>
            <w14:solidFill>
              <w14:schemeClr w14:val="tx1"/>
            </w14:solidFill>
          </w14:textFill>
        </w:rPr>
      </w:pPr>
      <w:r>
        <w:rPr>
          <w:rFonts w:hint="eastAsia" w:hAnsi="宋体" w:cs="宋体"/>
          <w:szCs w:val="21"/>
          <w:lang w:val="en-US" w:eastAsia="zh-CN"/>
        </w:rPr>
        <w:t>注：</w:t>
      </w:r>
      <w:r>
        <w:rPr>
          <w:rFonts w:hint="eastAsia" w:hAnsi="宋体" w:cs="宋体"/>
          <w:szCs w:val="21"/>
        </w:rPr>
        <w:t>该价款已包含人员、服务、培训、利润、税收等一切费用，</w:t>
      </w:r>
      <w:r>
        <w:rPr>
          <w:rFonts w:hint="eastAsia" w:hAnsi="宋体" w:cs="宋体"/>
          <w:szCs w:val="21"/>
          <w:lang w:val="en-US" w:eastAsia="zh-CN"/>
        </w:rPr>
        <w:t>本项目采购人</w:t>
      </w:r>
      <w:r>
        <w:rPr>
          <w:rFonts w:hint="eastAsia" w:hAnsi="宋体" w:cs="宋体"/>
          <w:szCs w:val="21"/>
        </w:rPr>
        <w:t>不再另行支付</w:t>
      </w:r>
      <w:r>
        <w:rPr>
          <w:rFonts w:hint="eastAsia" w:hAnsi="宋体" w:cs="宋体"/>
          <w:szCs w:val="21"/>
          <w:lang w:val="en-US" w:eastAsia="zh-CN"/>
        </w:rPr>
        <w:t>其他费用</w:t>
      </w:r>
      <w:r>
        <w:rPr>
          <w:rFonts w:hint="eastAsia" w:hAnsi="宋体" w:cs="宋体"/>
          <w:szCs w:val="21"/>
        </w:rPr>
        <w:t>，</w:t>
      </w:r>
      <w:r>
        <w:rPr>
          <w:rFonts w:hint="eastAsia" w:hAnsi="宋体" w:cs="宋体"/>
          <w:szCs w:val="21"/>
          <w:lang w:val="en-US" w:eastAsia="zh-CN"/>
        </w:rPr>
        <w:t>中标人</w:t>
      </w:r>
      <w:r>
        <w:rPr>
          <w:rFonts w:hint="eastAsia" w:hAnsi="宋体" w:cs="宋体"/>
          <w:szCs w:val="21"/>
        </w:rPr>
        <w:t>亦不得以任何理由要求增加费用。</w:t>
      </w:r>
    </w:p>
    <w:p w14:paraId="5DAA400F">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宋体" w:hAnsi="宋体" w:eastAsia="宋体" w:cs="宋体"/>
          <w:b/>
          <w:snapToGrid/>
          <w:kern w:val="0"/>
          <w:sz w:val="24"/>
          <w:szCs w:val="24"/>
          <w:lang w:val="en-US" w:eastAsia="zh-CN" w:bidi="ar-SA"/>
        </w:rPr>
      </w:pPr>
      <w:r>
        <w:rPr>
          <w:rFonts w:hint="eastAsia" w:ascii="宋体" w:hAnsi="宋体" w:cs="宋体"/>
          <w:b/>
          <w:snapToGrid/>
          <w:kern w:val="0"/>
          <w:sz w:val="24"/>
          <w:szCs w:val="24"/>
          <w:lang w:val="en-US" w:eastAsia="zh-CN" w:bidi="ar-SA"/>
        </w:rPr>
        <w:t>二、</w:t>
      </w:r>
      <w:r>
        <w:rPr>
          <w:rFonts w:hint="eastAsia" w:ascii="宋体" w:hAnsi="宋体" w:eastAsia="宋体" w:cs="宋体"/>
          <w:b/>
          <w:snapToGrid/>
          <w:kern w:val="0"/>
          <w:sz w:val="24"/>
          <w:szCs w:val="24"/>
          <w:lang w:val="en-US" w:eastAsia="zh-CN" w:bidi="ar-SA"/>
        </w:rPr>
        <w:t>技术参数及服务的要求</w:t>
      </w:r>
    </w:p>
    <w:tbl>
      <w:tblPr>
        <w:tblStyle w:val="13"/>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5981"/>
        <w:gridCol w:w="698"/>
        <w:gridCol w:w="1337"/>
      </w:tblGrid>
      <w:tr w14:paraId="174D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57" w:type="dxa"/>
            <w:tcBorders>
              <w:top w:val="single" w:color="auto" w:sz="4" w:space="0"/>
              <w:left w:val="single" w:color="auto" w:sz="4" w:space="0"/>
              <w:bottom w:val="single" w:color="auto" w:sz="4" w:space="0"/>
              <w:right w:val="single" w:color="auto" w:sz="4" w:space="0"/>
            </w:tcBorders>
            <w:vAlign w:val="center"/>
          </w:tcPr>
          <w:p w14:paraId="6F7526F6">
            <w:pPr>
              <w:widowControl/>
              <w:adjustRightInd w:val="0"/>
              <w:snapToGrid w:val="0"/>
              <w:jc w:val="center"/>
              <w:rPr>
                <w:rFonts w:hint="eastAsia" w:ascii="宋体" w:hAnsi="宋体" w:cs="宋体"/>
                <w:b/>
                <w:color w:val="000000"/>
                <w:sz w:val="24"/>
              </w:rPr>
            </w:pPr>
            <w:r>
              <w:rPr>
                <w:rFonts w:hint="eastAsia" w:ascii="宋体" w:hAnsi="宋体" w:cs="宋体"/>
                <w:b/>
                <w:color w:val="000000"/>
                <w:kern w:val="0"/>
                <w:sz w:val="24"/>
                <w:lang w:bidi="ar"/>
              </w:rPr>
              <w:t>序号</w:t>
            </w:r>
          </w:p>
        </w:tc>
        <w:tc>
          <w:tcPr>
            <w:tcW w:w="5981" w:type="dxa"/>
            <w:tcBorders>
              <w:top w:val="single" w:color="auto" w:sz="4" w:space="0"/>
              <w:left w:val="single" w:color="auto" w:sz="4" w:space="0"/>
              <w:bottom w:val="single" w:color="auto" w:sz="4" w:space="0"/>
              <w:right w:val="single" w:color="auto" w:sz="4" w:space="0"/>
            </w:tcBorders>
            <w:vAlign w:val="center"/>
          </w:tcPr>
          <w:p w14:paraId="7C649FE1">
            <w:pPr>
              <w:widowControl/>
              <w:adjustRightInd w:val="0"/>
              <w:snapToGrid w:val="0"/>
              <w:jc w:val="center"/>
              <w:rPr>
                <w:rFonts w:hint="eastAsia" w:ascii="宋体" w:hAnsi="宋体" w:cs="宋体"/>
                <w:b/>
                <w:color w:val="000000"/>
                <w:sz w:val="24"/>
              </w:rPr>
            </w:pPr>
            <w:r>
              <w:rPr>
                <w:rFonts w:hint="eastAsia" w:ascii="宋体" w:hAnsi="宋体" w:cs="宋体"/>
                <w:b/>
                <w:color w:val="000000"/>
                <w:kern w:val="0"/>
                <w:sz w:val="24"/>
                <w:lang w:bidi="ar"/>
              </w:rPr>
              <w:t>服务名称</w:t>
            </w:r>
          </w:p>
        </w:tc>
        <w:tc>
          <w:tcPr>
            <w:tcW w:w="698" w:type="dxa"/>
            <w:tcBorders>
              <w:top w:val="single" w:color="auto" w:sz="4" w:space="0"/>
              <w:left w:val="single" w:color="auto" w:sz="4" w:space="0"/>
              <w:bottom w:val="single" w:color="auto" w:sz="4" w:space="0"/>
              <w:right w:val="single" w:color="auto" w:sz="4" w:space="0"/>
            </w:tcBorders>
            <w:vAlign w:val="center"/>
          </w:tcPr>
          <w:p w14:paraId="3B5665F6">
            <w:pPr>
              <w:widowControl/>
              <w:adjustRightInd w:val="0"/>
              <w:snapToGrid w:val="0"/>
              <w:jc w:val="center"/>
              <w:rPr>
                <w:rFonts w:hint="eastAsia" w:ascii="宋体" w:hAnsi="宋体" w:cs="宋体"/>
                <w:b/>
                <w:color w:val="000000"/>
                <w:sz w:val="24"/>
              </w:rPr>
            </w:pPr>
            <w:r>
              <w:rPr>
                <w:rFonts w:hint="eastAsia" w:ascii="宋体" w:hAnsi="宋体" w:cs="宋体"/>
                <w:b/>
                <w:color w:val="000000"/>
                <w:kern w:val="0"/>
                <w:sz w:val="24"/>
                <w:lang w:bidi="ar"/>
              </w:rPr>
              <w:t>数量</w:t>
            </w:r>
          </w:p>
        </w:tc>
        <w:tc>
          <w:tcPr>
            <w:tcW w:w="1337" w:type="dxa"/>
            <w:tcBorders>
              <w:top w:val="single" w:color="auto" w:sz="4" w:space="0"/>
              <w:left w:val="single" w:color="auto" w:sz="4" w:space="0"/>
              <w:bottom w:val="single" w:color="auto" w:sz="4" w:space="0"/>
              <w:right w:val="single" w:color="auto" w:sz="4" w:space="0"/>
            </w:tcBorders>
            <w:vAlign w:val="center"/>
          </w:tcPr>
          <w:p w14:paraId="7C926581">
            <w:pPr>
              <w:widowControl/>
              <w:adjustRightInd w:val="0"/>
              <w:snapToGrid w:val="0"/>
              <w:jc w:val="center"/>
              <w:rPr>
                <w:rFonts w:hint="eastAsia" w:ascii="宋体" w:hAnsi="宋体" w:cs="宋体"/>
                <w:b/>
                <w:color w:val="000000"/>
                <w:sz w:val="24"/>
              </w:rPr>
            </w:pPr>
            <w:r>
              <w:rPr>
                <w:rFonts w:hint="eastAsia" w:ascii="宋体" w:hAnsi="宋体" w:cs="宋体"/>
                <w:b/>
                <w:color w:val="000000"/>
                <w:kern w:val="0"/>
                <w:sz w:val="24"/>
                <w:lang w:bidi="ar"/>
              </w:rPr>
              <w:t>配置要求</w:t>
            </w:r>
          </w:p>
        </w:tc>
      </w:tr>
      <w:tr w14:paraId="6C1C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57" w:type="dxa"/>
            <w:tcBorders>
              <w:top w:val="single" w:color="auto" w:sz="4" w:space="0"/>
              <w:left w:val="single" w:color="auto" w:sz="4" w:space="0"/>
              <w:bottom w:val="single" w:color="auto" w:sz="4" w:space="0"/>
              <w:right w:val="single" w:color="auto" w:sz="4" w:space="0"/>
            </w:tcBorders>
            <w:vAlign w:val="center"/>
          </w:tcPr>
          <w:p w14:paraId="025B9B94">
            <w:pPr>
              <w:adjustRightInd w:val="0"/>
              <w:snapToGrid w:val="0"/>
              <w:jc w:val="center"/>
              <w:rPr>
                <w:rFonts w:hint="eastAsia" w:ascii="宋体" w:hAnsi="宋体" w:cs="宋体"/>
                <w:b/>
                <w:color w:val="000000"/>
                <w:sz w:val="24"/>
              </w:rPr>
            </w:pPr>
            <w:r>
              <w:rPr>
                <w:rFonts w:hint="eastAsia" w:ascii="宋体" w:hAnsi="宋体" w:cs="宋体"/>
                <w:b/>
                <w:color w:val="000000"/>
                <w:sz w:val="24"/>
                <w:lang w:bidi="ar"/>
              </w:rPr>
              <w:t>1</w:t>
            </w:r>
          </w:p>
        </w:tc>
        <w:tc>
          <w:tcPr>
            <w:tcW w:w="5981" w:type="dxa"/>
            <w:tcBorders>
              <w:top w:val="single" w:color="auto" w:sz="4" w:space="0"/>
              <w:left w:val="single" w:color="auto" w:sz="4" w:space="0"/>
              <w:bottom w:val="single" w:color="auto" w:sz="4" w:space="0"/>
              <w:right w:val="single" w:color="auto" w:sz="4" w:space="0"/>
            </w:tcBorders>
            <w:vAlign w:val="center"/>
          </w:tcPr>
          <w:p w14:paraId="0F6C2515">
            <w:pPr>
              <w:adjustRightInd w:val="0"/>
              <w:snapToGrid w:val="0"/>
              <w:jc w:val="center"/>
              <w:rPr>
                <w:rFonts w:hint="eastAsia" w:ascii="宋体" w:hAnsi="宋体" w:cs="宋体"/>
                <w:b/>
                <w:color w:val="000000"/>
                <w:sz w:val="24"/>
              </w:rPr>
            </w:pPr>
            <w:r>
              <w:rPr>
                <w:rFonts w:hint="eastAsia" w:ascii="宋体" w:hAnsi="宋体" w:cs="宋体"/>
                <w:b/>
                <w:color w:val="000000"/>
                <w:sz w:val="24"/>
                <w:lang w:bidi="ar"/>
              </w:rPr>
              <w:t>二级等保测评及整改服务</w:t>
            </w:r>
          </w:p>
        </w:tc>
        <w:tc>
          <w:tcPr>
            <w:tcW w:w="698" w:type="dxa"/>
            <w:tcBorders>
              <w:top w:val="single" w:color="auto" w:sz="4" w:space="0"/>
              <w:left w:val="single" w:color="auto" w:sz="4" w:space="0"/>
              <w:bottom w:val="single" w:color="auto" w:sz="4" w:space="0"/>
              <w:right w:val="single" w:color="auto" w:sz="4" w:space="0"/>
            </w:tcBorders>
            <w:vAlign w:val="center"/>
          </w:tcPr>
          <w:p w14:paraId="42D73F78">
            <w:pPr>
              <w:adjustRightInd w:val="0"/>
              <w:snapToGrid w:val="0"/>
              <w:jc w:val="center"/>
              <w:rPr>
                <w:rFonts w:hint="eastAsia" w:ascii="宋体" w:hAnsi="宋体" w:cs="宋体"/>
                <w:b/>
                <w:color w:val="000000"/>
                <w:sz w:val="24"/>
              </w:rPr>
            </w:pPr>
            <w:r>
              <w:rPr>
                <w:rFonts w:hint="eastAsia" w:ascii="宋体" w:hAnsi="宋体" w:cs="宋体"/>
                <w:b/>
                <w:color w:val="000000"/>
                <w:sz w:val="24"/>
                <w:lang w:bidi="ar"/>
              </w:rPr>
              <w:t>1</w:t>
            </w:r>
          </w:p>
        </w:tc>
        <w:tc>
          <w:tcPr>
            <w:tcW w:w="1337" w:type="dxa"/>
            <w:tcBorders>
              <w:top w:val="single" w:color="auto" w:sz="4" w:space="0"/>
              <w:left w:val="single" w:color="auto" w:sz="4" w:space="0"/>
              <w:bottom w:val="single" w:color="auto" w:sz="4" w:space="0"/>
              <w:right w:val="single" w:color="auto" w:sz="4" w:space="0"/>
            </w:tcBorders>
            <w:vAlign w:val="center"/>
          </w:tcPr>
          <w:p w14:paraId="56AAA8D9">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sz w:val="24"/>
                <w:lang w:bidi="ar"/>
              </w:rPr>
              <w:t>/</w:t>
            </w:r>
          </w:p>
        </w:tc>
      </w:tr>
      <w:tr w14:paraId="7115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73" w:type="dxa"/>
            <w:gridSpan w:val="4"/>
            <w:tcBorders>
              <w:top w:val="single" w:color="auto" w:sz="4" w:space="0"/>
              <w:left w:val="single" w:color="auto" w:sz="4" w:space="0"/>
              <w:bottom w:val="single" w:color="auto" w:sz="4" w:space="0"/>
              <w:right w:val="single" w:color="auto" w:sz="4" w:space="0"/>
            </w:tcBorders>
            <w:vAlign w:val="center"/>
          </w:tcPr>
          <w:p w14:paraId="18A445C5">
            <w:pPr>
              <w:adjustRightInd w:val="0"/>
              <w:snapToGrid w:val="0"/>
              <w:jc w:val="center"/>
              <w:rPr>
                <w:rFonts w:hint="eastAsia" w:ascii="宋体" w:hAnsi="宋体" w:cs="宋体"/>
                <w:b/>
                <w:color w:val="000000"/>
                <w:sz w:val="24"/>
              </w:rPr>
            </w:pPr>
            <w:r>
              <w:rPr>
                <w:rFonts w:hint="eastAsia" w:ascii="宋体" w:hAnsi="宋体" w:cs="宋体"/>
                <w:b/>
                <w:color w:val="000000"/>
                <w:sz w:val="24"/>
                <w:lang w:bidi="ar"/>
              </w:rPr>
              <w:t>技术参数要求</w:t>
            </w:r>
          </w:p>
        </w:tc>
      </w:tr>
      <w:tr w14:paraId="2074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5C9D6D70">
            <w:pPr>
              <w:adjustRightInd w:val="0"/>
              <w:snapToGrid w:val="0"/>
              <w:jc w:val="center"/>
              <w:rPr>
                <w:rFonts w:hint="eastAsia" w:ascii="宋体" w:hAnsi="宋体" w:cs="宋体"/>
                <w:color w:val="000000"/>
                <w:sz w:val="24"/>
              </w:rPr>
            </w:pPr>
            <w:r>
              <w:rPr>
                <w:rFonts w:hint="eastAsia" w:ascii="宋体" w:hAnsi="宋体" w:cs="宋体"/>
                <w:color w:val="000000"/>
                <w:sz w:val="24"/>
                <w:lang w:bidi="ar"/>
              </w:rPr>
              <w:t>服务范围</w:t>
            </w:r>
          </w:p>
        </w:tc>
        <w:tc>
          <w:tcPr>
            <w:tcW w:w="80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7C451F">
            <w:pPr>
              <w:adjustRightInd w:val="0"/>
              <w:snapToGrid w:val="0"/>
              <w:rPr>
                <w:rFonts w:hint="eastAsia" w:ascii="宋体" w:hAnsi="宋体" w:cs="宋体"/>
                <w:color w:val="000000"/>
                <w:sz w:val="24"/>
              </w:rPr>
            </w:pPr>
            <w:r>
              <w:rPr>
                <w:rFonts w:hint="eastAsia" w:ascii="宋体" w:hAnsi="宋体" w:cs="宋体"/>
                <w:color w:val="000000"/>
                <w:sz w:val="24"/>
                <w:lang w:bidi="ar"/>
              </w:rPr>
              <w:t>综合门户等保备案。</w:t>
            </w:r>
          </w:p>
        </w:tc>
      </w:tr>
      <w:tr w14:paraId="2C7F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2D3FE6E0">
            <w:pPr>
              <w:adjustRightInd w:val="0"/>
              <w:snapToGrid w:val="0"/>
              <w:jc w:val="center"/>
              <w:rPr>
                <w:rFonts w:hint="eastAsia" w:ascii="宋体" w:hAnsi="宋体" w:cs="宋体"/>
                <w:color w:val="000000"/>
                <w:sz w:val="24"/>
              </w:rPr>
            </w:pPr>
            <w:r>
              <w:rPr>
                <w:rFonts w:hint="eastAsia" w:ascii="宋体" w:hAnsi="宋体" w:cs="宋体"/>
                <w:color w:val="000000"/>
                <w:sz w:val="24"/>
                <w:lang w:bidi="ar"/>
              </w:rPr>
              <w:t>等保定级咨询</w:t>
            </w:r>
          </w:p>
        </w:tc>
        <w:tc>
          <w:tcPr>
            <w:tcW w:w="80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88F732">
            <w:pPr>
              <w:adjustRightInd w:val="0"/>
              <w:snapToGrid w:val="0"/>
              <w:rPr>
                <w:rFonts w:hint="eastAsia" w:ascii="宋体" w:hAnsi="宋体" w:cs="宋体"/>
                <w:color w:val="000000"/>
                <w:sz w:val="24"/>
              </w:rPr>
            </w:pPr>
            <w:r>
              <w:rPr>
                <w:rFonts w:hint="eastAsia" w:ascii="宋体" w:hAnsi="宋体" w:cs="宋体"/>
                <w:sz w:val="24"/>
                <w:lang w:bidi="ar"/>
              </w:rPr>
              <w:t>根据《GB/T 22240-2008 信息安全技术信息系统安全等级保护定级指南》的定级方法和指导意见，对综合门户系统进行定级对象分析、定级要素分析，初步确定系统保护等级，协助召开定级专家评审会议，确定系统保护等级，协助编制《等级保护定级报告》和《备案表》。协助联络公安机关，完成定级备案工作。等保测评实施：完成系统的基本情况调查、测评实施、工具扫描，对测评发现问题进行风险分析，编制测评报告，完成测评备案。</w:t>
            </w:r>
          </w:p>
        </w:tc>
      </w:tr>
      <w:tr w14:paraId="1AD6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41F9A902">
            <w:pPr>
              <w:adjustRightInd w:val="0"/>
              <w:snapToGrid w:val="0"/>
              <w:jc w:val="center"/>
              <w:rPr>
                <w:rFonts w:hint="eastAsia" w:ascii="宋体" w:hAnsi="宋体" w:cs="宋体"/>
                <w:color w:val="000000"/>
                <w:sz w:val="24"/>
              </w:rPr>
            </w:pPr>
            <w:r>
              <w:rPr>
                <w:rFonts w:hint="eastAsia" w:ascii="宋体" w:hAnsi="宋体" w:cs="宋体"/>
                <w:color w:val="000000"/>
                <w:sz w:val="24"/>
                <w:lang w:bidi="ar"/>
              </w:rPr>
              <w:t>具体内容</w:t>
            </w:r>
          </w:p>
        </w:tc>
        <w:tc>
          <w:tcPr>
            <w:tcW w:w="80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D59C34">
            <w:pPr>
              <w:adjustRightInd w:val="0"/>
              <w:snapToGrid w:val="0"/>
              <w:rPr>
                <w:rFonts w:hint="eastAsia" w:ascii="宋体" w:hAnsi="宋体" w:cs="宋体"/>
                <w:color w:val="000000"/>
                <w:sz w:val="24"/>
              </w:rPr>
            </w:pPr>
            <w:r>
              <w:rPr>
                <w:rFonts w:hint="eastAsia" w:ascii="宋体" w:hAnsi="宋体" w:cs="宋体"/>
                <w:sz w:val="24"/>
                <w:lang w:bidi="ar"/>
              </w:rPr>
              <w:t>依据等级保护2.0的相关标准《GB/T 22239-2019 信息安全技术 网络安全等级保护基本要求》、《GB/T  28448-2019信息安全技术 网络安全等级保护测评要求》标准中的安全通用要求《云计算安全扩展要求》、《物联网安全扩展要求》等标准，对学院综合门户开展安全技术测评（包括安全物理环境、安全通信网络、安全区域边界、安全计算环境、安全管理中心等五个方面的安全测评）和安全管理测评（安全管理制度、安全管理机构、人员安全管理、安全建设管理和安全运维管理等五个方面的安全测评），出具符合信息安全等级保护主管部门要求的信息系统安全等级保护测评报告。提交的测评报告符合相应技术规范，并完成信息系统安全保护等级备案工作。</w:t>
            </w:r>
          </w:p>
        </w:tc>
      </w:tr>
      <w:tr w14:paraId="3CED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25C80273">
            <w:pPr>
              <w:adjustRightInd w:val="0"/>
              <w:snapToGrid w:val="0"/>
              <w:jc w:val="center"/>
              <w:rPr>
                <w:rFonts w:hint="eastAsia" w:ascii="宋体" w:hAnsi="宋体" w:cs="宋体"/>
                <w:color w:val="000000"/>
                <w:sz w:val="24"/>
              </w:rPr>
            </w:pPr>
            <w:r>
              <w:rPr>
                <w:rFonts w:hint="eastAsia" w:ascii="宋体" w:hAnsi="宋体" w:cs="宋体"/>
                <w:color w:val="000000"/>
                <w:sz w:val="24"/>
                <w:lang w:bidi="ar"/>
              </w:rPr>
              <w:t>等保整改服务</w:t>
            </w:r>
          </w:p>
        </w:tc>
        <w:tc>
          <w:tcPr>
            <w:tcW w:w="80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12CA73">
            <w:pPr>
              <w:adjustRightInd w:val="0"/>
              <w:snapToGrid w:val="0"/>
              <w:rPr>
                <w:rFonts w:hint="eastAsia" w:ascii="宋体" w:hAnsi="宋体" w:cs="宋体"/>
                <w:color w:val="000000"/>
                <w:sz w:val="24"/>
              </w:rPr>
            </w:pPr>
            <w:r>
              <w:rPr>
                <w:rFonts w:hint="eastAsia" w:ascii="宋体" w:hAnsi="宋体" w:cs="宋体"/>
                <w:sz w:val="24"/>
                <w:lang w:bidi="ar"/>
              </w:rPr>
              <w:t>针对系统业务需求和部署环境，对等级测评发现的安全问题和漏洞隐患，提供安全整改服务，</w:t>
            </w:r>
            <w:r>
              <w:rPr>
                <w:rFonts w:hint="eastAsia" w:ascii="宋体" w:hAnsi="宋体" w:cs="宋体"/>
                <w:sz w:val="24"/>
              </w:rPr>
              <w:t>包括防火墙、入侵检测系统、安全审计系统、服务器、交换机、日志审计系统等</w:t>
            </w:r>
            <w:r>
              <w:rPr>
                <w:rFonts w:hint="eastAsia" w:ascii="宋体" w:hAnsi="宋体" w:cs="宋体"/>
                <w:sz w:val="24"/>
                <w:lang w:bidi="ar"/>
              </w:rPr>
              <w:t>，完成等保要求的技术整改。</w:t>
            </w:r>
            <w:r>
              <w:rPr>
                <w:rFonts w:hint="eastAsia" w:ascii="宋体" w:hAnsi="宋体" w:cs="宋体"/>
                <w:color w:val="000000"/>
                <w:sz w:val="24"/>
              </w:rPr>
              <w:t xml:space="preserve"> </w:t>
            </w:r>
          </w:p>
        </w:tc>
      </w:tr>
    </w:tbl>
    <w:p w14:paraId="15281C1A">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宋体" w:hAnsi="宋体" w:eastAsia="宋体" w:cs="宋体"/>
          <w:b/>
          <w:snapToGrid/>
          <w:kern w:val="0"/>
          <w:sz w:val="24"/>
          <w:szCs w:val="24"/>
          <w:lang w:val="en-US" w:eastAsia="zh-CN" w:bidi="ar-SA"/>
        </w:rPr>
      </w:pPr>
      <w:r>
        <w:rPr>
          <w:rFonts w:hint="eastAsia" w:ascii="宋体" w:hAnsi="宋体" w:eastAsia="宋体" w:cs="宋体"/>
          <w:b/>
          <w:snapToGrid/>
          <w:kern w:val="0"/>
          <w:sz w:val="24"/>
          <w:szCs w:val="24"/>
          <w:lang w:val="en-US" w:eastAsia="zh-CN" w:bidi="ar-SA"/>
        </w:rPr>
        <w:t>三、其他技术及商务条款</w:t>
      </w:r>
    </w:p>
    <w:p w14:paraId="2B3EB033">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宋体" w:hAnsi="宋体" w:eastAsia="宋体" w:cs="宋体"/>
          <w:b/>
          <w:snapToGrid/>
          <w:kern w:val="0"/>
          <w:sz w:val="24"/>
          <w:szCs w:val="24"/>
          <w:lang w:val="en-US" w:eastAsia="zh-CN" w:bidi="ar-SA"/>
        </w:rPr>
      </w:pPr>
      <w:r>
        <w:rPr>
          <w:rFonts w:hint="eastAsia" w:ascii="宋体" w:hAnsi="宋体" w:eastAsia="宋体" w:cs="宋体"/>
          <w:b/>
          <w:snapToGrid/>
          <w:kern w:val="0"/>
          <w:sz w:val="24"/>
          <w:szCs w:val="24"/>
          <w:lang w:val="en-US" w:eastAsia="zh-CN" w:bidi="ar-SA"/>
        </w:rPr>
        <w:t>1、项目执行：</w:t>
      </w:r>
    </w:p>
    <w:p w14:paraId="79303797">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default" w:ascii="宋体" w:hAnsi="宋体" w:eastAsia="宋体" w:cs="仿宋"/>
          <w:color w:val="000000" w:themeColor="text1"/>
          <w:kern w:val="2"/>
          <w:sz w:val="24"/>
          <w:szCs w:val="24"/>
          <w:lang w:val="en-US" w:eastAsia="zh-CN" w:bidi="ar-SA"/>
          <w14:textFill>
            <w14:solidFill>
              <w14:schemeClr w14:val="tx1"/>
            </w14:solidFill>
          </w14:textFill>
        </w:rPr>
      </w:pPr>
      <w:r>
        <w:rPr>
          <w:rFonts w:hint="eastAsia" w:ascii="宋体" w:hAnsi="宋体" w:eastAsia="宋体" w:cs="仿宋"/>
          <w:color w:val="000000" w:themeColor="text1"/>
          <w:kern w:val="2"/>
          <w:sz w:val="24"/>
          <w:szCs w:val="24"/>
          <w:lang w:val="en-US" w:eastAsia="zh-CN" w:bidi="ar-SA"/>
          <w14:textFill>
            <w14:solidFill>
              <w14:schemeClr w14:val="tx1"/>
            </w14:solidFill>
          </w14:textFill>
        </w:rPr>
        <w:t>供货时间（项目工期）：合同签订后</w:t>
      </w:r>
      <w:r>
        <w:rPr>
          <w:rFonts w:hint="eastAsia" w:ascii="宋体" w:hAnsi="宋体" w:cs="仿宋"/>
          <w:color w:val="000000" w:themeColor="text1"/>
          <w:kern w:val="2"/>
          <w:sz w:val="24"/>
          <w:szCs w:val="24"/>
          <w:lang w:val="en-US" w:eastAsia="zh-CN" w:bidi="ar-SA"/>
          <w14:textFill>
            <w14:solidFill>
              <w14:schemeClr w14:val="tx1"/>
            </w14:solidFill>
          </w14:textFill>
        </w:rPr>
        <w:t>2</w:t>
      </w:r>
      <w:r>
        <w:rPr>
          <w:rFonts w:hint="eastAsia" w:ascii="宋体" w:hAnsi="宋体" w:eastAsia="宋体" w:cs="仿宋"/>
          <w:color w:val="000000" w:themeColor="text1"/>
          <w:kern w:val="2"/>
          <w:sz w:val="24"/>
          <w:szCs w:val="24"/>
          <w:lang w:val="en-US" w:eastAsia="zh-CN" w:bidi="ar-SA"/>
          <w14:textFill>
            <w14:solidFill>
              <w14:schemeClr w14:val="tx1"/>
            </w14:solidFill>
          </w14:textFill>
        </w:rPr>
        <w:t>个月内</w:t>
      </w:r>
      <w:r>
        <w:rPr>
          <w:rFonts w:hint="eastAsia" w:ascii="宋体" w:hAnsi="宋体" w:cs="仿宋"/>
          <w:color w:val="000000" w:themeColor="text1"/>
          <w:kern w:val="2"/>
          <w:sz w:val="24"/>
          <w:szCs w:val="24"/>
          <w:lang w:val="en-US" w:eastAsia="zh-CN" w:bidi="ar-SA"/>
          <w14:textFill>
            <w14:solidFill>
              <w14:schemeClr w14:val="tx1"/>
            </w14:solidFill>
          </w14:textFill>
        </w:rPr>
        <w:t>完成项目；</w:t>
      </w:r>
    </w:p>
    <w:p w14:paraId="30F2C8F7">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宋体" w:hAnsi="宋体" w:eastAsia="宋体" w:cs="仿宋"/>
          <w:color w:val="000000" w:themeColor="text1"/>
          <w:kern w:val="2"/>
          <w:sz w:val="24"/>
          <w:szCs w:val="24"/>
          <w:lang w:val="en-US" w:eastAsia="zh-CN" w:bidi="ar-SA"/>
          <w14:textFill>
            <w14:solidFill>
              <w14:schemeClr w14:val="tx1"/>
            </w14:solidFill>
          </w14:textFill>
        </w:rPr>
      </w:pPr>
      <w:r>
        <w:rPr>
          <w:rFonts w:hint="eastAsia" w:ascii="宋体" w:hAnsi="宋体" w:eastAsia="宋体" w:cs="仿宋"/>
          <w:color w:val="000000" w:themeColor="text1"/>
          <w:kern w:val="2"/>
          <w:sz w:val="24"/>
          <w:szCs w:val="24"/>
          <w:lang w:val="en-US" w:eastAsia="zh-CN" w:bidi="ar-SA"/>
          <w14:textFill>
            <w14:solidFill>
              <w14:schemeClr w14:val="tx1"/>
            </w14:solidFill>
          </w14:textFill>
        </w:rPr>
        <w:t>供货地点（项目地点）：浙江工商大学杭州商学院</w:t>
      </w:r>
      <w:r>
        <w:rPr>
          <w:rFonts w:hint="eastAsia" w:ascii="宋体" w:hAnsi="宋体" w:cs="仿宋"/>
          <w:color w:val="000000" w:themeColor="text1"/>
          <w:kern w:val="2"/>
          <w:sz w:val="24"/>
          <w:szCs w:val="24"/>
          <w:lang w:val="en-US" w:eastAsia="zh-CN" w:bidi="ar-SA"/>
          <w14:textFill>
            <w14:solidFill>
              <w14:schemeClr w14:val="tx1"/>
            </w14:solidFill>
          </w14:textFill>
        </w:rPr>
        <w:t>；</w:t>
      </w:r>
    </w:p>
    <w:p w14:paraId="287DA6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仿宋"/>
          <w:color w:val="000000" w:themeColor="text1"/>
          <w:kern w:val="2"/>
          <w:sz w:val="24"/>
          <w:szCs w:val="24"/>
          <w:lang w:val="en-US" w:eastAsia="zh-CN" w:bidi="ar-SA"/>
          <w14:textFill>
            <w14:solidFill>
              <w14:schemeClr w14:val="tx1"/>
            </w14:solidFill>
          </w14:textFill>
        </w:rPr>
      </w:pPr>
      <w:r>
        <w:rPr>
          <w:rFonts w:hint="eastAsia" w:ascii="宋体" w:hAnsi="宋体" w:eastAsia="宋体" w:cs="仿宋"/>
          <w:color w:val="000000" w:themeColor="text1"/>
          <w:kern w:val="2"/>
          <w:sz w:val="24"/>
          <w:szCs w:val="24"/>
          <w:lang w:val="en-US" w:eastAsia="zh-CN" w:bidi="ar-SA"/>
          <w14:textFill>
            <w14:solidFill>
              <w14:schemeClr w14:val="tx1"/>
            </w14:solidFill>
          </w14:textFill>
        </w:rPr>
        <w:t>付款条件：合同款项在</w:t>
      </w:r>
      <w:r>
        <w:rPr>
          <w:rFonts w:hint="eastAsia" w:ascii="宋体" w:hAnsi="宋体" w:cs="仿宋"/>
          <w:color w:val="000000" w:themeColor="text1"/>
          <w:kern w:val="2"/>
          <w:sz w:val="24"/>
          <w:szCs w:val="24"/>
          <w:lang w:val="en-US" w:eastAsia="zh-CN" w:bidi="ar-SA"/>
          <w14:textFill>
            <w14:solidFill>
              <w14:schemeClr w14:val="tx1"/>
            </w14:solidFill>
          </w14:textFill>
        </w:rPr>
        <w:t>项目</w:t>
      </w:r>
      <w:r>
        <w:rPr>
          <w:rFonts w:hint="eastAsia" w:ascii="宋体" w:hAnsi="宋体" w:eastAsia="宋体" w:cs="仿宋"/>
          <w:color w:val="000000" w:themeColor="text1"/>
          <w:kern w:val="2"/>
          <w:sz w:val="24"/>
          <w:szCs w:val="24"/>
          <w:lang w:val="en-US" w:eastAsia="zh-CN" w:bidi="ar-SA"/>
          <w14:textFill>
            <w14:solidFill>
              <w14:schemeClr w14:val="tx1"/>
            </w14:solidFill>
          </w14:textFill>
        </w:rPr>
        <w:t>验收合格后，凭验收合格证明材料、发票到采购人处结算。采购人在</w:t>
      </w:r>
      <w:r>
        <w:rPr>
          <w:rFonts w:hint="eastAsia" w:ascii="宋体" w:hAnsi="宋体" w:cs="仿宋"/>
          <w:color w:val="000000" w:themeColor="text1"/>
          <w:kern w:val="2"/>
          <w:sz w:val="24"/>
          <w:szCs w:val="24"/>
          <w:lang w:val="en-US" w:eastAsia="zh-CN" w:bidi="ar-SA"/>
          <w14:textFill>
            <w14:solidFill>
              <w14:schemeClr w14:val="tx1"/>
            </w14:solidFill>
          </w14:textFill>
        </w:rPr>
        <w:t>10</w:t>
      </w:r>
      <w:r>
        <w:rPr>
          <w:rFonts w:hint="eastAsia" w:ascii="宋体" w:hAnsi="宋体" w:eastAsia="宋体" w:cs="仿宋"/>
          <w:color w:val="000000" w:themeColor="text1"/>
          <w:kern w:val="2"/>
          <w:sz w:val="24"/>
          <w:szCs w:val="24"/>
          <w:lang w:val="en-US" w:eastAsia="zh-CN" w:bidi="ar-SA"/>
          <w14:textFill>
            <w14:solidFill>
              <w14:schemeClr w14:val="tx1"/>
            </w14:solidFill>
          </w14:textFill>
        </w:rPr>
        <w:t>个工作日内向成交供应商支付全部合同款。采购人</w:t>
      </w:r>
      <w:r>
        <w:rPr>
          <w:rFonts w:hint="eastAsia" w:ascii="宋体" w:hAnsi="宋体" w:cs="宋体"/>
          <w:sz w:val="24"/>
          <w:szCs w:val="24"/>
        </w:rPr>
        <w:t>在向</w:t>
      </w:r>
      <w:r>
        <w:rPr>
          <w:rFonts w:hint="eastAsia" w:ascii="宋体" w:hAnsi="宋体" w:cs="宋体"/>
          <w:sz w:val="24"/>
          <w:szCs w:val="24"/>
          <w:lang w:val="en-US" w:eastAsia="zh-CN"/>
        </w:rPr>
        <w:t>中标人</w:t>
      </w:r>
      <w:r>
        <w:rPr>
          <w:rFonts w:hint="eastAsia" w:ascii="宋体" w:hAnsi="宋体" w:cs="宋体"/>
          <w:sz w:val="24"/>
          <w:szCs w:val="24"/>
        </w:rPr>
        <w:t>支付费用前，</w:t>
      </w:r>
      <w:r>
        <w:rPr>
          <w:rFonts w:hint="eastAsia" w:ascii="宋体" w:hAnsi="宋体" w:cs="宋体"/>
          <w:sz w:val="24"/>
          <w:szCs w:val="24"/>
          <w:lang w:val="en-US" w:eastAsia="zh-CN"/>
        </w:rPr>
        <w:t>中标人</w:t>
      </w:r>
      <w:r>
        <w:rPr>
          <w:rFonts w:hint="eastAsia" w:ascii="宋体" w:hAnsi="宋体" w:cs="宋体"/>
          <w:sz w:val="24"/>
          <w:szCs w:val="24"/>
        </w:rPr>
        <w:t>应向</w:t>
      </w:r>
      <w:r>
        <w:rPr>
          <w:rFonts w:hint="eastAsia" w:ascii="宋体" w:hAnsi="宋体" w:eastAsia="宋体" w:cs="仿宋"/>
          <w:color w:val="000000" w:themeColor="text1"/>
          <w:kern w:val="2"/>
          <w:sz w:val="24"/>
          <w:szCs w:val="24"/>
          <w:lang w:val="en-US" w:eastAsia="zh-CN" w:bidi="ar-SA"/>
          <w14:textFill>
            <w14:solidFill>
              <w14:schemeClr w14:val="tx1"/>
            </w14:solidFill>
          </w14:textFill>
        </w:rPr>
        <w:t>采购人</w:t>
      </w:r>
      <w:r>
        <w:rPr>
          <w:rFonts w:hint="eastAsia" w:ascii="宋体" w:hAnsi="宋体" w:cs="宋体"/>
          <w:sz w:val="24"/>
          <w:szCs w:val="24"/>
        </w:rPr>
        <w:t>提供相应金额的正规发票，相关的一切税费均由</w:t>
      </w:r>
      <w:r>
        <w:rPr>
          <w:rFonts w:hint="eastAsia" w:ascii="宋体" w:hAnsi="宋体" w:cs="宋体"/>
          <w:sz w:val="24"/>
          <w:szCs w:val="24"/>
          <w:lang w:val="en-US" w:eastAsia="zh-CN"/>
        </w:rPr>
        <w:t>中标人</w:t>
      </w:r>
      <w:r>
        <w:rPr>
          <w:rFonts w:hint="eastAsia" w:ascii="宋体" w:hAnsi="宋体" w:cs="宋体"/>
          <w:sz w:val="24"/>
          <w:szCs w:val="24"/>
        </w:rPr>
        <w:t>承担</w:t>
      </w:r>
      <w:r>
        <w:rPr>
          <w:rFonts w:hint="eastAsia" w:ascii="宋体" w:hAnsi="宋体" w:cs="宋体"/>
          <w:sz w:val="24"/>
          <w:szCs w:val="24"/>
          <w:lang w:eastAsia="zh-CN"/>
        </w:rPr>
        <w:t>；</w:t>
      </w:r>
    </w:p>
    <w:p w14:paraId="4D9257DB">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default" w:ascii="宋体" w:hAnsi="宋体" w:eastAsia="宋体" w:cs="仿宋"/>
          <w:color w:val="000000" w:themeColor="text1"/>
          <w:kern w:val="2"/>
          <w:sz w:val="24"/>
          <w:szCs w:val="24"/>
          <w:lang w:val="en-US" w:eastAsia="zh-CN" w:bidi="ar-SA"/>
          <w14:textFill>
            <w14:solidFill>
              <w14:schemeClr w14:val="tx1"/>
            </w14:solidFill>
          </w14:textFill>
        </w:rPr>
      </w:pPr>
      <w:r>
        <w:rPr>
          <w:rFonts w:hint="eastAsia" w:ascii="宋体" w:hAnsi="宋体" w:eastAsia="宋体" w:cs="仿宋"/>
          <w:color w:val="000000" w:themeColor="text1"/>
          <w:kern w:val="2"/>
          <w:sz w:val="24"/>
          <w:szCs w:val="24"/>
          <w:lang w:val="en-US" w:eastAsia="zh-CN" w:bidi="ar-SA"/>
          <w14:textFill>
            <w14:solidFill>
              <w14:schemeClr w14:val="tx1"/>
            </w14:solidFill>
          </w14:textFill>
        </w:rPr>
        <w:t>合同签订及付款方式：对公转账；</w:t>
      </w:r>
    </w:p>
    <w:p w14:paraId="77DDBC2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仿宋"/>
          <w:color w:val="000000" w:themeColor="text1"/>
          <w:kern w:val="2"/>
          <w:sz w:val="24"/>
          <w:szCs w:val="24"/>
          <w:lang w:val="en-US" w:eastAsia="zh-CN" w:bidi="ar-SA"/>
          <w14:textFill>
            <w14:solidFill>
              <w14:schemeClr w14:val="tx1"/>
            </w14:solidFill>
          </w14:textFill>
        </w:rPr>
      </w:pPr>
      <w:r>
        <w:rPr>
          <w:rFonts w:hint="eastAsia" w:ascii="宋体" w:hAnsi="宋体" w:eastAsia="宋体" w:cs="仿宋"/>
          <w:color w:val="000000" w:themeColor="text1"/>
          <w:kern w:val="2"/>
          <w:sz w:val="24"/>
          <w:szCs w:val="24"/>
          <w:lang w:val="en-US" w:eastAsia="zh-CN" w:bidi="ar-SA"/>
          <w14:textFill>
            <w14:solidFill>
              <w14:schemeClr w14:val="tx1"/>
            </w14:solidFill>
          </w14:textFill>
        </w:rPr>
        <w:t>履约保证金：</w:t>
      </w:r>
      <w:r>
        <w:rPr>
          <w:rFonts w:hint="eastAsia" w:ascii="宋体" w:hAnsi="宋体" w:cs="仿宋"/>
          <w:color w:val="000000" w:themeColor="text1"/>
          <w:kern w:val="2"/>
          <w:sz w:val="24"/>
          <w:szCs w:val="24"/>
          <w:lang w:val="en-US" w:eastAsia="zh-CN" w:bidi="ar-SA"/>
          <w14:textFill>
            <w14:solidFill>
              <w14:schemeClr w14:val="tx1"/>
            </w14:solidFill>
          </w14:textFill>
        </w:rPr>
        <w:t>无。</w:t>
      </w:r>
    </w:p>
    <w:p w14:paraId="059DBCF0">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宋体" w:hAnsi="宋体" w:eastAsia="宋体" w:cs="宋体"/>
          <w:b/>
          <w:snapToGrid/>
          <w:kern w:val="0"/>
          <w:sz w:val="24"/>
          <w:szCs w:val="24"/>
          <w:lang w:val="en-US" w:eastAsia="zh-CN" w:bidi="ar-SA"/>
        </w:rPr>
      </w:pPr>
      <w:r>
        <w:rPr>
          <w:rFonts w:hint="eastAsia" w:ascii="宋体" w:hAnsi="宋体" w:eastAsia="宋体" w:cs="宋体"/>
          <w:b/>
          <w:snapToGrid/>
          <w:kern w:val="0"/>
          <w:sz w:val="24"/>
          <w:szCs w:val="24"/>
          <w:lang w:val="en-US" w:eastAsia="zh-CN" w:bidi="ar-SA"/>
        </w:rPr>
        <w:t>2、验收标准：</w:t>
      </w:r>
    </w:p>
    <w:p w14:paraId="57A27E36">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宋体" w:hAnsi="宋体" w:eastAsia="宋体" w:cs="仿宋"/>
          <w:color w:val="000000" w:themeColor="text1"/>
          <w:kern w:val="2"/>
          <w:sz w:val="24"/>
          <w:szCs w:val="24"/>
          <w:lang w:val="en-US" w:eastAsia="zh-CN" w:bidi="ar-SA"/>
          <w14:textFill>
            <w14:solidFill>
              <w14:schemeClr w14:val="tx1"/>
            </w14:solidFill>
          </w14:textFill>
        </w:rPr>
      </w:pPr>
      <w:r>
        <w:rPr>
          <w:rFonts w:hint="eastAsia" w:ascii="宋体" w:hAnsi="宋体" w:eastAsia="宋体" w:cs="仿宋"/>
          <w:color w:val="000000" w:themeColor="text1"/>
          <w:kern w:val="2"/>
          <w:sz w:val="24"/>
          <w:szCs w:val="24"/>
          <w:lang w:val="en-US" w:eastAsia="zh-CN" w:bidi="ar-SA"/>
          <w14:textFill>
            <w14:solidFill>
              <w14:schemeClr w14:val="tx1"/>
            </w14:solidFill>
          </w14:textFill>
        </w:rPr>
        <w:t>符合</w:t>
      </w:r>
      <w:r>
        <w:rPr>
          <w:rFonts w:hint="eastAsia" w:ascii="宋体" w:hAnsi="宋体" w:cs="仿宋"/>
          <w:color w:val="000000" w:themeColor="text1"/>
          <w:kern w:val="2"/>
          <w:sz w:val="24"/>
          <w:szCs w:val="24"/>
          <w:lang w:val="en-US" w:eastAsia="zh-CN" w:bidi="ar-SA"/>
          <w14:textFill>
            <w14:solidFill>
              <w14:schemeClr w14:val="tx1"/>
            </w14:solidFill>
          </w14:textFill>
        </w:rPr>
        <w:t>采购</w:t>
      </w:r>
      <w:r>
        <w:rPr>
          <w:rFonts w:hint="eastAsia" w:ascii="宋体" w:hAnsi="宋体" w:eastAsia="宋体" w:cs="仿宋"/>
          <w:color w:val="000000" w:themeColor="text1"/>
          <w:kern w:val="2"/>
          <w:sz w:val="24"/>
          <w:szCs w:val="24"/>
          <w:lang w:val="en-US" w:eastAsia="zh-CN" w:bidi="ar-SA"/>
          <w14:textFill>
            <w14:solidFill>
              <w14:schemeClr w14:val="tx1"/>
            </w14:solidFill>
          </w14:textFill>
        </w:rPr>
        <w:t>文件和响应承诺中采购人认可的合理最佳配置、参数及各项要求。</w:t>
      </w:r>
    </w:p>
    <w:p w14:paraId="6113E373">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default" w:ascii="宋体" w:hAnsi="宋体" w:eastAsia="宋体" w:cs="宋体"/>
          <w:b/>
          <w:snapToGrid/>
          <w:kern w:val="0"/>
          <w:sz w:val="24"/>
          <w:szCs w:val="24"/>
          <w:lang w:val="en-US" w:eastAsia="zh-CN" w:bidi="ar-SA"/>
        </w:rPr>
      </w:pPr>
      <w:r>
        <w:rPr>
          <w:rFonts w:hint="eastAsia" w:ascii="宋体" w:hAnsi="宋体" w:eastAsia="宋体" w:cs="宋体"/>
          <w:b/>
          <w:snapToGrid/>
          <w:kern w:val="0"/>
          <w:sz w:val="24"/>
          <w:szCs w:val="24"/>
          <w:lang w:val="en-US" w:eastAsia="zh-CN" w:bidi="ar-SA"/>
        </w:rPr>
        <w:t>3、采购联络人：黄老师0571-69936023，具体项目联络人：葛老师0571-69936115。</w:t>
      </w:r>
    </w:p>
    <w:p w14:paraId="482314D3">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pPr>
      <w:bookmarkStart w:id="179" w:name="_GoBack"/>
      <w:bookmarkEnd w:id="179"/>
    </w:p>
    <w:p w14:paraId="2D0C34BC">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34B2FC3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782F85C8">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3F835E4C">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4163526B">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0A130B78">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2E81356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5B59F7F9">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347ED3B6">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1757E45E">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78495A2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2BC179A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64C2440C">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46585426">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022961A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69E5604E">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5D43B608">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72EFE724">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605F8C5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605128CB">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50787CE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p>
    <w:p w14:paraId="717D9BA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r>
        <w:rPr>
          <w:rFonts w:hint="eastAsia" w:ascii="宋体" w:hAnsi="宋体" w:eastAsia="宋体" w:cs="宋体"/>
          <w:b/>
          <w:sz w:val="36"/>
          <w:szCs w:val="36"/>
        </w:rPr>
        <w:t>合同参考范本</w:t>
      </w:r>
    </w:p>
    <w:p w14:paraId="7E787E76">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eastAsia="宋体" w:cs="宋体"/>
          <w:b/>
          <w:color w:val="0000FF"/>
          <w:sz w:val="36"/>
          <w:szCs w:val="36"/>
          <w:highlight w:val="yellow"/>
          <w:lang w:val="en-US" w:eastAsia="zh-CN"/>
        </w:rPr>
        <w:t>服务类</w:t>
      </w:r>
      <w:r>
        <w:rPr>
          <w:rFonts w:hint="eastAsia" w:ascii="宋体" w:hAnsi="宋体" w:eastAsia="宋体" w:cs="宋体"/>
          <w:b/>
          <w:sz w:val="36"/>
          <w:szCs w:val="36"/>
        </w:rPr>
        <w:t>）</w:t>
      </w:r>
    </w:p>
    <w:p w14:paraId="6D73CC3E">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rPr>
      </w:pPr>
    </w:p>
    <w:p w14:paraId="61544634">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rPr>
      </w:pPr>
    </w:p>
    <w:p w14:paraId="71632268">
      <w:pPr>
        <w:pStyle w:val="19"/>
        <w:keepNext w:val="0"/>
        <w:keepLines w:val="0"/>
        <w:pageBreakBefore w:val="0"/>
        <w:widowControl w:val="0"/>
        <w:kinsoku/>
        <w:wordWrap/>
        <w:overflowPunct/>
        <w:topLinePunct w:val="0"/>
        <w:autoSpaceDE w:val="0"/>
        <w:autoSpaceDN w:val="0"/>
        <w:bidi w:val="0"/>
        <w:adjustRightInd w:val="0"/>
        <w:snapToGrid/>
        <w:spacing w:before="95" w:beforeLines="30" w:after="95" w:afterLines="30" w:line="360" w:lineRule="auto"/>
        <w:ind w:left="0" w:leftChars="0" w:firstLine="0" w:firstLineChars="0"/>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第一部分 合同书</w:t>
      </w:r>
    </w:p>
    <w:p w14:paraId="509D7586">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rPr>
      </w:pPr>
    </w:p>
    <w:p w14:paraId="643FF91F">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rPr>
      </w:pPr>
    </w:p>
    <w:p w14:paraId="43753D42">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rPr>
      </w:pPr>
    </w:p>
    <w:p w14:paraId="48B6365A">
      <w:pPr>
        <w:keepNext w:val="0"/>
        <w:keepLines w:val="0"/>
        <w:pageBreakBefore w:val="0"/>
        <w:widowControl w:val="0"/>
        <w:kinsoku/>
        <w:wordWrap/>
        <w:overflowPunct/>
        <w:topLinePunct w:val="0"/>
        <w:bidi w:val="0"/>
        <w:snapToGrid/>
        <w:spacing w:line="360" w:lineRule="auto"/>
        <w:ind w:left="960"/>
        <w:textAlignment w:val="auto"/>
        <w:outlineLvl w:val="9"/>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5D2119E4">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rPr>
      </w:pPr>
    </w:p>
    <w:p w14:paraId="1EB34CB8">
      <w:pPr>
        <w:keepNext w:val="0"/>
        <w:keepLines w:val="0"/>
        <w:pageBreakBefore w:val="0"/>
        <w:widowControl w:val="0"/>
        <w:kinsoku/>
        <w:wordWrap/>
        <w:overflowPunct/>
        <w:topLinePunct w:val="0"/>
        <w:bidi w:val="0"/>
        <w:snapToGrid/>
        <w:spacing w:line="360" w:lineRule="auto"/>
        <w:ind w:left="960"/>
        <w:textAlignment w:val="auto"/>
        <w:outlineLvl w:val="9"/>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cs="宋体"/>
          <w:szCs w:val="21"/>
          <w:u w:val="single"/>
        </w:rPr>
        <w:t>浙江工商大学杭州商学院</w:t>
      </w:r>
      <w:r>
        <w:rPr>
          <w:rFonts w:hint="eastAsia" w:ascii="宋体" w:hAnsi="宋体" w:eastAsia="宋体" w:cs="宋体"/>
          <w:sz w:val="24"/>
          <w:u w:val="single"/>
        </w:rPr>
        <w:t xml:space="preserve">                 </w:t>
      </w:r>
    </w:p>
    <w:p w14:paraId="31DE8A8A">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rPr>
      </w:pPr>
    </w:p>
    <w:p w14:paraId="23DA8909">
      <w:pPr>
        <w:keepNext w:val="0"/>
        <w:keepLines w:val="0"/>
        <w:pageBreakBefore w:val="0"/>
        <w:widowControl w:val="0"/>
        <w:kinsoku/>
        <w:wordWrap/>
        <w:overflowPunct/>
        <w:topLinePunct w:val="0"/>
        <w:bidi w:val="0"/>
        <w:snapToGrid/>
        <w:spacing w:line="360" w:lineRule="auto"/>
        <w:ind w:left="960"/>
        <w:textAlignment w:val="auto"/>
        <w:outlineLvl w:val="9"/>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7D669F22">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rPr>
      </w:pPr>
    </w:p>
    <w:p w14:paraId="229DACF1">
      <w:pPr>
        <w:keepNext w:val="0"/>
        <w:keepLines w:val="0"/>
        <w:pageBreakBefore w:val="0"/>
        <w:widowControl w:val="0"/>
        <w:kinsoku/>
        <w:wordWrap/>
        <w:overflowPunct/>
        <w:topLinePunct w:val="0"/>
        <w:bidi w:val="0"/>
        <w:snapToGrid/>
        <w:spacing w:line="360" w:lineRule="auto"/>
        <w:ind w:firstLine="960" w:firstLineChars="400"/>
        <w:textAlignment w:val="auto"/>
        <w:outlineLvl w:val="9"/>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cs="宋体"/>
          <w:szCs w:val="21"/>
          <w:u w:val="single"/>
        </w:rPr>
        <w:t>杭州桐庐</w:t>
      </w:r>
      <w:r>
        <w:rPr>
          <w:rFonts w:hint="eastAsia" w:ascii="宋体" w:hAnsi="宋体" w:eastAsia="宋体" w:cs="宋体"/>
          <w:sz w:val="24"/>
          <w:u w:val="single"/>
        </w:rPr>
        <w:t xml:space="preserve">                    </w:t>
      </w:r>
    </w:p>
    <w:p w14:paraId="58108CEE">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rPr>
      </w:pPr>
    </w:p>
    <w:p w14:paraId="324C5FE5">
      <w:pPr>
        <w:keepNext w:val="0"/>
        <w:keepLines w:val="0"/>
        <w:pageBreakBefore w:val="0"/>
        <w:widowControl w:val="0"/>
        <w:kinsoku/>
        <w:wordWrap/>
        <w:overflowPunct/>
        <w:topLinePunct w:val="0"/>
        <w:bidi w:val="0"/>
        <w:snapToGrid/>
        <w:spacing w:line="360" w:lineRule="auto"/>
        <w:ind w:firstLine="960" w:firstLineChars="400"/>
        <w:textAlignment w:val="auto"/>
        <w:outlineLvl w:val="9"/>
        <w:rPr>
          <w:rFonts w:hint="eastAsia" w:ascii="宋体" w:hAnsi="宋体" w:eastAsia="宋体" w:cs="宋体"/>
          <w:sz w:val="24"/>
        </w:rPr>
      </w:pPr>
      <w:r>
        <w:rPr>
          <w:rFonts w:hint="eastAsia" w:ascii="宋体" w:hAnsi="宋体" w:eastAsia="宋体" w:cs="宋体"/>
          <w:sz w:val="24"/>
        </w:rPr>
        <w:t>签订日期：               年       月       日</w:t>
      </w:r>
    </w:p>
    <w:p w14:paraId="2587EB5A">
      <w:pPr>
        <w:spacing w:before="120" w:line="22" w:lineRule="atLeast"/>
        <w:rPr>
          <w:rFonts w:ascii="宋体" w:hAnsi="宋体" w:cs="宋体"/>
          <w:szCs w:val="21"/>
        </w:rPr>
      </w:pPr>
    </w:p>
    <w:p w14:paraId="040BD0C1">
      <w:pPr>
        <w:spacing w:line="560" w:lineRule="exact"/>
        <w:ind w:firstLine="420" w:firstLineChars="200"/>
        <w:rPr>
          <w:rFonts w:ascii="宋体" w:hAnsi="宋体" w:cs="宋体"/>
          <w:szCs w:val="21"/>
          <w:lang w:val="zh-CN"/>
        </w:rPr>
      </w:pPr>
    </w:p>
    <w:p w14:paraId="54440B86">
      <w:pPr>
        <w:spacing w:line="560" w:lineRule="exact"/>
        <w:ind w:firstLine="420" w:firstLineChars="200"/>
        <w:rPr>
          <w:rFonts w:ascii="宋体" w:hAnsi="宋体" w:cs="宋体"/>
          <w:szCs w:val="21"/>
          <w:lang w:val="zh-CN"/>
        </w:rPr>
      </w:pPr>
    </w:p>
    <w:p w14:paraId="11B99751">
      <w:pPr>
        <w:pStyle w:val="2"/>
        <w:rPr>
          <w:lang w:val="zh-CN"/>
        </w:rPr>
      </w:pPr>
    </w:p>
    <w:p w14:paraId="005831C0">
      <w:pPr>
        <w:spacing w:line="560" w:lineRule="exact"/>
        <w:ind w:firstLine="420" w:firstLineChars="200"/>
        <w:rPr>
          <w:rFonts w:ascii="宋体" w:hAnsi="宋体" w:cs="宋体"/>
          <w:szCs w:val="21"/>
        </w:rPr>
      </w:pPr>
      <w:r>
        <w:rPr>
          <w:rFonts w:hint="eastAsia" w:ascii="宋体" w:hAnsi="宋体" w:cs="宋体"/>
          <w:szCs w:val="21"/>
          <w:lang w:val="zh-CN"/>
        </w:rPr>
        <w:t xml:space="preserve"> </w:t>
      </w:r>
      <w:r>
        <w:rPr>
          <w:rFonts w:hint="eastAsia" w:ascii="宋体" w:hAnsi="宋体" w:cs="宋体"/>
          <w:szCs w:val="21"/>
        </w:rPr>
        <w:t xml:space="preserve">202  </w:t>
      </w: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w:t>
      </w:r>
      <w:r>
        <w:rPr>
          <w:rFonts w:hint="eastAsia" w:ascii="宋体" w:hAnsi="宋体" w:cs="宋体"/>
          <w:szCs w:val="21"/>
        </w:rPr>
        <w:t xml:space="preserve">  </w:t>
      </w:r>
      <w:r>
        <w:rPr>
          <w:rFonts w:hint="eastAsia" w:ascii="宋体" w:hAnsi="宋体" w:cs="宋体"/>
          <w:szCs w:val="21"/>
          <w:lang w:val="zh-CN"/>
        </w:rPr>
        <w:t>日</w:t>
      </w:r>
      <w:r>
        <w:rPr>
          <w:rFonts w:hint="eastAsia" w:ascii="宋体" w:hAnsi="宋体" w:cs="宋体"/>
          <w:szCs w:val="21"/>
        </w:rPr>
        <w:t>，</w:t>
      </w:r>
      <w:r>
        <w:rPr>
          <w:rFonts w:hint="eastAsia" w:ascii="宋体" w:hAnsi="宋体" w:cs="宋体"/>
          <w:szCs w:val="21"/>
          <w:u w:val="single"/>
        </w:rPr>
        <w:t>浙江工商大学杭州商学院</w:t>
      </w:r>
      <w:r>
        <w:rPr>
          <w:rFonts w:hint="eastAsia" w:ascii="宋体" w:hAnsi="宋体" w:cs="宋体"/>
          <w:szCs w:val="21"/>
        </w:rPr>
        <w:t>以</w:t>
      </w:r>
      <w:r>
        <w:rPr>
          <w:rFonts w:hint="eastAsia" w:ascii="宋体" w:hAnsi="宋体" w:cs="宋体"/>
          <w:szCs w:val="21"/>
          <w:u w:val="single"/>
          <w:lang w:val="en-US" w:eastAsia="zh-CN"/>
        </w:rPr>
        <w:t xml:space="preserve">        </w:t>
      </w:r>
      <w:r>
        <w:rPr>
          <w:rFonts w:hint="eastAsia" w:ascii="宋体" w:hAnsi="宋体" w:cs="宋体"/>
          <w:szCs w:val="21"/>
          <w:u w:val="single"/>
        </w:rPr>
        <w:t>的方式</w:t>
      </w:r>
      <w:r>
        <w:rPr>
          <w:rFonts w:hint="eastAsia" w:ascii="宋体" w:hAnsi="宋体" w:cs="宋体"/>
          <w:kern w:val="0"/>
          <w:szCs w:val="21"/>
        </w:rPr>
        <w:t>对</w:t>
      </w:r>
      <w:r>
        <w:rPr>
          <w:rFonts w:hint="eastAsia" w:ascii="宋体" w:hAnsi="宋体" w:cs="宋体"/>
          <w:kern w:val="0"/>
          <w:szCs w:val="21"/>
          <w:u w:val="single"/>
        </w:rPr>
        <w:t xml:space="preserve">            项目</w:t>
      </w:r>
      <w:r>
        <w:rPr>
          <w:rFonts w:hint="eastAsia" w:ascii="宋体" w:hAnsi="宋体" w:cs="宋体"/>
          <w:kern w:val="0"/>
          <w:szCs w:val="21"/>
        </w:rPr>
        <w:t>进行了评审</w:t>
      </w:r>
      <w:r>
        <w:rPr>
          <w:rFonts w:hint="eastAsia" w:ascii="宋体" w:hAnsi="宋体" w:cs="宋体"/>
          <w:szCs w:val="21"/>
        </w:rPr>
        <w:t>，确定</w:t>
      </w:r>
      <w:r>
        <w:rPr>
          <w:rFonts w:hint="eastAsia" w:ascii="宋体" w:hAnsi="宋体" w:cs="宋体"/>
          <w:szCs w:val="21"/>
          <w:u w:val="single"/>
        </w:rPr>
        <w:t xml:space="preserve">     有限公司</w:t>
      </w:r>
      <w:r>
        <w:rPr>
          <w:rFonts w:hint="eastAsia" w:ascii="宋体" w:hAnsi="宋体" w:cs="宋体"/>
          <w:szCs w:val="21"/>
        </w:rPr>
        <w:t>为该项目中标供应商。现于中标公告发出之日起三十日内，按照采购文件确定的事项签订本合同。如因不可抗力情形，由甲乙双方协商调整合同签订期限。</w:t>
      </w:r>
    </w:p>
    <w:p w14:paraId="27CFEE6D">
      <w:pPr>
        <w:spacing w:line="560" w:lineRule="exact"/>
        <w:ind w:firstLine="420" w:firstLineChars="200"/>
        <w:rPr>
          <w:rFonts w:ascii="宋体" w:hAnsi="宋体" w:cs="宋体"/>
          <w:szCs w:val="21"/>
        </w:rPr>
      </w:pPr>
      <w:r>
        <w:rPr>
          <w:rFonts w:hint="eastAsia" w:ascii="宋体" w:hAnsi="宋体" w:cs="宋体"/>
          <w:szCs w:val="21"/>
          <w:lang w:val="zh-CN"/>
        </w:rPr>
        <w:t>根据《中华人民共和国民法典》、《中华人民共和国政府采购法》等相关法律法规之规定，按照平等、自愿、公平和诚实信用的原则，经</w:t>
      </w:r>
      <w:r>
        <w:rPr>
          <w:rFonts w:hint="eastAsia" w:ascii="宋体" w:hAnsi="宋体" w:cs="宋体"/>
          <w:szCs w:val="21"/>
        </w:rPr>
        <w:t>甲乙双方</w:t>
      </w:r>
      <w:r>
        <w:rPr>
          <w:rFonts w:hint="eastAsia" w:ascii="宋体" w:hAnsi="宋体" w:cs="宋体"/>
          <w:szCs w:val="21"/>
          <w:lang w:val="zh-CN"/>
        </w:rPr>
        <w:t>协商一致，约定以下合同</w:t>
      </w:r>
      <w:r>
        <w:rPr>
          <w:rFonts w:hint="eastAsia" w:ascii="宋体" w:hAnsi="宋体" w:cs="宋体"/>
          <w:szCs w:val="21"/>
        </w:rPr>
        <w:t>条款，以兹共同遵守、全面履行。</w:t>
      </w:r>
    </w:p>
    <w:p w14:paraId="53F61405">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szCs w:val="21"/>
        </w:rPr>
      </w:pPr>
      <w:bookmarkStart w:id="0" w:name="_Toc19273"/>
      <w:bookmarkStart w:id="1" w:name="_Toc22967"/>
      <w:bookmarkStart w:id="2" w:name="_Toc28855"/>
      <w:bookmarkStart w:id="3" w:name="_Toc15367"/>
      <w:bookmarkStart w:id="4" w:name="_Toc20421"/>
      <w:r>
        <w:rPr>
          <w:rFonts w:hint="eastAsia" w:ascii="宋体" w:hAnsi="宋体" w:cs="宋体"/>
          <w:b/>
          <w:szCs w:val="21"/>
        </w:rPr>
        <w:t>1.1 合同组成部分</w:t>
      </w:r>
      <w:bookmarkEnd w:id="0"/>
      <w:bookmarkEnd w:id="1"/>
      <w:bookmarkEnd w:id="2"/>
      <w:bookmarkEnd w:id="3"/>
      <w:bookmarkEnd w:id="4"/>
    </w:p>
    <w:p w14:paraId="7A6C57A3">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下列文件为本合同的组成部分，并构成一个整体，需综合解释、相互补充。若下列文件内容出现不一致的情形，在保证按照</w:t>
      </w:r>
      <w:r>
        <w:rPr>
          <w:rFonts w:hint="eastAsia" w:ascii="宋体" w:hAnsi="宋体" w:cs="宋体"/>
          <w:szCs w:val="21"/>
          <w:lang w:eastAsia="zh-CN"/>
        </w:rPr>
        <w:t>采购</w:t>
      </w:r>
      <w:r>
        <w:rPr>
          <w:rFonts w:hint="eastAsia" w:ascii="宋体" w:hAnsi="宋体" w:cs="宋体"/>
          <w:szCs w:val="21"/>
        </w:rPr>
        <w:t>文件确定的事项的前提下，组成本合同的多个文件的优先适用顺序如下：</w:t>
      </w:r>
    </w:p>
    <w:p w14:paraId="56009681">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1.1.1 本合同及其补充合同、变更协议；</w:t>
      </w:r>
    </w:p>
    <w:p w14:paraId="40778FB4">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1.1.2 中标公告；</w:t>
      </w:r>
    </w:p>
    <w:p w14:paraId="70ED4BB3">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 xml:space="preserve">1.1.3 </w:t>
      </w:r>
      <w:r>
        <w:rPr>
          <w:rFonts w:hint="eastAsia" w:ascii="宋体" w:hAnsi="宋体" w:cs="宋体"/>
          <w:szCs w:val="21"/>
          <w:lang w:val="en-US" w:eastAsia="zh-CN"/>
        </w:rPr>
        <w:t>响应</w:t>
      </w:r>
      <w:r>
        <w:rPr>
          <w:rFonts w:hint="eastAsia" w:ascii="宋体" w:hAnsi="宋体" w:cs="宋体"/>
          <w:szCs w:val="21"/>
        </w:rPr>
        <w:t>文件（含澄清或者说明文件）；</w:t>
      </w:r>
    </w:p>
    <w:p w14:paraId="4749DB94">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 xml:space="preserve">1.1.4 </w:t>
      </w:r>
      <w:r>
        <w:rPr>
          <w:rFonts w:hint="eastAsia" w:ascii="宋体" w:hAnsi="宋体" w:cs="宋体"/>
          <w:szCs w:val="21"/>
          <w:lang w:eastAsia="zh-CN"/>
        </w:rPr>
        <w:t>采购</w:t>
      </w:r>
      <w:r>
        <w:rPr>
          <w:rFonts w:hint="eastAsia" w:ascii="宋体" w:hAnsi="宋体" w:cs="宋体"/>
          <w:szCs w:val="21"/>
        </w:rPr>
        <w:t>文件（含澄清或者修改文件）；</w:t>
      </w:r>
    </w:p>
    <w:p w14:paraId="0E06A8C9">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1.1.5 其他相关采购文件。</w:t>
      </w:r>
    </w:p>
    <w:p w14:paraId="4248F7D9">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5" w:name="_Toc2918"/>
      <w:bookmarkStart w:id="6" w:name="_Toc6773"/>
      <w:bookmarkStart w:id="7" w:name="_Toc22185"/>
      <w:bookmarkStart w:id="8" w:name="_Toc6311"/>
      <w:bookmarkStart w:id="9" w:name="_Toc18585"/>
      <w:r>
        <w:rPr>
          <w:rFonts w:hint="eastAsia" w:ascii="宋体" w:hAnsi="宋体" w:cs="宋体"/>
          <w:b/>
          <w:szCs w:val="21"/>
        </w:rPr>
        <w:t>1.2 标的</w:t>
      </w:r>
      <w:bookmarkEnd w:id="5"/>
      <w:bookmarkEnd w:id="6"/>
      <w:bookmarkEnd w:id="7"/>
      <w:bookmarkEnd w:id="8"/>
      <w:bookmarkEnd w:id="9"/>
    </w:p>
    <w:p w14:paraId="6D9BE985">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1.2.1 标的名称：</w:t>
      </w:r>
      <w:r>
        <w:rPr>
          <w:rFonts w:hint="eastAsia" w:ascii="宋体" w:hAnsi="宋体" w:cs="宋体"/>
          <w:szCs w:val="21"/>
          <w:u w:val="single"/>
        </w:rPr>
        <w:t xml:space="preserve">项目           </w:t>
      </w:r>
      <w:r>
        <w:rPr>
          <w:rFonts w:hint="eastAsia" w:ascii="宋体" w:hAnsi="宋体" w:cs="宋体"/>
          <w:szCs w:val="21"/>
        </w:rPr>
        <w:t>；</w:t>
      </w:r>
    </w:p>
    <w:p w14:paraId="04F82AE3">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1.2.2 标的数量：</w:t>
      </w:r>
      <w:r>
        <w:rPr>
          <w:rFonts w:hint="eastAsia" w:ascii="宋体" w:hAnsi="宋体" w:cs="宋体"/>
          <w:szCs w:val="21"/>
          <w:u w:val="single"/>
        </w:rPr>
        <w:t>按照</w:t>
      </w:r>
      <w:r>
        <w:rPr>
          <w:rFonts w:hint="eastAsia" w:ascii="宋体" w:hAnsi="宋体" w:cs="宋体"/>
          <w:szCs w:val="21"/>
          <w:u w:val="single"/>
          <w:lang w:eastAsia="zh-CN"/>
        </w:rPr>
        <w:t>采购</w:t>
      </w:r>
      <w:r>
        <w:rPr>
          <w:rFonts w:hint="eastAsia" w:ascii="宋体" w:hAnsi="宋体" w:cs="宋体"/>
          <w:szCs w:val="21"/>
          <w:u w:val="single"/>
        </w:rPr>
        <w:t xml:space="preserve">文件                       </w:t>
      </w:r>
      <w:r>
        <w:rPr>
          <w:rFonts w:hint="eastAsia" w:ascii="宋体" w:hAnsi="宋体" w:cs="宋体"/>
          <w:szCs w:val="21"/>
        </w:rPr>
        <w:t>；</w:t>
      </w:r>
    </w:p>
    <w:p w14:paraId="7ABBA285">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1.2.3 标的质量：</w:t>
      </w:r>
      <w:r>
        <w:rPr>
          <w:rFonts w:hint="eastAsia" w:ascii="宋体" w:hAnsi="宋体" w:cs="宋体"/>
          <w:szCs w:val="21"/>
          <w:u w:val="single"/>
        </w:rPr>
        <w:t>按照</w:t>
      </w:r>
      <w:r>
        <w:rPr>
          <w:rFonts w:hint="eastAsia" w:ascii="宋体" w:hAnsi="宋体" w:cs="宋体"/>
          <w:szCs w:val="21"/>
          <w:u w:val="single"/>
          <w:lang w:eastAsia="zh-CN"/>
        </w:rPr>
        <w:t>采购</w:t>
      </w:r>
      <w:r>
        <w:rPr>
          <w:rFonts w:hint="eastAsia" w:ascii="宋体" w:hAnsi="宋体" w:cs="宋体"/>
          <w:szCs w:val="21"/>
          <w:u w:val="single"/>
        </w:rPr>
        <w:t xml:space="preserve">文件                       </w:t>
      </w:r>
      <w:r>
        <w:rPr>
          <w:rFonts w:hint="eastAsia" w:ascii="宋体" w:hAnsi="宋体" w:cs="宋体"/>
          <w:szCs w:val="21"/>
        </w:rPr>
        <w:t>。</w:t>
      </w:r>
    </w:p>
    <w:p w14:paraId="585950CE">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10" w:name="_Toc21124"/>
      <w:bookmarkStart w:id="11" w:name="_Toc1386"/>
      <w:bookmarkStart w:id="12" w:name="_Toc4929"/>
      <w:bookmarkStart w:id="13" w:name="_Toc5635"/>
      <w:bookmarkStart w:id="14" w:name="_Toc13918"/>
      <w:r>
        <w:rPr>
          <w:rFonts w:hint="eastAsia" w:ascii="宋体" w:hAnsi="宋体" w:cs="宋体"/>
          <w:b/>
          <w:szCs w:val="21"/>
        </w:rPr>
        <w:t>1.3 价款</w:t>
      </w:r>
      <w:bookmarkEnd w:id="10"/>
      <w:bookmarkEnd w:id="11"/>
      <w:bookmarkEnd w:id="12"/>
      <w:bookmarkEnd w:id="13"/>
      <w:bookmarkEnd w:id="14"/>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412"/>
        <w:gridCol w:w="2160"/>
        <w:gridCol w:w="2213"/>
        <w:gridCol w:w="1089"/>
      </w:tblGrid>
      <w:tr w14:paraId="4868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blHeader/>
          <w:jc w:val="center"/>
        </w:trPr>
        <w:tc>
          <w:tcPr>
            <w:tcW w:w="964" w:type="dxa"/>
            <w:noWrap w:val="0"/>
            <w:vAlign w:val="center"/>
          </w:tcPr>
          <w:p w14:paraId="62C16537">
            <w:pPr>
              <w:keepNext w:val="0"/>
              <w:keepLines w:val="0"/>
              <w:pageBreakBefore w:val="0"/>
              <w:kinsoku/>
              <w:wordWrap/>
              <w:overflowPunct/>
              <w:topLinePunct w:val="0"/>
              <w:autoSpaceDE w:val="0"/>
              <w:autoSpaceDN w:val="0"/>
              <w:bidi w:val="0"/>
              <w:jc w:val="center"/>
              <w:outlineLvl w:val="9"/>
              <w:rPr>
                <w:rFonts w:hint="default" w:ascii="宋体" w:hAnsi="宋体"/>
                <w:color w:val="auto"/>
                <w:sz w:val="21"/>
                <w:szCs w:val="21"/>
                <w:highlight w:val="none"/>
              </w:rPr>
            </w:pPr>
            <w:r>
              <w:rPr>
                <w:rFonts w:ascii="宋体" w:hAnsi="宋体"/>
                <w:color w:val="auto"/>
                <w:sz w:val="21"/>
                <w:szCs w:val="21"/>
                <w:highlight w:val="none"/>
              </w:rPr>
              <w:t>标项</w:t>
            </w:r>
          </w:p>
        </w:tc>
        <w:tc>
          <w:tcPr>
            <w:tcW w:w="2412" w:type="dxa"/>
            <w:noWrap w:val="0"/>
            <w:vAlign w:val="center"/>
          </w:tcPr>
          <w:p w14:paraId="5E8FEC63">
            <w:pPr>
              <w:keepNext w:val="0"/>
              <w:keepLines w:val="0"/>
              <w:pageBreakBefore w:val="0"/>
              <w:kinsoku/>
              <w:wordWrap/>
              <w:overflowPunct/>
              <w:topLinePunct w:val="0"/>
              <w:autoSpaceDE w:val="0"/>
              <w:autoSpaceDN w:val="0"/>
              <w:bidi w:val="0"/>
              <w:jc w:val="center"/>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标项名称</w:t>
            </w:r>
          </w:p>
        </w:tc>
        <w:tc>
          <w:tcPr>
            <w:tcW w:w="2160" w:type="dxa"/>
            <w:noWrap w:val="0"/>
            <w:vAlign w:val="center"/>
          </w:tcPr>
          <w:p w14:paraId="4284DAF6">
            <w:pPr>
              <w:keepNext w:val="0"/>
              <w:keepLines w:val="0"/>
              <w:pageBreakBefore w:val="0"/>
              <w:kinsoku/>
              <w:wordWrap/>
              <w:overflowPunct/>
              <w:topLinePunct w:val="0"/>
              <w:autoSpaceDE w:val="0"/>
              <w:autoSpaceDN w:val="0"/>
              <w:bidi w:val="0"/>
              <w:jc w:val="center"/>
              <w:outlineLvl w:val="9"/>
              <w:rPr>
                <w:rFonts w:hint="eastAsia" w:ascii="宋体" w:hAnsi="宋体" w:eastAsia="宋体"/>
                <w:color w:val="auto"/>
                <w:sz w:val="21"/>
                <w:szCs w:val="21"/>
                <w:highlight w:val="none"/>
                <w:lang w:val="en-GB" w:eastAsia="zh-CN"/>
              </w:rPr>
            </w:pPr>
            <w:r>
              <w:rPr>
                <w:rFonts w:hint="eastAsia" w:ascii="宋体" w:hAnsi="宋体"/>
                <w:color w:val="auto"/>
                <w:sz w:val="21"/>
                <w:szCs w:val="21"/>
                <w:highlight w:val="none"/>
                <w:lang w:val="en-US" w:eastAsia="zh-CN"/>
              </w:rPr>
              <w:t>金额（元）</w:t>
            </w:r>
          </w:p>
        </w:tc>
        <w:tc>
          <w:tcPr>
            <w:tcW w:w="2213" w:type="dxa"/>
            <w:noWrap w:val="0"/>
            <w:vAlign w:val="center"/>
          </w:tcPr>
          <w:p w14:paraId="03CF42B6">
            <w:pPr>
              <w:keepNext w:val="0"/>
              <w:keepLines w:val="0"/>
              <w:pageBreakBefore w:val="0"/>
              <w:widowControl/>
              <w:kinsoku/>
              <w:wordWrap/>
              <w:overflowPunct/>
              <w:topLinePunct w:val="0"/>
              <w:autoSpaceDE w:val="0"/>
              <w:autoSpaceDN w:val="0"/>
              <w:bidi w:val="0"/>
              <w:jc w:val="center"/>
              <w:outlineLvl w:val="9"/>
              <w:rPr>
                <w:rFonts w:ascii="宋体" w:hAnsi="宋体"/>
                <w:color w:val="auto"/>
                <w:sz w:val="21"/>
                <w:szCs w:val="21"/>
                <w:highlight w:val="none"/>
                <w:lang w:val="en-GB"/>
              </w:rPr>
            </w:pPr>
            <w:r>
              <w:rPr>
                <w:rFonts w:ascii="宋体" w:hAnsi="宋体"/>
                <w:color w:val="auto"/>
                <w:sz w:val="21"/>
                <w:szCs w:val="21"/>
                <w:highlight w:val="none"/>
                <w:lang w:val="en-GB"/>
              </w:rPr>
              <w:t>服务期</w:t>
            </w:r>
          </w:p>
        </w:tc>
        <w:tc>
          <w:tcPr>
            <w:tcW w:w="1089" w:type="dxa"/>
            <w:noWrap w:val="0"/>
            <w:vAlign w:val="center"/>
          </w:tcPr>
          <w:p w14:paraId="04D3DDB9">
            <w:pPr>
              <w:keepNext w:val="0"/>
              <w:keepLines w:val="0"/>
              <w:pageBreakBefore w:val="0"/>
              <w:widowControl/>
              <w:kinsoku/>
              <w:wordWrap/>
              <w:overflowPunct/>
              <w:topLinePunct w:val="0"/>
              <w:autoSpaceDE w:val="0"/>
              <w:autoSpaceDN w:val="0"/>
              <w:bidi w:val="0"/>
              <w:jc w:val="center"/>
              <w:outlineLvl w:val="9"/>
              <w:rPr>
                <w:rFonts w:ascii="宋体" w:hAnsi="宋体"/>
                <w:color w:val="auto"/>
                <w:sz w:val="21"/>
                <w:szCs w:val="21"/>
                <w:highlight w:val="none"/>
              </w:rPr>
            </w:pPr>
            <w:r>
              <w:rPr>
                <w:rFonts w:ascii="宋体" w:hAnsi="宋体"/>
                <w:color w:val="auto"/>
                <w:sz w:val="21"/>
                <w:szCs w:val="21"/>
                <w:highlight w:val="none"/>
              </w:rPr>
              <w:t>备注</w:t>
            </w:r>
          </w:p>
        </w:tc>
      </w:tr>
      <w:tr w14:paraId="03E2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blHeader/>
          <w:jc w:val="center"/>
        </w:trPr>
        <w:tc>
          <w:tcPr>
            <w:tcW w:w="964" w:type="dxa"/>
            <w:noWrap w:val="0"/>
            <w:vAlign w:val="center"/>
          </w:tcPr>
          <w:p w14:paraId="07937A87">
            <w:pPr>
              <w:keepNext w:val="0"/>
              <w:keepLines w:val="0"/>
              <w:pageBreakBefore w:val="0"/>
              <w:kinsoku/>
              <w:wordWrap/>
              <w:overflowPunct/>
              <w:topLinePunct w:val="0"/>
              <w:autoSpaceDE w:val="0"/>
              <w:autoSpaceDN w:val="0"/>
              <w:bidi w:val="0"/>
              <w:jc w:val="center"/>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p>
        </w:tc>
        <w:tc>
          <w:tcPr>
            <w:tcW w:w="2412" w:type="dxa"/>
            <w:noWrap w:val="0"/>
            <w:vAlign w:val="center"/>
          </w:tcPr>
          <w:p w14:paraId="4634B5C2">
            <w:pPr>
              <w:keepNext w:val="0"/>
              <w:keepLines w:val="0"/>
              <w:pageBreakBefore w:val="0"/>
              <w:kinsoku/>
              <w:wordWrap/>
              <w:overflowPunct/>
              <w:topLinePunct w:val="0"/>
              <w:autoSpaceDE w:val="0"/>
              <w:autoSpaceDN w:val="0"/>
              <w:bidi w:val="0"/>
              <w:jc w:val="center"/>
              <w:outlineLvl w:val="9"/>
              <w:rPr>
                <w:rFonts w:hint="eastAsia" w:ascii="宋体" w:hAnsi="宋体" w:eastAsia="宋体" w:cs="宋体"/>
                <w:color w:val="auto"/>
                <w:sz w:val="21"/>
                <w:szCs w:val="21"/>
                <w:highlight w:val="none"/>
              </w:rPr>
            </w:pPr>
          </w:p>
        </w:tc>
        <w:tc>
          <w:tcPr>
            <w:tcW w:w="2160" w:type="dxa"/>
            <w:noWrap w:val="0"/>
            <w:vAlign w:val="center"/>
          </w:tcPr>
          <w:p w14:paraId="2EB1F50B">
            <w:pPr>
              <w:keepNext w:val="0"/>
              <w:keepLines w:val="0"/>
              <w:pageBreakBefore w:val="0"/>
              <w:kinsoku/>
              <w:wordWrap/>
              <w:overflowPunct/>
              <w:topLinePunct w:val="0"/>
              <w:autoSpaceDE w:val="0"/>
              <w:autoSpaceDN w:val="0"/>
              <w:bidi w:val="0"/>
              <w:jc w:val="left"/>
              <w:outlineLvl w:val="9"/>
              <w:rPr>
                <w:rFonts w:hint="default"/>
                <w:lang w:val="en-US" w:eastAsia="zh-CN"/>
              </w:rPr>
            </w:pPr>
            <w:r>
              <w:rPr>
                <w:rFonts w:hint="eastAsia" w:ascii="宋体" w:hAnsi="宋体"/>
                <w:color w:val="auto"/>
                <w:sz w:val="21"/>
                <w:szCs w:val="21"/>
                <w:highlight w:val="none"/>
                <w:lang w:val="en-US" w:eastAsia="zh-CN"/>
              </w:rPr>
              <w:t>大写：</w:t>
            </w:r>
          </w:p>
        </w:tc>
        <w:tc>
          <w:tcPr>
            <w:tcW w:w="2213" w:type="dxa"/>
            <w:noWrap w:val="0"/>
            <w:vAlign w:val="center"/>
          </w:tcPr>
          <w:p w14:paraId="281E5802">
            <w:pPr>
              <w:keepNext w:val="0"/>
              <w:keepLines w:val="0"/>
              <w:pageBreakBefore w:val="0"/>
              <w:widowControl/>
              <w:kinsoku/>
              <w:wordWrap/>
              <w:overflowPunct/>
              <w:topLinePunct w:val="0"/>
              <w:autoSpaceDE w:val="0"/>
              <w:autoSpaceDN w:val="0"/>
              <w:bidi w:val="0"/>
              <w:jc w:val="center"/>
              <w:outlineLvl w:val="9"/>
              <w:rPr>
                <w:rFonts w:ascii="宋体" w:hAnsi="宋体"/>
                <w:color w:val="auto"/>
                <w:sz w:val="21"/>
                <w:szCs w:val="21"/>
                <w:highlight w:val="none"/>
                <w:lang w:val="en-GB"/>
              </w:rPr>
            </w:pPr>
          </w:p>
        </w:tc>
        <w:tc>
          <w:tcPr>
            <w:tcW w:w="1089" w:type="dxa"/>
            <w:noWrap w:val="0"/>
            <w:vAlign w:val="center"/>
          </w:tcPr>
          <w:p w14:paraId="407206C5">
            <w:pPr>
              <w:keepNext w:val="0"/>
              <w:keepLines w:val="0"/>
              <w:pageBreakBefore w:val="0"/>
              <w:widowControl/>
              <w:kinsoku/>
              <w:wordWrap/>
              <w:overflowPunct/>
              <w:topLinePunct w:val="0"/>
              <w:autoSpaceDE w:val="0"/>
              <w:autoSpaceDN w:val="0"/>
              <w:bidi w:val="0"/>
              <w:jc w:val="center"/>
              <w:outlineLvl w:val="9"/>
              <w:rPr>
                <w:rFonts w:hint="default" w:ascii="宋体" w:hAnsi="宋体" w:eastAsia="宋体"/>
                <w:color w:val="auto"/>
                <w:sz w:val="21"/>
                <w:szCs w:val="21"/>
                <w:highlight w:val="none"/>
                <w:lang w:val="en-US" w:eastAsia="zh-CN"/>
              </w:rPr>
            </w:pPr>
          </w:p>
        </w:tc>
      </w:tr>
    </w:tbl>
    <w:p w14:paraId="3B440D54">
      <w:pPr>
        <w:pStyle w:val="20"/>
        <w:keepNext w:val="0"/>
        <w:keepLines w:val="0"/>
        <w:pageBreakBefore w:val="0"/>
        <w:kinsoku/>
        <w:wordWrap/>
        <w:overflowPunct/>
        <w:topLinePunct w:val="0"/>
        <w:autoSpaceDE w:val="0"/>
        <w:autoSpaceDN w:val="0"/>
        <w:bidi w:val="0"/>
        <w:jc w:val="left"/>
        <w:outlineLvl w:val="9"/>
        <w:rPr>
          <w:rFonts w:hint="default" w:eastAsia="宋体"/>
          <w:lang w:val="en-US" w:eastAsia="zh-CN"/>
        </w:rPr>
      </w:pPr>
      <w:r>
        <w:rPr>
          <w:rFonts w:hint="eastAsia"/>
        </w:rPr>
        <w:t>注：</w:t>
      </w:r>
      <w:r>
        <w:rPr>
          <w:rFonts w:hint="eastAsia" w:hAnsi="宋体" w:cs="宋体"/>
          <w:szCs w:val="21"/>
        </w:rPr>
        <w:t>该价款已包含人员、服务、培训、利润、税收等一切费用，</w:t>
      </w:r>
      <w:r>
        <w:rPr>
          <w:rFonts w:hint="eastAsia" w:hAnsi="宋体" w:cs="宋体"/>
          <w:szCs w:val="21"/>
          <w:lang w:val="en-US" w:eastAsia="zh-CN"/>
        </w:rPr>
        <w:t>本项目甲方</w:t>
      </w:r>
      <w:r>
        <w:rPr>
          <w:rFonts w:hint="eastAsia" w:hAnsi="宋体" w:cs="宋体"/>
          <w:szCs w:val="21"/>
        </w:rPr>
        <w:t>不再另行支付</w:t>
      </w:r>
      <w:r>
        <w:rPr>
          <w:rFonts w:hint="eastAsia" w:hAnsi="宋体" w:cs="宋体"/>
          <w:szCs w:val="21"/>
          <w:lang w:val="en-US" w:eastAsia="zh-CN"/>
        </w:rPr>
        <w:t>其他费用</w:t>
      </w:r>
      <w:r>
        <w:rPr>
          <w:rFonts w:hint="eastAsia" w:hAnsi="宋体" w:cs="宋体"/>
          <w:szCs w:val="21"/>
        </w:rPr>
        <w:t>，</w:t>
      </w:r>
      <w:r>
        <w:rPr>
          <w:rFonts w:hint="eastAsia" w:hAnsi="宋体" w:cs="宋体"/>
          <w:szCs w:val="21"/>
          <w:lang w:val="en-US" w:eastAsia="zh-CN"/>
        </w:rPr>
        <w:t>乙方</w:t>
      </w:r>
      <w:r>
        <w:rPr>
          <w:rFonts w:hint="eastAsia" w:hAnsi="宋体" w:cs="宋体"/>
          <w:szCs w:val="21"/>
        </w:rPr>
        <w:t>亦不得以任何理由要求增加费用。</w:t>
      </w:r>
    </w:p>
    <w:p w14:paraId="71F4D34D">
      <w:pPr>
        <w:pStyle w:val="20"/>
        <w:keepNext w:val="0"/>
        <w:keepLines w:val="0"/>
        <w:pageBreakBefore w:val="0"/>
        <w:kinsoku/>
        <w:wordWrap/>
        <w:overflowPunct/>
        <w:topLinePunct w:val="0"/>
        <w:autoSpaceDE w:val="0"/>
        <w:autoSpaceDN w:val="0"/>
        <w:bidi w:val="0"/>
        <w:spacing w:line="360" w:lineRule="auto"/>
        <w:textAlignment w:val="auto"/>
        <w:outlineLvl w:val="9"/>
        <w:rPr>
          <w:rFonts w:ascii="宋体" w:hAnsi="宋体" w:cs="宋体"/>
          <w:b/>
          <w:szCs w:val="21"/>
        </w:rPr>
      </w:pPr>
      <w:bookmarkStart w:id="15" w:name="_Toc30158"/>
      <w:bookmarkStart w:id="16" w:name="_Toc14993"/>
      <w:bookmarkStart w:id="17" w:name="_Toc3654"/>
      <w:bookmarkStart w:id="18" w:name="_Toc30506"/>
      <w:bookmarkStart w:id="19" w:name="_Toc26916"/>
      <w:r>
        <w:rPr>
          <w:rFonts w:hint="eastAsia" w:ascii="宋体" w:hAnsi="宋体" w:cs="宋体"/>
          <w:szCs w:val="21"/>
        </w:rPr>
        <w:t xml:space="preserve">    </w:t>
      </w:r>
      <w:r>
        <w:rPr>
          <w:rFonts w:hint="eastAsia" w:ascii="宋体" w:hAnsi="宋体" w:cs="宋体"/>
          <w:b/>
          <w:szCs w:val="21"/>
        </w:rPr>
        <w:t>1.4 付款方式和发票开具方式</w:t>
      </w:r>
      <w:bookmarkEnd w:id="15"/>
      <w:bookmarkEnd w:id="16"/>
      <w:bookmarkEnd w:id="17"/>
      <w:bookmarkEnd w:id="18"/>
      <w:bookmarkEnd w:id="19"/>
    </w:p>
    <w:p w14:paraId="792E02A3">
      <w:pPr>
        <w:pStyle w:val="21"/>
        <w:keepNext w:val="0"/>
        <w:keepLines w:val="0"/>
        <w:pageBreakBefore w:val="0"/>
        <w:kinsoku/>
        <w:wordWrap/>
        <w:overflowPunct/>
        <w:topLinePunct w:val="0"/>
        <w:autoSpaceDE w:val="0"/>
        <w:autoSpaceDN w:val="0"/>
        <w:bidi w:val="0"/>
        <w:spacing w:before="0" w:beforeAutospacing="0" w:after="0" w:afterAutospacing="0" w:line="360" w:lineRule="auto"/>
        <w:ind w:firstLine="480"/>
        <w:outlineLvl w:val="9"/>
        <w:rPr>
          <w:sz w:val="21"/>
          <w:szCs w:val="21"/>
        </w:rPr>
      </w:pPr>
      <w:r>
        <w:rPr>
          <w:rFonts w:hint="eastAsia"/>
          <w:sz w:val="21"/>
          <w:szCs w:val="21"/>
        </w:rPr>
        <w:t>1.4.1甲方应严格履行合同，及时支付约定款项。对于满足合同约定支付条件的，甲方自收到发票后10个工作日内将资金支付到合同约定的乙方账户，如遇寒暑假则顺延。</w:t>
      </w:r>
    </w:p>
    <w:p w14:paraId="78BAD759">
      <w:pPr>
        <w:keepNext w:val="0"/>
        <w:keepLines w:val="0"/>
        <w:pageBreakBefore w:val="0"/>
        <w:kinsoku/>
        <w:wordWrap/>
        <w:overflowPunct/>
        <w:topLinePunct w:val="0"/>
        <w:autoSpaceDE w:val="0"/>
        <w:autoSpaceDN w:val="0"/>
        <w:bidi w:val="0"/>
        <w:spacing w:line="360" w:lineRule="auto"/>
        <w:ind w:firstLine="420" w:firstLineChars="200"/>
        <w:outlineLvl w:val="9"/>
        <w:rPr>
          <w:rFonts w:ascii="宋体" w:hAnsi="宋体" w:cs="宋体"/>
          <w:szCs w:val="21"/>
        </w:rPr>
      </w:pPr>
      <w:r>
        <w:rPr>
          <w:rFonts w:hint="eastAsia" w:ascii="宋体" w:hAnsi="宋体" w:cs="宋体"/>
          <w:szCs w:val="21"/>
        </w:rPr>
        <w:t>1.4.2甲方迟延支付乙方款项的，向乙方支付逾期利息。双方可以在合同专用条款中约定逾期利率；未作约定的，按照每日利率万分之一支付逾期利息。</w:t>
      </w:r>
    </w:p>
    <w:p w14:paraId="220F9EA5">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1.4.3资金支付的方式、时间和条件详见</w:t>
      </w:r>
      <w:r>
        <w:rPr>
          <w:rFonts w:hint="eastAsia" w:ascii="宋体" w:hAnsi="宋体" w:cs="宋体"/>
          <w:b/>
          <w:i/>
          <w:szCs w:val="21"/>
          <w:u w:val="single"/>
        </w:rPr>
        <w:t>合同专用条款</w:t>
      </w:r>
      <w:r>
        <w:rPr>
          <w:rFonts w:hint="eastAsia" w:ascii="宋体" w:hAnsi="宋体" w:cs="宋体"/>
          <w:szCs w:val="21"/>
        </w:rPr>
        <w:t>。</w:t>
      </w:r>
    </w:p>
    <w:p w14:paraId="1D0C52B4">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20" w:name="_Toc8772"/>
      <w:bookmarkStart w:id="21" w:name="_Toc31421"/>
      <w:bookmarkStart w:id="22" w:name="_Toc4760"/>
      <w:bookmarkStart w:id="23" w:name="_Toc11108"/>
      <w:bookmarkStart w:id="24" w:name="_Toc3625"/>
      <w:r>
        <w:rPr>
          <w:rFonts w:hint="eastAsia" w:ascii="宋体" w:hAnsi="宋体" w:cs="宋体"/>
          <w:b/>
          <w:szCs w:val="21"/>
        </w:rPr>
        <w:t>1.5 履行期限、内容、地点和方式</w:t>
      </w:r>
      <w:bookmarkEnd w:id="20"/>
      <w:bookmarkEnd w:id="21"/>
      <w:bookmarkEnd w:id="22"/>
      <w:bookmarkEnd w:id="23"/>
      <w:bookmarkEnd w:id="24"/>
    </w:p>
    <w:p w14:paraId="3E8FBF71">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1.5.1 履行期限：</w:t>
      </w:r>
      <w:r>
        <w:rPr>
          <w:rFonts w:hint="eastAsia" w:ascii="宋体" w:hAnsi="宋体" w:cs="宋体"/>
          <w:b/>
          <w:i/>
          <w:szCs w:val="21"/>
          <w:u w:val="single"/>
        </w:rPr>
        <w:t>合同专用条款</w:t>
      </w:r>
      <w:r>
        <w:rPr>
          <w:rFonts w:hint="eastAsia" w:ascii="宋体" w:hAnsi="宋体" w:cs="宋体"/>
          <w:szCs w:val="21"/>
        </w:rPr>
        <w:t>；</w:t>
      </w:r>
    </w:p>
    <w:p w14:paraId="4B1565D3">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1.5.2 履行内容：</w:t>
      </w:r>
      <w:r>
        <w:rPr>
          <w:rFonts w:hint="eastAsia" w:ascii="宋体" w:hAnsi="宋体" w:cs="宋体"/>
          <w:szCs w:val="21"/>
          <w:u w:val="single"/>
        </w:rPr>
        <w:t>按照</w:t>
      </w:r>
      <w:r>
        <w:rPr>
          <w:rFonts w:hint="eastAsia" w:ascii="宋体" w:hAnsi="宋体" w:cs="宋体"/>
          <w:szCs w:val="21"/>
          <w:u w:val="single"/>
          <w:lang w:eastAsia="zh-CN"/>
        </w:rPr>
        <w:t>采购</w:t>
      </w:r>
      <w:r>
        <w:rPr>
          <w:rFonts w:hint="eastAsia" w:ascii="宋体" w:hAnsi="宋体" w:cs="宋体"/>
          <w:szCs w:val="21"/>
          <w:u w:val="single"/>
        </w:rPr>
        <w:t>文件“采购需求”</w:t>
      </w:r>
      <w:r>
        <w:rPr>
          <w:rFonts w:hint="eastAsia" w:ascii="宋体" w:hAnsi="宋体" w:cs="宋体"/>
          <w:szCs w:val="21"/>
        </w:rPr>
        <w:t>；</w:t>
      </w:r>
    </w:p>
    <w:p w14:paraId="7953B6B9">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1.5.3 履行地点：</w:t>
      </w:r>
      <w:r>
        <w:rPr>
          <w:rFonts w:hint="eastAsia" w:ascii="宋体" w:hAnsi="宋体" w:cs="宋体"/>
          <w:szCs w:val="21"/>
          <w:u w:val="single"/>
        </w:rPr>
        <w:t>按照</w:t>
      </w:r>
      <w:r>
        <w:rPr>
          <w:rFonts w:hint="eastAsia" w:ascii="宋体" w:hAnsi="宋体" w:cs="宋体"/>
          <w:szCs w:val="21"/>
          <w:u w:val="single"/>
          <w:lang w:eastAsia="zh-CN"/>
        </w:rPr>
        <w:t>采购</w:t>
      </w:r>
      <w:r>
        <w:rPr>
          <w:rFonts w:hint="eastAsia" w:ascii="宋体" w:hAnsi="宋体" w:cs="宋体"/>
          <w:szCs w:val="21"/>
          <w:u w:val="single"/>
        </w:rPr>
        <w:t>文件“采购需求”</w:t>
      </w:r>
      <w:r>
        <w:rPr>
          <w:rFonts w:hint="eastAsia" w:ascii="宋体" w:hAnsi="宋体" w:cs="宋体"/>
          <w:szCs w:val="21"/>
        </w:rPr>
        <w:t>；</w:t>
      </w:r>
    </w:p>
    <w:p w14:paraId="6A598094">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1.5.4 履行方式：</w:t>
      </w:r>
      <w:r>
        <w:rPr>
          <w:rFonts w:hint="eastAsia" w:ascii="宋体" w:hAnsi="宋体" w:cs="宋体"/>
          <w:b/>
          <w:i/>
          <w:szCs w:val="21"/>
          <w:u w:val="single"/>
        </w:rPr>
        <w:t>合同专用条款</w:t>
      </w:r>
      <w:r>
        <w:rPr>
          <w:rFonts w:hint="eastAsia" w:ascii="宋体" w:hAnsi="宋体" w:cs="宋体"/>
          <w:szCs w:val="21"/>
        </w:rPr>
        <w:t>。</w:t>
      </w:r>
    </w:p>
    <w:p w14:paraId="5ED45363">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szCs w:val="21"/>
          <w:u w:val="single"/>
        </w:rPr>
      </w:pPr>
      <w:bookmarkStart w:id="25" w:name="_Toc2375"/>
      <w:bookmarkStart w:id="26" w:name="_Toc5698"/>
      <w:bookmarkStart w:id="27" w:name="_Toc24662"/>
      <w:bookmarkStart w:id="28" w:name="_Toc8586"/>
      <w:bookmarkStart w:id="29" w:name="_Toc3079"/>
      <w:r>
        <w:rPr>
          <w:rFonts w:hint="eastAsia" w:ascii="宋体" w:hAnsi="宋体" w:cs="宋体"/>
          <w:b/>
          <w:szCs w:val="21"/>
        </w:rPr>
        <w:t>1.6 违约责任</w:t>
      </w:r>
      <w:bookmarkEnd w:id="25"/>
      <w:bookmarkEnd w:id="26"/>
      <w:bookmarkEnd w:id="27"/>
      <w:bookmarkEnd w:id="28"/>
      <w:bookmarkEnd w:id="29"/>
    </w:p>
    <w:p w14:paraId="687603A6">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1.6.1 除不可抗力外，如果乙方没有按照本合同约定的期限、地点和方式履行，那么甲方可要求乙方支付违约金，违约金按每迟延履行一日的合同总额的</w:t>
      </w:r>
      <w:r>
        <w:rPr>
          <w:rFonts w:hint="eastAsia" w:ascii="宋体" w:hAnsi="宋体" w:cs="宋体"/>
          <w:szCs w:val="21"/>
          <w:u w:val="single"/>
        </w:rPr>
        <w:t>2‱</w:t>
      </w:r>
      <w:r>
        <w:rPr>
          <w:rFonts w:hint="eastAsia" w:ascii="宋体" w:hAnsi="宋体" w:cs="宋体"/>
          <w:szCs w:val="21"/>
        </w:rPr>
        <w:t>计算，最高限额为本合同总价的</w:t>
      </w:r>
      <w:r>
        <w:rPr>
          <w:rFonts w:hint="eastAsia" w:ascii="宋体" w:hAnsi="宋体" w:cs="宋体"/>
          <w:szCs w:val="21"/>
          <w:u w:val="single"/>
        </w:rPr>
        <w:t>10</w:t>
      </w:r>
      <w:r>
        <w:rPr>
          <w:rFonts w:hint="eastAsia" w:ascii="宋体" w:hAnsi="宋体" w:cs="宋体"/>
          <w:szCs w:val="21"/>
        </w:rPr>
        <w:t>%；迟延履行达30日，甲方有权在要求乙方支付违约金的同时，书面通知乙方解除本合同；</w:t>
      </w:r>
    </w:p>
    <w:p w14:paraId="1B9974E5">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51A2E37">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1.6.3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8D881D7">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1.6.4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BFA33D7">
      <w:pPr>
        <w:keepNext w:val="0"/>
        <w:keepLines w:val="0"/>
        <w:pageBreakBefore w:val="0"/>
        <w:kinsoku/>
        <w:wordWrap/>
        <w:overflowPunct/>
        <w:topLinePunct w:val="0"/>
        <w:autoSpaceDE w:val="0"/>
        <w:autoSpaceDN w:val="0"/>
        <w:bidi w:val="0"/>
        <w:spacing w:line="560" w:lineRule="exact"/>
        <w:ind w:left="-420" w:leftChars="-200" w:right="-420" w:rightChars="-200" w:firstLine="840" w:firstLineChars="400"/>
        <w:outlineLvl w:val="9"/>
        <w:rPr>
          <w:rFonts w:ascii="宋体" w:hAnsi="宋体" w:cs="宋体"/>
          <w:szCs w:val="21"/>
        </w:rPr>
      </w:pPr>
      <w:r>
        <w:rPr>
          <w:rFonts w:hint="eastAsia" w:ascii="宋体" w:hAnsi="宋体" w:cs="宋体"/>
          <w:szCs w:val="21"/>
        </w:rPr>
        <w:t>1.6.5 违约责任</w:t>
      </w:r>
      <w:r>
        <w:rPr>
          <w:rFonts w:hint="eastAsia" w:ascii="宋体" w:hAnsi="宋体" w:cs="宋体"/>
          <w:b/>
          <w:i/>
          <w:szCs w:val="21"/>
          <w:u w:val="single"/>
        </w:rPr>
        <w:t>合同专用条款</w:t>
      </w:r>
      <w:r>
        <w:rPr>
          <w:rFonts w:hint="eastAsia" w:ascii="宋体" w:hAnsi="宋体" w:cs="宋体"/>
          <w:szCs w:val="21"/>
        </w:rPr>
        <w:t>另有约定的，从其约定。</w:t>
      </w:r>
    </w:p>
    <w:p w14:paraId="42159673">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30" w:name="_Toc18683"/>
      <w:bookmarkStart w:id="31" w:name="_Toc30329"/>
      <w:bookmarkStart w:id="32" w:name="_Toc9497"/>
      <w:bookmarkStart w:id="33" w:name="_Toc32454"/>
      <w:bookmarkStart w:id="34" w:name="_Toc26807"/>
      <w:r>
        <w:rPr>
          <w:rFonts w:hint="eastAsia" w:ascii="宋体" w:hAnsi="宋体" w:cs="宋体"/>
          <w:b/>
          <w:szCs w:val="21"/>
        </w:rPr>
        <w:t>1.7 合同争议的解决</w:t>
      </w:r>
      <w:bookmarkEnd w:id="30"/>
      <w:bookmarkEnd w:id="31"/>
      <w:bookmarkEnd w:id="32"/>
      <w:bookmarkEnd w:id="33"/>
      <w:bookmarkEnd w:id="34"/>
    </w:p>
    <w:p w14:paraId="51AA7C0D">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本合同履行过程中发生的任何争议，双方当事人均可通过和解或者调解解决；不愿和解、调解或者和解、调解不成的，任何一方可以向甲方所在地人民法院起诉。</w:t>
      </w:r>
    </w:p>
    <w:p w14:paraId="5165F0D0">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35" w:name="_Toc23784"/>
      <w:bookmarkStart w:id="36" w:name="_Toc16417"/>
      <w:bookmarkStart w:id="37" w:name="_Toc12273"/>
      <w:bookmarkStart w:id="38" w:name="_Toc15827"/>
      <w:bookmarkStart w:id="39" w:name="_Toc26227"/>
      <w:r>
        <w:rPr>
          <w:rFonts w:hint="eastAsia" w:ascii="宋体" w:hAnsi="宋体" w:cs="宋体"/>
          <w:b/>
          <w:szCs w:val="21"/>
        </w:rPr>
        <w:t>1.8 合同生效</w:t>
      </w:r>
      <w:bookmarkEnd w:id="35"/>
      <w:bookmarkEnd w:id="36"/>
      <w:bookmarkEnd w:id="37"/>
      <w:bookmarkEnd w:id="38"/>
      <w:bookmarkEnd w:id="39"/>
    </w:p>
    <w:p w14:paraId="1142727E">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本合同由第一部分合同书、第二部分合同一般条款、第三部分合同专用条款构成。自双方代表签字且加盖公章后生效。</w:t>
      </w:r>
    </w:p>
    <w:tbl>
      <w:tblPr>
        <w:tblStyle w:val="13"/>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4951"/>
      </w:tblGrid>
      <w:tr w14:paraId="2AB5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vAlign w:val="center"/>
          </w:tcPr>
          <w:p w14:paraId="7BF6204A">
            <w:pPr>
              <w:keepNext w:val="0"/>
              <w:keepLines w:val="0"/>
              <w:pageBreakBefore w:val="0"/>
              <w:kinsoku/>
              <w:wordWrap/>
              <w:overflowPunct/>
              <w:topLinePunct w:val="0"/>
              <w:autoSpaceDE w:val="0"/>
              <w:autoSpaceDN w:val="0"/>
              <w:bidi w:val="0"/>
              <w:snapToGrid w:val="0"/>
              <w:spacing w:before="120" w:after="120" w:line="360" w:lineRule="exact"/>
              <w:outlineLvl w:val="9"/>
              <w:rPr>
                <w:rFonts w:ascii="宋体" w:hAnsi="宋体" w:cs="宋体"/>
                <w:szCs w:val="21"/>
              </w:rPr>
            </w:pPr>
            <w:r>
              <w:rPr>
                <w:rFonts w:hint="eastAsia" w:ascii="宋体" w:hAnsi="宋体" w:cs="宋体"/>
                <w:szCs w:val="21"/>
              </w:rPr>
              <w:t>甲方：浙江工商大学杭州商学院（章）</w:t>
            </w:r>
          </w:p>
        </w:tc>
        <w:tc>
          <w:tcPr>
            <w:tcW w:w="4951" w:type="dxa"/>
            <w:vAlign w:val="center"/>
          </w:tcPr>
          <w:p w14:paraId="30E3F72B">
            <w:pPr>
              <w:keepNext w:val="0"/>
              <w:keepLines w:val="0"/>
              <w:pageBreakBefore w:val="0"/>
              <w:kinsoku/>
              <w:wordWrap/>
              <w:overflowPunct/>
              <w:topLinePunct w:val="0"/>
              <w:autoSpaceDE w:val="0"/>
              <w:autoSpaceDN w:val="0"/>
              <w:bidi w:val="0"/>
              <w:snapToGrid w:val="0"/>
              <w:spacing w:before="120" w:after="120" w:line="360" w:lineRule="exact"/>
              <w:outlineLvl w:val="9"/>
              <w:rPr>
                <w:rFonts w:ascii="宋体" w:hAnsi="宋体" w:cs="宋体"/>
                <w:szCs w:val="21"/>
              </w:rPr>
            </w:pPr>
            <w:r>
              <w:rPr>
                <w:rFonts w:hint="eastAsia" w:ascii="宋体" w:hAnsi="宋体" w:cs="宋体"/>
                <w:szCs w:val="21"/>
              </w:rPr>
              <w:t>乙方：（章）</w:t>
            </w:r>
          </w:p>
        </w:tc>
      </w:tr>
      <w:tr w14:paraId="68E6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vAlign w:val="center"/>
          </w:tcPr>
          <w:p w14:paraId="0ED4C46A">
            <w:pPr>
              <w:keepNext w:val="0"/>
              <w:keepLines w:val="0"/>
              <w:pageBreakBefore w:val="0"/>
              <w:kinsoku/>
              <w:wordWrap/>
              <w:overflowPunct/>
              <w:topLinePunct w:val="0"/>
              <w:autoSpaceDE w:val="0"/>
              <w:autoSpaceDN w:val="0"/>
              <w:bidi w:val="0"/>
              <w:snapToGrid w:val="0"/>
              <w:spacing w:before="120" w:after="120" w:line="360" w:lineRule="exact"/>
              <w:outlineLvl w:val="9"/>
              <w:rPr>
                <w:rFonts w:ascii="宋体" w:hAnsi="宋体" w:cs="宋体"/>
                <w:szCs w:val="21"/>
              </w:rPr>
            </w:pPr>
            <w:r>
              <w:rPr>
                <w:rFonts w:hint="eastAsia" w:ascii="宋体" w:hAnsi="宋体" w:cs="宋体"/>
                <w:szCs w:val="21"/>
              </w:rPr>
              <w:t>地址：杭州桐庐环城南路66号</w:t>
            </w:r>
          </w:p>
        </w:tc>
        <w:tc>
          <w:tcPr>
            <w:tcW w:w="4951" w:type="dxa"/>
            <w:vAlign w:val="center"/>
          </w:tcPr>
          <w:p w14:paraId="559B8384">
            <w:pPr>
              <w:keepNext w:val="0"/>
              <w:keepLines w:val="0"/>
              <w:pageBreakBefore w:val="0"/>
              <w:kinsoku/>
              <w:wordWrap/>
              <w:overflowPunct/>
              <w:topLinePunct w:val="0"/>
              <w:autoSpaceDE w:val="0"/>
              <w:autoSpaceDN w:val="0"/>
              <w:bidi w:val="0"/>
              <w:snapToGrid w:val="0"/>
              <w:spacing w:before="120" w:after="120" w:line="360" w:lineRule="exact"/>
              <w:outlineLvl w:val="9"/>
              <w:rPr>
                <w:rFonts w:ascii="宋体" w:hAnsi="宋体" w:cs="宋体"/>
                <w:szCs w:val="21"/>
              </w:rPr>
            </w:pPr>
            <w:r>
              <w:rPr>
                <w:rFonts w:hint="eastAsia" w:ascii="宋体" w:hAnsi="宋体" w:cs="宋体"/>
                <w:szCs w:val="21"/>
              </w:rPr>
              <w:t>地址：</w:t>
            </w:r>
          </w:p>
        </w:tc>
      </w:tr>
      <w:tr w14:paraId="47D1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vAlign w:val="center"/>
          </w:tcPr>
          <w:p w14:paraId="6AB90072">
            <w:pPr>
              <w:keepNext w:val="0"/>
              <w:keepLines w:val="0"/>
              <w:pageBreakBefore w:val="0"/>
              <w:kinsoku/>
              <w:wordWrap/>
              <w:overflowPunct/>
              <w:topLinePunct w:val="0"/>
              <w:autoSpaceDE w:val="0"/>
              <w:autoSpaceDN w:val="0"/>
              <w:bidi w:val="0"/>
              <w:snapToGrid w:val="0"/>
              <w:spacing w:before="120" w:after="120" w:line="360" w:lineRule="exact"/>
              <w:outlineLvl w:val="9"/>
              <w:rPr>
                <w:rFonts w:ascii="宋体" w:hAnsi="宋体" w:cs="宋体"/>
                <w:szCs w:val="21"/>
              </w:rPr>
            </w:pPr>
            <w:r>
              <w:rPr>
                <w:rFonts w:hint="eastAsia" w:ascii="宋体" w:hAnsi="宋体" w:cs="宋体"/>
                <w:szCs w:val="21"/>
              </w:rPr>
              <w:t>法定（授权）代表人：</w:t>
            </w:r>
          </w:p>
        </w:tc>
        <w:tc>
          <w:tcPr>
            <w:tcW w:w="4951" w:type="dxa"/>
            <w:vAlign w:val="center"/>
          </w:tcPr>
          <w:p w14:paraId="1D25885F">
            <w:pPr>
              <w:keepNext w:val="0"/>
              <w:keepLines w:val="0"/>
              <w:pageBreakBefore w:val="0"/>
              <w:kinsoku/>
              <w:wordWrap/>
              <w:overflowPunct/>
              <w:topLinePunct w:val="0"/>
              <w:autoSpaceDE w:val="0"/>
              <w:autoSpaceDN w:val="0"/>
              <w:bidi w:val="0"/>
              <w:snapToGrid w:val="0"/>
              <w:spacing w:before="120" w:after="120" w:line="360" w:lineRule="exact"/>
              <w:outlineLvl w:val="9"/>
              <w:rPr>
                <w:rFonts w:ascii="宋体" w:hAnsi="宋体" w:cs="宋体"/>
                <w:szCs w:val="21"/>
              </w:rPr>
            </w:pPr>
            <w:r>
              <w:rPr>
                <w:rFonts w:hint="eastAsia" w:ascii="宋体" w:hAnsi="宋体" w:cs="宋体"/>
                <w:szCs w:val="21"/>
              </w:rPr>
              <w:t>法定（授权）代表人：</w:t>
            </w:r>
          </w:p>
        </w:tc>
      </w:tr>
      <w:tr w14:paraId="2D31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vAlign w:val="center"/>
          </w:tcPr>
          <w:p w14:paraId="24F3EAE4">
            <w:pPr>
              <w:keepNext w:val="0"/>
              <w:keepLines w:val="0"/>
              <w:pageBreakBefore w:val="0"/>
              <w:kinsoku/>
              <w:wordWrap/>
              <w:overflowPunct/>
              <w:topLinePunct w:val="0"/>
              <w:autoSpaceDE w:val="0"/>
              <w:autoSpaceDN w:val="0"/>
              <w:bidi w:val="0"/>
              <w:snapToGrid w:val="0"/>
              <w:spacing w:before="120" w:after="120" w:line="360" w:lineRule="exact"/>
              <w:outlineLvl w:val="9"/>
              <w:rPr>
                <w:rFonts w:ascii="宋体" w:hAnsi="宋体" w:cs="宋体"/>
                <w:szCs w:val="21"/>
              </w:rPr>
            </w:pPr>
            <w:r>
              <w:rPr>
                <w:rFonts w:hint="eastAsia" w:ascii="宋体" w:hAnsi="宋体" w:cs="宋体"/>
                <w:szCs w:val="21"/>
              </w:rPr>
              <w:t>开户银行：工行桐庐支行</w:t>
            </w:r>
          </w:p>
        </w:tc>
        <w:tc>
          <w:tcPr>
            <w:tcW w:w="4951" w:type="dxa"/>
            <w:vAlign w:val="center"/>
          </w:tcPr>
          <w:p w14:paraId="0A8E66D9">
            <w:pPr>
              <w:keepNext w:val="0"/>
              <w:keepLines w:val="0"/>
              <w:pageBreakBefore w:val="0"/>
              <w:kinsoku/>
              <w:wordWrap/>
              <w:overflowPunct/>
              <w:topLinePunct w:val="0"/>
              <w:autoSpaceDE w:val="0"/>
              <w:autoSpaceDN w:val="0"/>
              <w:bidi w:val="0"/>
              <w:snapToGrid w:val="0"/>
              <w:spacing w:before="120" w:after="120" w:line="360" w:lineRule="exact"/>
              <w:outlineLvl w:val="9"/>
              <w:rPr>
                <w:rFonts w:ascii="宋体" w:hAnsi="宋体" w:cs="宋体"/>
                <w:szCs w:val="21"/>
              </w:rPr>
            </w:pPr>
            <w:r>
              <w:rPr>
                <w:rFonts w:hint="eastAsia" w:ascii="宋体" w:hAnsi="宋体" w:cs="宋体"/>
                <w:szCs w:val="21"/>
              </w:rPr>
              <w:t>银行：</w:t>
            </w:r>
          </w:p>
        </w:tc>
      </w:tr>
      <w:tr w14:paraId="23CD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vAlign w:val="center"/>
          </w:tcPr>
          <w:p w14:paraId="7297CD76">
            <w:pPr>
              <w:keepNext w:val="0"/>
              <w:keepLines w:val="0"/>
              <w:pageBreakBefore w:val="0"/>
              <w:kinsoku/>
              <w:wordWrap/>
              <w:overflowPunct/>
              <w:topLinePunct w:val="0"/>
              <w:autoSpaceDE w:val="0"/>
              <w:autoSpaceDN w:val="0"/>
              <w:bidi w:val="0"/>
              <w:snapToGrid w:val="0"/>
              <w:spacing w:before="120" w:after="120" w:line="360" w:lineRule="exact"/>
              <w:outlineLvl w:val="9"/>
              <w:rPr>
                <w:rFonts w:ascii="宋体" w:hAnsi="宋体" w:cs="宋体"/>
                <w:szCs w:val="21"/>
              </w:rPr>
            </w:pPr>
            <w:r>
              <w:rPr>
                <w:rFonts w:hint="eastAsia" w:ascii="宋体" w:hAnsi="宋体" w:cs="宋体"/>
                <w:szCs w:val="21"/>
              </w:rPr>
              <w:t>账号：1202089119900104396</w:t>
            </w:r>
          </w:p>
        </w:tc>
        <w:tc>
          <w:tcPr>
            <w:tcW w:w="4951" w:type="dxa"/>
            <w:vAlign w:val="center"/>
          </w:tcPr>
          <w:p w14:paraId="47A6329F">
            <w:pPr>
              <w:keepNext w:val="0"/>
              <w:keepLines w:val="0"/>
              <w:pageBreakBefore w:val="0"/>
              <w:kinsoku/>
              <w:wordWrap/>
              <w:overflowPunct/>
              <w:topLinePunct w:val="0"/>
              <w:autoSpaceDE w:val="0"/>
              <w:autoSpaceDN w:val="0"/>
              <w:bidi w:val="0"/>
              <w:snapToGrid w:val="0"/>
              <w:spacing w:before="120" w:after="120" w:line="360" w:lineRule="exact"/>
              <w:outlineLvl w:val="9"/>
              <w:rPr>
                <w:rFonts w:ascii="宋体" w:hAnsi="宋体" w:cs="宋体"/>
                <w:szCs w:val="21"/>
              </w:rPr>
            </w:pPr>
            <w:r>
              <w:rPr>
                <w:rFonts w:hint="eastAsia" w:ascii="宋体" w:hAnsi="宋体" w:cs="宋体"/>
                <w:szCs w:val="21"/>
              </w:rPr>
              <w:t>账号：</w:t>
            </w:r>
          </w:p>
        </w:tc>
      </w:tr>
      <w:tr w14:paraId="01A8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33" w:type="dxa"/>
            <w:gridSpan w:val="2"/>
            <w:vAlign w:val="center"/>
          </w:tcPr>
          <w:p w14:paraId="071454A9">
            <w:pPr>
              <w:keepNext w:val="0"/>
              <w:keepLines w:val="0"/>
              <w:pageBreakBefore w:val="0"/>
              <w:kinsoku/>
              <w:wordWrap/>
              <w:overflowPunct/>
              <w:topLinePunct w:val="0"/>
              <w:autoSpaceDE w:val="0"/>
              <w:autoSpaceDN w:val="0"/>
              <w:bidi w:val="0"/>
              <w:snapToGrid w:val="0"/>
              <w:spacing w:before="120" w:after="120" w:line="360" w:lineRule="exact"/>
              <w:jc w:val="center"/>
              <w:outlineLvl w:val="9"/>
              <w:rPr>
                <w:rFonts w:ascii="宋体" w:hAnsi="宋体" w:cs="宋体"/>
                <w:szCs w:val="21"/>
              </w:rPr>
            </w:pPr>
            <w:r>
              <w:rPr>
                <w:rFonts w:hint="eastAsia" w:ascii="宋体" w:hAnsi="宋体" w:cs="宋体"/>
                <w:szCs w:val="21"/>
              </w:rPr>
              <w:t xml:space="preserve">                                             签约日期：2024年  月  日</w:t>
            </w:r>
          </w:p>
        </w:tc>
      </w:tr>
    </w:tbl>
    <w:p w14:paraId="15166934">
      <w:pPr>
        <w:pStyle w:val="19"/>
        <w:keepNext w:val="0"/>
        <w:keepLines w:val="0"/>
        <w:pageBreakBefore w:val="0"/>
        <w:kinsoku/>
        <w:wordWrap/>
        <w:overflowPunct/>
        <w:topLinePunct w:val="0"/>
        <w:autoSpaceDE w:val="0"/>
        <w:autoSpaceDN w:val="0"/>
        <w:bidi w:val="0"/>
        <w:spacing w:line="560" w:lineRule="exact"/>
        <w:ind w:left="0" w:firstLine="0"/>
        <w:jc w:val="center"/>
        <w:outlineLvl w:val="9"/>
        <w:rPr>
          <w:rFonts w:ascii="宋体" w:hAnsi="宋体" w:cs="宋体"/>
          <w:b/>
          <w:sz w:val="21"/>
          <w:szCs w:val="21"/>
        </w:rPr>
      </w:pPr>
      <w:bookmarkStart w:id="40" w:name="_Toc331685783"/>
      <w:r>
        <w:rPr>
          <w:rFonts w:hint="eastAsia" w:ascii="宋体" w:hAnsi="宋体" w:cs="宋体"/>
          <w:b/>
          <w:sz w:val="21"/>
          <w:szCs w:val="21"/>
        </w:rPr>
        <w:t>第二部分 合同一般条款</w:t>
      </w:r>
      <w:bookmarkEnd w:id="40"/>
    </w:p>
    <w:p w14:paraId="11C3EFF8">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41" w:name="_Ref467379094"/>
      <w:bookmarkStart w:id="42" w:name="_Ref467379101"/>
      <w:bookmarkStart w:id="43" w:name="_Ref467379109"/>
      <w:bookmarkStart w:id="44" w:name="_Toc259093669"/>
      <w:bookmarkStart w:id="45" w:name="_Ref467378499"/>
      <w:bookmarkStart w:id="46" w:name="_Ref467378463"/>
      <w:bookmarkStart w:id="47" w:name="_Ref467379214"/>
      <w:bookmarkStart w:id="48" w:name="_Ref467379225"/>
      <w:bookmarkStart w:id="49" w:name="_Ref467379195"/>
      <w:bookmarkStart w:id="50" w:name="_Ref467378404"/>
      <w:bookmarkStart w:id="51" w:name="_Toc31297"/>
      <w:bookmarkStart w:id="52" w:name="_Toc5228"/>
      <w:bookmarkStart w:id="53" w:name="_Toc19680"/>
      <w:bookmarkStart w:id="54" w:name="_Toc25079"/>
      <w:bookmarkStart w:id="55" w:name="_Ref467379205"/>
      <w:bookmarkStart w:id="56" w:name="_Toc14021"/>
      <w:bookmarkStart w:id="57" w:name="_Toc279701240"/>
      <w:bookmarkStart w:id="58" w:name="_Toc487900349"/>
      <w:r>
        <w:rPr>
          <w:rFonts w:hint="eastAsia" w:ascii="宋体" w:hAnsi="宋体" w:cs="宋体"/>
          <w:b/>
          <w:szCs w:val="21"/>
        </w:rPr>
        <w:t>2.1 定义</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F8D4F6C">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本合同中的下列词语应按以下内容进行解释：</w:t>
      </w:r>
    </w:p>
    <w:p w14:paraId="2424E079">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2.1.1 “合同”系指采购人和中标供应商签订的载明双方当事人所达成的协议，并包括所有的附件、附录和构成合同的其他文件。</w:t>
      </w:r>
    </w:p>
    <w:p w14:paraId="247B4797">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2.1.2 “合同价”系指根据合同约定，中标供应商在完全履行合同义务后，采购人应支付给中标供应商的价格。</w:t>
      </w:r>
    </w:p>
    <w:p w14:paraId="1141846F">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2.1.3 “服务”系指中标供应商根据合同约定应向采购人履行的除货物和工程以外的其他政府采购对象，包括采购人自身需要的服务和向社会公众提供的公共服务。</w:t>
      </w:r>
    </w:p>
    <w:p w14:paraId="5361BCF2">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bookmarkStart w:id="59" w:name="_Ref467378840"/>
      <w:r>
        <w:rPr>
          <w:rFonts w:hint="eastAsia" w:ascii="宋体" w:hAnsi="宋体" w:cs="宋体"/>
          <w:szCs w:val="21"/>
        </w:rPr>
        <w:t>2.1.4 “甲方”系指与中标供应商签署合同的采购人</w:t>
      </w:r>
      <w:bookmarkEnd w:id="59"/>
      <w:r>
        <w:rPr>
          <w:rFonts w:hint="eastAsia" w:ascii="宋体" w:hAnsi="宋体" w:cs="宋体"/>
          <w:szCs w:val="21"/>
        </w:rPr>
        <w:t>；采购人委托采购代理机构代表其与乙方签订合同的，采购人的授权委托书作为合同附件。</w:t>
      </w:r>
    </w:p>
    <w:p w14:paraId="12B2B50D">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bookmarkStart w:id="60" w:name="_Ref467379400"/>
      <w:r>
        <w:rPr>
          <w:rFonts w:hint="eastAsia" w:ascii="宋体" w:hAnsi="宋体" w:cs="宋体"/>
          <w:szCs w:val="21"/>
        </w:rPr>
        <w:t>2.1.5 “乙方”系指根据合同约定提供服务的中标供应商</w:t>
      </w:r>
      <w:bookmarkEnd w:id="60"/>
      <w:r>
        <w:rPr>
          <w:rFonts w:hint="eastAsia" w:ascii="宋体" w:hAnsi="宋体" w:cs="宋体"/>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75625C">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bookmarkStart w:id="61" w:name="_Ref467379436"/>
      <w:r>
        <w:rPr>
          <w:rFonts w:hint="eastAsia" w:ascii="宋体" w:hAnsi="宋体" w:cs="宋体"/>
          <w:szCs w:val="21"/>
        </w:rPr>
        <w:t>2.1.6 “现场”系指合同约定提供服务的地点。</w:t>
      </w:r>
      <w:bookmarkEnd w:id="61"/>
    </w:p>
    <w:p w14:paraId="5F0FE590">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62" w:name="_Toc16752"/>
      <w:bookmarkStart w:id="63" w:name="_Toc3769"/>
      <w:bookmarkStart w:id="64" w:name="_Toc19539"/>
      <w:bookmarkStart w:id="65" w:name="_Toc487900350"/>
      <w:bookmarkStart w:id="66" w:name="_Toc23289"/>
      <w:bookmarkStart w:id="67" w:name="_Toc259093670"/>
      <w:bookmarkStart w:id="68" w:name="_Toc279701241"/>
      <w:bookmarkStart w:id="69" w:name="_Toc31402"/>
      <w:r>
        <w:rPr>
          <w:rFonts w:hint="eastAsia" w:ascii="宋体" w:hAnsi="宋体" w:cs="宋体"/>
          <w:b/>
          <w:szCs w:val="21"/>
        </w:rPr>
        <w:t>2.2 技术规范</w:t>
      </w:r>
      <w:bookmarkEnd w:id="62"/>
      <w:bookmarkEnd w:id="63"/>
      <w:bookmarkEnd w:id="64"/>
      <w:bookmarkEnd w:id="65"/>
      <w:bookmarkEnd w:id="66"/>
      <w:bookmarkEnd w:id="67"/>
      <w:bookmarkEnd w:id="68"/>
      <w:bookmarkEnd w:id="69"/>
    </w:p>
    <w:p w14:paraId="2017A784">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DDC2BC5">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70" w:name="_Toc27945"/>
      <w:bookmarkStart w:id="71" w:name="_Toc487900351"/>
      <w:bookmarkStart w:id="72" w:name="_Toc9161"/>
      <w:bookmarkStart w:id="73" w:name="_Toc4133"/>
      <w:bookmarkStart w:id="74" w:name="_Toc259093671"/>
      <w:bookmarkStart w:id="75" w:name="_Toc13673"/>
      <w:bookmarkStart w:id="76" w:name="_Toc279701242"/>
      <w:bookmarkStart w:id="77" w:name="_Toc12412"/>
      <w:r>
        <w:rPr>
          <w:rFonts w:hint="eastAsia" w:ascii="宋体" w:hAnsi="宋体" w:cs="宋体"/>
          <w:b/>
          <w:szCs w:val="21"/>
        </w:rPr>
        <w:t>2.3 知识产权</w:t>
      </w:r>
      <w:bookmarkEnd w:id="70"/>
      <w:bookmarkEnd w:id="71"/>
      <w:bookmarkEnd w:id="72"/>
      <w:bookmarkEnd w:id="73"/>
      <w:bookmarkEnd w:id="74"/>
      <w:bookmarkEnd w:id="75"/>
      <w:bookmarkEnd w:id="76"/>
      <w:bookmarkEnd w:id="77"/>
    </w:p>
    <w:p w14:paraId="005D8E2F">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00995B0">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2.3.2 合同涉及技术成果的归属和收益的分成办法的，详见</w:t>
      </w:r>
      <w:r>
        <w:rPr>
          <w:rFonts w:hint="eastAsia" w:ascii="宋体" w:hAnsi="宋体" w:cs="宋体"/>
          <w:b/>
          <w:i/>
          <w:szCs w:val="21"/>
          <w:u w:val="single"/>
        </w:rPr>
        <w:t>合同专用条款</w:t>
      </w:r>
      <w:r>
        <w:rPr>
          <w:rFonts w:hint="eastAsia" w:ascii="宋体" w:hAnsi="宋体" w:cs="宋体"/>
          <w:szCs w:val="21"/>
        </w:rPr>
        <w:t>。</w:t>
      </w:r>
    </w:p>
    <w:p w14:paraId="4D7894E8">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r>
        <w:rPr>
          <w:rFonts w:hint="eastAsia" w:ascii="宋体" w:hAnsi="宋体" w:cs="宋体"/>
          <w:b/>
          <w:szCs w:val="21"/>
        </w:rPr>
        <w:t>2.4 履约检查和问题反馈</w:t>
      </w:r>
    </w:p>
    <w:p w14:paraId="3757016D">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bookmarkStart w:id="78" w:name="_Ref467379657"/>
      <w:r>
        <w:rPr>
          <w:rFonts w:hint="eastAsia" w:ascii="宋体" w:hAnsi="宋体" w:cs="宋体"/>
          <w:szCs w:val="21"/>
        </w:rPr>
        <w:t>2.4.1</w:t>
      </w:r>
      <w:bookmarkEnd w:id="78"/>
      <w:bookmarkStart w:id="79" w:name="_Toc186431854"/>
      <w:bookmarkStart w:id="80" w:name="_Toc487900357"/>
      <w:bookmarkStart w:id="81" w:name="_Ref467379793"/>
      <w:bookmarkStart w:id="82" w:name="_Toc279701247"/>
      <w:bookmarkStart w:id="83" w:name="_Ref467379807"/>
      <w:bookmarkStart w:id="84" w:name="_Toc259093676"/>
      <w:r>
        <w:rPr>
          <w:rFonts w:hint="eastAsia" w:ascii="宋体" w:hAnsi="宋体" w:cs="宋体"/>
          <w:szCs w:val="21"/>
        </w:rPr>
        <w:t>甲方有权在其认为必要时，对乙方是否能够按照合同约定提供服务进行履约检查，以确保乙方所提供的服务能够依约满足甲方之项目需求，但不得因履约检查妨碍乙方的正常工作，乙方应予积极配合；</w:t>
      </w:r>
    </w:p>
    <w:p w14:paraId="0EC79582">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2.4.2 合同履行期间，甲方有权将履行过程中出现的问题反馈给乙方，双方当事人应以书面形式约定需要完善和改进的内容,乙方应在三天内做出改进方案，并经甲方审核确认</w:t>
      </w:r>
      <w:bookmarkEnd w:id="79"/>
      <w:bookmarkStart w:id="85" w:name="_Toc186431855"/>
      <w:r>
        <w:rPr>
          <w:rFonts w:hint="eastAsia" w:ascii="宋体" w:hAnsi="宋体" w:cs="宋体"/>
          <w:szCs w:val="21"/>
        </w:rPr>
        <w:t>。</w:t>
      </w:r>
    </w:p>
    <w:bookmarkEnd w:id="85"/>
    <w:p w14:paraId="204C7C1D">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86" w:name="_Toc22011"/>
      <w:bookmarkStart w:id="87" w:name="_Toc31233"/>
      <w:bookmarkStart w:id="88" w:name="_Toc32670"/>
      <w:bookmarkStart w:id="89" w:name="_Toc26555"/>
      <w:bookmarkStart w:id="90" w:name="_Toc15447"/>
      <w:r>
        <w:rPr>
          <w:rFonts w:hint="eastAsia" w:ascii="宋体" w:hAnsi="宋体" w:cs="宋体"/>
          <w:b/>
          <w:szCs w:val="21"/>
        </w:rPr>
        <w:t>2.5 结算方式和付款条件</w:t>
      </w:r>
      <w:bookmarkEnd w:id="80"/>
      <w:bookmarkEnd w:id="81"/>
      <w:bookmarkEnd w:id="82"/>
      <w:bookmarkEnd w:id="83"/>
      <w:bookmarkEnd w:id="84"/>
      <w:bookmarkEnd w:id="86"/>
      <w:bookmarkEnd w:id="87"/>
      <w:bookmarkEnd w:id="88"/>
      <w:bookmarkEnd w:id="89"/>
      <w:bookmarkEnd w:id="90"/>
    </w:p>
    <w:p w14:paraId="54717638">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详见</w:t>
      </w:r>
      <w:r>
        <w:rPr>
          <w:rFonts w:hint="eastAsia" w:ascii="宋体" w:hAnsi="宋体" w:cs="宋体"/>
          <w:b/>
          <w:i/>
          <w:szCs w:val="21"/>
          <w:u w:val="single"/>
        </w:rPr>
        <w:t>1.4</w:t>
      </w:r>
      <w:r>
        <w:rPr>
          <w:rFonts w:hint="eastAsia" w:ascii="宋体" w:hAnsi="宋体" w:cs="宋体"/>
          <w:szCs w:val="21"/>
        </w:rPr>
        <w:t>。</w:t>
      </w:r>
    </w:p>
    <w:p w14:paraId="398232EF">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91" w:name="_Toc487900358"/>
      <w:bookmarkStart w:id="92" w:name="_Ref467379863"/>
      <w:bookmarkStart w:id="93" w:name="_Ref467379852"/>
      <w:bookmarkStart w:id="94" w:name="_Toc259093677"/>
      <w:bookmarkStart w:id="95" w:name="_Toc279701248"/>
      <w:bookmarkStart w:id="96" w:name="_Ref467379923"/>
      <w:bookmarkStart w:id="97" w:name="_Toc18990"/>
      <w:bookmarkStart w:id="98" w:name="_Toc16163"/>
      <w:bookmarkStart w:id="99" w:name="_Toc13154"/>
      <w:bookmarkStart w:id="100" w:name="_Toc30507"/>
      <w:bookmarkStart w:id="101" w:name="_Toc13467"/>
      <w:r>
        <w:rPr>
          <w:rFonts w:hint="eastAsia" w:ascii="宋体" w:hAnsi="宋体" w:cs="宋体"/>
          <w:b/>
          <w:szCs w:val="21"/>
        </w:rPr>
        <w:t>2.6 技术资料</w:t>
      </w:r>
      <w:bookmarkEnd w:id="91"/>
      <w:bookmarkEnd w:id="92"/>
      <w:bookmarkEnd w:id="93"/>
      <w:bookmarkEnd w:id="94"/>
      <w:bookmarkEnd w:id="95"/>
      <w:bookmarkEnd w:id="96"/>
      <w:r>
        <w:rPr>
          <w:rFonts w:hint="eastAsia" w:ascii="宋体" w:hAnsi="宋体" w:cs="宋体"/>
          <w:b/>
          <w:szCs w:val="21"/>
        </w:rPr>
        <w:t>和保密义务</w:t>
      </w:r>
      <w:bookmarkEnd w:id="97"/>
      <w:bookmarkEnd w:id="98"/>
      <w:bookmarkEnd w:id="99"/>
      <w:bookmarkEnd w:id="100"/>
      <w:bookmarkEnd w:id="101"/>
    </w:p>
    <w:p w14:paraId="0FC709DA">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2.6.1 乙方有权依据合同约定和项目需要，向甲方了解有关情况，调阅有关资料等，甲方应予积极配合；</w:t>
      </w:r>
    </w:p>
    <w:p w14:paraId="68128E35">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2.6.2 乙方有义务妥善保管和保护由甲方提供的前款信息和资料等；</w:t>
      </w:r>
    </w:p>
    <w:p w14:paraId="5D9D1E29">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E2B2DA6">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102" w:name="_Toc19069"/>
      <w:bookmarkStart w:id="103" w:name="_Toc259093681"/>
      <w:bookmarkStart w:id="104" w:name="_Toc487900362"/>
      <w:bookmarkStart w:id="105" w:name="_Toc279701252"/>
      <w:r>
        <w:rPr>
          <w:rFonts w:hint="eastAsia" w:ascii="宋体" w:hAnsi="宋体" w:cs="宋体"/>
          <w:b/>
          <w:szCs w:val="21"/>
        </w:rPr>
        <w:t>2.7 质量保证</w:t>
      </w:r>
      <w:bookmarkEnd w:id="102"/>
    </w:p>
    <w:p w14:paraId="54EA256D">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2.7.1 乙方应建立和完善履行合同的内部质量保证体系，并提供相关内部规章制度给甲方，以便甲方进行监督检查；</w:t>
      </w:r>
    </w:p>
    <w:p w14:paraId="637B414A">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2.7.2 乙方应保证履行合同的人员数量和素质、软件和硬件设备的配置、场地、环境和设施等满足全面履行合同的要求，并应接受甲方的监督检查。</w:t>
      </w:r>
    </w:p>
    <w:p w14:paraId="2AFD8B18">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106" w:name="_Toc22267"/>
      <w:r>
        <w:rPr>
          <w:rFonts w:hint="eastAsia" w:ascii="宋体" w:hAnsi="宋体" w:cs="宋体"/>
          <w:b/>
          <w:szCs w:val="21"/>
        </w:rPr>
        <w:t>2.8 延迟</w:t>
      </w:r>
      <w:bookmarkEnd w:id="103"/>
      <w:bookmarkEnd w:id="104"/>
      <w:bookmarkEnd w:id="105"/>
      <w:r>
        <w:rPr>
          <w:rFonts w:hint="eastAsia" w:ascii="宋体" w:hAnsi="宋体" w:cs="宋体"/>
          <w:b/>
          <w:szCs w:val="21"/>
        </w:rPr>
        <w:t>履行</w:t>
      </w:r>
      <w:bookmarkEnd w:id="106"/>
    </w:p>
    <w:p w14:paraId="745EB316">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8D02537">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107" w:name="_Toc10611"/>
      <w:bookmarkStart w:id="108" w:name="_Toc487900364"/>
      <w:bookmarkStart w:id="109" w:name="_Toc259093683"/>
      <w:bookmarkStart w:id="110" w:name="_Toc279701254"/>
      <w:bookmarkStart w:id="111" w:name="_Ref467378121"/>
      <w:r>
        <w:rPr>
          <w:rFonts w:hint="eastAsia" w:ascii="宋体" w:hAnsi="宋体" w:cs="宋体"/>
          <w:b/>
          <w:szCs w:val="21"/>
        </w:rPr>
        <w:t>2.9 合同变更</w:t>
      </w:r>
      <w:bookmarkEnd w:id="107"/>
    </w:p>
    <w:p w14:paraId="25CF4CC9">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合同继续履行将损害国家利益和社会公共利益的，双方当事人应当以书面形式变更合同。有过错的一方应当承担赔偿责任，双方当事人都有过错的，各自承担相应的责任。</w:t>
      </w:r>
      <w:bookmarkStart w:id="112" w:name="_Toc279701259"/>
      <w:bookmarkStart w:id="113" w:name="_Toc487900369"/>
      <w:bookmarkStart w:id="114" w:name="_Toc259093688"/>
    </w:p>
    <w:p w14:paraId="1078B6F8">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115" w:name="_Toc10663"/>
      <w:bookmarkStart w:id="116" w:name="_Toc23368"/>
      <w:bookmarkStart w:id="117" w:name="_Toc26689"/>
      <w:bookmarkStart w:id="118" w:name="_Toc42"/>
      <w:bookmarkStart w:id="119" w:name="_Toc21830"/>
      <w:r>
        <w:rPr>
          <w:rFonts w:hint="eastAsia" w:ascii="宋体" w:hAnsi="宋体" w:cs="宋体"/>
          <w:b/>
          <w:szCs w:val="21"/>
        </w:rPr>
        <w:t>2.10 合同转让</w:t>
      </w:r>
      <w:bookmarkEnd w:id="112"/>
      <w:bookmarkEnd w:id="113"/>
      <w:bookmarkEnd w:id="114"/>
      <w:r>
        <w:rPr>
          <w:rFonts w:hint="eastAsia" w:ascii="宋体" w:hAnsi="宋体" w:cs="宋体"/>
          <w:b/>
          <w:szCs w:val="21"/>
        </w:rPr>
        <w:t>和分包</w:t>
      </w:r>
      <w:bookmarkEnd w:id="115"/>
      <w:bookmarkEnd w:id="116"/>
      <w:bookmarkEnd w:id="117"/>
      <w:bookmarkEnd w:id="118"/>
      <w:bookmarkEnd w:id="119"/>
    </w:p>
    <w:p w14:paraId="12E8B896">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本项目不得转让和分包。</w:t>
      </w:r>
    </w:p>
    <w:p w14:paraId="35E2CD99">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120" w:name="_Toc14371"/>
      <w:bookmarkStart w:id="121" w:name="_Toc32494"/>
      <w:bookmarkStart w:id="122" w:name="_Toc26633"/>
      <w:bookmarkStart w:id="123" w:name="_Toc4720"/>
      <w:bookmarkStart w:id="124" w:name="_Toc25571"/>
      <w:r>
        <w:rPr>
          <w:rFonts w:hint="eastAsia" w:ascii="宋体" w:hAnsi="宋体" w:cs="宋体"/>
          <w:b/>
          <w:szCs w:val="21"/>
        </w:rPr>
        <w:t>2.11 不可抗力</w:t>
      </w:r>
      <w:bookmarkEnd w:id="120"/>
      <w:bookmarkEnd w:id="121"/>
      <w:bookmarkEnd w:id="122"/>
      <w:bookmarkEnd w:id="123"/>
      <w:bookmarkEnd w:id="124"/>
    </w:p>
    <w:p w14:paraId="17F766D4">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2.11.1如果任何一方遭遇法律规定的不可抗力，致使合同履行受阻时，履行合同的期限应予延长，延长的期限应相当于不可抗力所影响的时间；</w:t>
      </w:r>
    </w:p>
    <w:p w14:paraId="5C68F486">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2.11.2 因不可抗力致使不能实现合同目的的，当事人可以解除合同；</w:t>
      </w:r>
    </w:p>
    <w:p w14:paraId="363D7D85">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2.11.3 因不可抗力致使合同有变更必要的，双方当事人应在</w:t>
      </w:r>
      <w:r>
        <w:rPr>
          <w:rFonts w:hint="eastAsia" w:ascii="宋体" w:hAnsi="宋体" w:cs="宋体"/>
          <w:b/>
          <w:i/>
          <w:szCs w:val="21"/>
          <w:u w:val="single"/>
        </w:rPr>
        <w:t>合同专用条款</w:t>
      </w:r>
      <w:r>
        <w:rPr>
          <w:rFonts w:hint="eastAsia" w:ascii="宋体" w:hAnsi="宋体" w:cs="宋体"/>
          <w:szCs w:val="21"/>
        </w:rPr>
        <w:t>约定时间内以书面形式变更合同；</w:t>
      </w:r>
    </w:p>
    <w:p w14:paraId="313D4FDE">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2.11.4受不可抗力影响的一方在不可抗力发生后，应在</w:t>
      </w:r>
      <w:r>
        <w:rPr>
          <w:rFonts w:hint="eastAsia" w:ascii="宋体" w:hAnsi="宋体" w:cs="宋体"/>
          <w:b/>
          <w:i/>
          <w:szCs w:val="21"/>
          <w:u w:val="single"/>
        </w:rPr>
        <w:t>合同专用条款</w:t>
      </w:r>
      <w:r>
        <w:rPr>
          <w:rFonts w:hint="eastAsia" w:ascii="宋体" w:hAnsi="宋体" w:cs="宋体"/>
          <w:szCs w:val="21"/>
        </w:rPr>
        <w:t>约定时间内以书面形式通知对方当事人，并在</w:t>
      </w:r>
      <w:r>
        <w:rPr>
          <w:rFonts w:hint="eastAsia" w:ascii="宋体" w:hAnsi="宋体" w:cs="宋体"/>
          <w:b/>
          <w:i/>
          <w:szCs w:val="21"/>
          <w:u w:val="single"/>
        </w:rPr>
        <w:t>合同专用条款</w:t>
      </w:r>
      <w:r>
        <w:rPr>
          <w:rFonts w:hint="eastAsia" w:ascii="宋体" w:hAnsi="宋体" w:cs="宋体"/>
          <w:szCs w:val="21"/>
        </w:rPr>
        <w:t>约定时间内，将有关部门出具的证明文件送达对方当事人。</w:t>
      </w:r>
    </w:p>
    <w:p w14:paraId="0B56A232">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2.11.5 “不可抗力”指不能预见、不能避免和不能克服的客观情况，主要包括以下几种情形：</w:t>
      </w:r>
    </w:p>
    <w:p w14:paraId="0B24786A">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①自然灾害，如台风、洪水、地震等；</w:t>
      </w:r>
    </w:p>
    <w:p w14:paraId="29EACE95">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②政府行为，如征收、征用等；</w:t>
      </w:r>
    </w:p>
    <w:p w14:paraId="0C1F1999">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③社会异常事件，如罢工、骚乱、疫情等。</w:t>
      </w:r>
    </w:p>
    <w:p w14:paraId="738848E8">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125" w:name="_Toc24465"/>
      <w:bookmarkStart w:id="126" w:name="_Toc23854"/>
      <w:bookmarkStart w:id="127" w:name="_Toc3638"/>
      <w:bookmarkStart w:id="128" w:name="_Toc487900365"/>
      <w:bookmarkStart w:id="129" w:name="_Toc25783"/>
      <w:bookmarkStart w:id="130" w:name="_Toc259093684"/>
      <w:bookmarkStart w:id="131" w:name="_Toc279701255"/>
      <w:bookmarkStart w:id="132" w:name="_Toc14115"/>
      <w:r>
        <w:rPr>
          <w:rFonts w:hint="eastAsia" w:ascii="宋体" w:hAnsi="宋体" w:cs="宋体"/>
          <w:b/>
          <w:szCs w:val="21"/>
        </w:rPr>
        <w:t>2.12 税费</w:t>
      </w:r>
      <w:bookmarkEnd w:id="125"/>
      <w:bookmarkEnd w:id="126"/>
      <w:bookmarkEnd w:id="127"/>
      <w:bookmarkEnd w:id="128"/>
      <w:bookmarkEnd w:id="129"/>
      <w:bookmarkEnd w:id="130"/>
      <w:bookmarkEnd w:id="131"/>
      <w:bookmarkEnd w:id="132"/>
    </w:p>
    <w:p w14:paraId="11E1DE72">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与合同有关的一切税费，均按照中华人民共和国法律的相关规定缴纳。</w:t>
      </w:r>
    </w:p>
    <w:p w14:paraId="1D9A4269">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133" w:name="_Toc14814"/>
      <w:bookmarkStart w:id="134" w:name="_Toc25525"/>
      <w:bookmarkStart w:id="135" w:name="_Toc279701258"/>
      <w:bookmarkStart w:id="136" w:name="_Toc7315"/>
      <w:bookmarkStart w:id="137" w:name="_Toc26883"/>
      <w:bookmarkStart w:id="138" w:name="_Toc259093687"/>
      <w:bookmarkStart w:id="139" w:name="_Toc30105"/>
      <w:bookmarkStart w:id="140" w:name="_Toc487900368"/>
      <w:r>
        <w:rPr>
          <w:rFonts w:hint="eastAsia" w:ascii="宋体" w:hAnsi="宋体" w:cs="宋体"/>
          <w:b/>
          <w:szCs w:val="21"/>
        </w:rPr>
        <w:t>2.13 乙方破产</w:t>
      </w:r>
      <w:bookmarkEnd w:id="133"/>
      <w:bookmarkEnd w:id="134"/>
      <w:bookmarkEnd w:id="135"/>
      <w:bookmarkEnd w:id="136"/>
      <w:bookmarkEnd w:id="137"/>
      <w:bookmarkEnd w:id="138"/>
      <w:bookmarkEnd w:id="139"/>
      <w:bookmarkEnd w:id="140"/>
    </w:p>
    <w:p w14:paraId="2A527C71">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540EBD8">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141" w:name="_Toc23323"/>
      <w:bookmarkStart w:id="142" w:name="_Toc1123"/>
      <w:bookmarkStart w:id="143" w:name="_Toc2016"/>
      <w:r>
        <w:rPr>
          <w:rFonts w:hint="eastAsia" w:ascii="宋体" w:hAnsi="宋体" w:cs="宋体"/>
          <w:b/>
          <w:szCs w:val="21"/>
        </w:rPr>
        <w:t>2.14 合同中止、终止</w:t>
      </w:r>
      <w:bookmarkEnd w:id="141"/>
      <w:bookmarkEnd w:id="142"/>
      <w:bookmarkEnd w:id="143"/>
    </w:p>
    <w:p w14:paraId="3CD8A5D0">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2.14.1 双方当事人不得擅自中止或者终止合同；</w:t>
      </w:r>
    </w:p>
    <w:p w14:paraId="2EDB3682">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2.14.2合同继续履行将损害国家利益和社会公共利益的，双方当事人应当中止或者终止合同。有过错的一方应当承担赔偿责任，双方当事人都有过错的，各自承担相应的责任。</w:t>
      </w:r>
    </w:p>
    <w:p w14:paraId="5B4FD0A9">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144" w:name="_Toc1969"/>
      <w:bookmarkStart w:id="145" w:name="_Toc14525"/>
      <w:bookmarkStart w:id="146" w:name="_Toc17363"/>
      <w:r>
        <w:rPr>
          <w:rFonts w:hint="eastAsia" w:ascii="宋体" w:hAnsi="宋体" w:cs="宋体"/>
          <w:b/>
          <w:szCs w:val="21"/>
        </w:rPr>
        <w:t>2.15 检验和验收</w:t>
      </w:r>
      <w:bookmarkEnd w:id="144"/>
      <w:bookmarkEnd w:id="145"/>
      <w:bookmarkEnd w:id="146"/>
    </w:p>
    <w:p w14:paraId="00FDF293">
      <w:pPr>
        <w:keepNext w:val="0"/>
        <w:keepLines w:val="0"/>
        <w:pageBreakBefore w:val="0"/>
        <w:tabs>
          <w:tab w:val="left" w:pos="360"/>
          <w:tab w:val="left" w:pos="540"/>
          <w:tab w:val="left" w:pos="1080"/>
        </w:tabs>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2.15.1 乙方按照</w:t>
      </w:r>
      <w:r>
        <w:rPr>
          <w:rFonts w:hint="eastAsia" w:ascii="宋体" w:hAnsi="宋体" w:cs="宋体"/>
          <w:b/>
          <w:i/>
          <w:szCs w:val="21"/>
          <w:u w:val="single"/>
        </w:rPr>
        <w:t>合同专用条款</w:t>
      </w:r>
      <w:r>
        <w:rPr>
          <w:rFonts w:hint="eastAsia" w:ascii="宋体" w:hAnsi="宋体" w:cs="宋体"/>
          <w:szCs w:val="21"/>
        </w:rPr>
        <w:t>的约定，定期提交服务报告，甲方按照</w:t>
      </w:r>
      <w:r>
        <w:rPr>
          <w:rFonts w:hint="eastAsia" w:ascii="宋体" w:hAnsi="宋体" w:cs="宋体"/>
          <w:b/>
          <w:i/>
          <w:szCs w:val="21"/>
          <w:u w:val="single"/>
        </w:rPr>
        <w:t>合同专用条款</w:t>
      </w:r>
      <w:r>
        <w:rPr>
          <w:rFonts w:hint="eastAsia" w:ascii="宋体" w:hAnsi="宋体" w:cs="宋体"/>
          <w:szCs w:val="21"/>
        </w:rPr>
        <w:t>的约定进行定期验收；</w:t>
      </w:r>
    </w:p>
    <w:p w14:paraId="1F0260F0">
      <w:pPr>
        <w:keepNext w:val="0"/>
        <w:keepLines w:val="0"/>
        <w:pageBreakBefore w:val="0"/>
        <w:tabs>
          <w:tab w:val="left" w:pos="360"/>
          <w:tab w:val="left" w:pos="540"/>
          <w:tab w:val="left" w:pos="1080"/>
        </w:tabs>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5871EA7">
      <w:pPr>
        <w:keepNext w:val="0"/>
        <w:keepLines w:val="0"/>
        <w:pageBreakBefore w:val="0"/>
        <w:tabs>
          <w:tab w:val="left" w:pos="360"/>
          <w:tab w:val="left" w:pos="540"/>
          <w:tab w:val="left" w:pos="1080"/>
        </w:tabs>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2.15.3 检验和验收标准、程序等具体内容以及前述验收书的效力详见</w:t>
      </w:r>
      <w:r>
        <w:rPr>
          <w:rFonts w:hint="eastAsia" w:ascii="宋体" w:hAnsi="宋体" w:cs="宋体"/>
          <w:b/>
          <w:i/>
          <w:szCs w:val="21"/>
          <w:u w:val="single"/>
        </w:rPr>
        <w:t>合同专用条款</w:t>
      </w:r>
      <w:r>
        <w:rPr>
          <w:rFonts w:hint="eastAsia" w:ascii="宋体" w:hAnsi="宋体" w:cs="宋体"/>
          <w:i/>
          <w:szCs w:val="21"/>
        </w:rPr>
        <w:t>。</w:t>
      </w:r>
    </w:p>
    <w:bookmarkEnd w:id="108"/>
    <w:bookmarkEnd w:id="109"/>
    <w:bookmarkEnd w:id="110"/>
    <w:bookmarkEnd w:id="111"/>
    <w:p w14:paraId="16BCB605">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147" w:name="_Toc487900371"/>
      <w:bookmarkStart w:id="148" w:name="_Toc259093690"/>
      <w:bookmarkStart w:id="149" w:name="_Toc279701261"/>
      <w:bookmarkStart w:id="150" w:name="_Toc25198"/>
      <w:bookmarkStart w:id="151" w:name="_Toc31892"/>
      <w:bookmarkStart w:id="152" w:name="_Toc9808"/>
      <w:bookmarkStart w:id="153" w:name="_Toc12666"/>
      <w:bookmarkStart w:id="154" w:name="_Toc2308"/>
      <w:r>
        <w:rPr>
          <w:rFonts w:hint="eastAsia" w:ascii="宋体" w:hAnsi="宋体" w:cs="宋体"/>
          <w:b/>
          <w:szCs w:val="21"/>
        </w:rPr>
        <w:t>2.16 通知</w:t>
      </w:r>
      <w:bookmarkEnd w:id="147"/>
      <w:bookmarkEnd w:id="148"/>
      <w:bookmarkEnd w:id="149"/>
      <w:r>
        <w:rPr>
          <w:rFonts w:hint="eastAsia" w:ascii="宋体" w:hAnsi="宋体" w:cs="宋体"/>
          <w:b/>
          <w:szCs w:val="21"/>
        </w:rPr>
        <w:t>和送达</w:t>
      </w:r>
      <w:bookmarkEnd w:id="150"/>
      <w:bookmarkEnd w:id="151"/>
      <w:bookmarkEnd w:id="152"/>
      <w:bookmarkEnd w:id="153"/>
      <w:bookmarkEnd w:id="154"/>
    </w:p>
    <w:p w14:paraId="0A8FB964">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bookmarkStart w:id="155" w:name="_Toc3135"/>
      <w:bookmarkStart w:id="156" w:name="_Toc6698"/>
      <w:bookmarkStart w:id="157" w:name="_Toc27674"/>
      <w:bookmarkStart w:id="158" w:name="_Toc18401"/>
      <w:bookmarkStart w:id="159" w:name="_Toc259093691"/>
      <w:bookmarkStart w:id="160" w:name="_Toc279701262"/>
      <w:bookmarkStart w:id="161" w:name="_Toc487900372"/>
      <w:r>
        <w:rPr>
          <w:rFonts w:hint="eastAsia" w:ascii="宋体" w:hAnsi="宋体" w:cs="宋体"/>
          <w:szCs w:val="21"/>
        </w:rPr>
        <w:t>2.16.1任何一方因履行合同而以合同第一部分尾部所列明的传真发出的所有通知、文件、材料，均视为已向对方当事人送达；任何一方变更上述送达方式或者地址的，应于</w:t>
      </w:r>
      <w:r>
        <w:rPr>
          <w:rFonts w:hint="eastAsia" w:ascii="宋体" w:hAnsi="宋体" w:cs="宋体"/>
          <w:szCs w:val="21"/>
          <w:u w:val="single"/>
        </w:rPr>
        <w:t>3</w:t>
      </w:r>
      <w:r>
        <w:rPr>
          <w:rFonts w:hint="eastAsia" w:ascii="宋体" w:hAnsi="宋体" w:cs="宋体"/>
          <w:szCs w:val="21"/>
        </w:rPr>
        <w:t>个工作日内书面通知对方当事人，在对方当事人收到有关变更通知之前，变更前的约定送达方式或者地址仍视为有效。</w:t>
      </w:r>
      <w:bookmarkEnd w:id="155"/>
      <w:bookmarkEnd w:id="156"/>
    </w:p>
    <w:p w14:paraId="40DFD9F5">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7"/>
      <w:bookmarkEnd w:id="158"/>
    </w:p>
    <w:bookmarkEnd w:id="159"/>
    <w:bookmarkEnd w:id="160"/>
    <w:bookmarkEnd w:id="161"/>
    <w:p w14:paraId="41349E14">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162" w:name="_Toc28906"/>
      <w:bookmarkStart w:id="163" w:name="_Toc487900373"/>
      <w:bookmarkStart w:id="164" w:name="_Toc5063"/>
      <w:bookmarkStart w:id="165" w:name="_Toc27644"/>
      <w:bookmarkStart w:id="166" w:name="_Toc12254"/>
      <w:bookmarkStart w:id="167" w:name="_Toc259093692"/>
      <w:bookmarkStart w:id="168" w:name="_Toc279701263"/>
      <w:bookmarkStart w:id="169" w:name="_Toc20808"/>
      <w:r>
        <w:rPr>
          <w:rFonts w:hint="eastAsia" w:ascii="宋体" w:hAnsi="宋体" w:cs="宋体"/>
          <w:b/>
          <w:szCs w:val="21"/>
        </w:rPr>
        <w:t>2.17 合同使用的文字和适用的法律</w:t>
      </w:r>
      <w:bookmarkEnd w:id="162"/>
      <w:bookmarkEnd w:id="163"/>
      <w:bookmarkEnd w:id="164"/>
      <w:bookmarkEnd w:id="165"/>
      <w:bookmarkEnd w:id="166"/>
      <w:bookmarkEnd w:id="167"/>
      <w:bookmarkEnd w:id="168"/>
      <w:bookmarkEnd w:id="169"/>
    </w:p>
    <w:p w14:paraId="6F9FAC6C">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2.17.1 合同使用汉语书就、变更和解释；</w:t>
      </w:r>
    </w:p>
    <w:p w14:paraId="5FC891A3">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2.17.2 合同适用中华人民共和国法律。</w:t>
      </w:r>
    </w:p>
    <w:p w14:paraId="58B7EB24">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szCs w:val="21"/>
        </w:rPr>
      </w:pPr>
      <w:bookmarkStart w:id="170" w:name="_Toc30096"/>
      <w:bookmarkStart w:id="171" w:name="_Toc279701264"/>
      <w:bookmarkStart w:id="172" w:name="_Toc27403"/>
      <w:bookmarkStart w:id="173" w:name="_Toc259093693"/>
      <w:bookmarkStart w:id="174" w:name="_Toc1492"/>
      <w:bookmarkStart w:id="175" w:name="_Toc27127"/>
      <w:bookmarkStart w:id="176" w:name="_Toc22266"/>
      <w:bookmarkStart w:id="177" w:name="_Toc487900374"/>
      <w:r>
        <w:rPr>
          <w:rFonts w:hint="eastAsia" w:ascii="宋体" w:hAnsi="宋体" w:cs="宋体"/>
          <w:b/>
          <w:szCs w:val="21"/>
        </w:rPr>
        <w:t>2.18 履约保证金</w:t>
      </w:r>
      <w:bookmarkEnd w:id="170"/>
      <w:bookmarkEnd w:id="171"/>
      <w:bookmarkEnd w:id="172"/>
      <w:bookmarkEnd w:id="173"/>
      <w:bookmarkEnd w:id="174"/>
      <w:bookmarkEnd w:id="175"/>
      <w:bookmarkEnd w:id="176"/>
    </w:p>
    <w:p w14:paraId="25086283">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2.18.1乙方应在中标公告发出后30日内与甲方签订合同并交纳人民币  （￥  ）作为履约保证金（履约保证金应当以转账形式提交）给甲方，履约保证金在合同服务期的规定存续期间不计息。履约保证金在甲方认为乙方在服务期内没有涉及甲方的应付而未付金额或违约行为，甲方在服务期满后或提前终止合同后（非任何一方违约造成）一个月内全额退还履约保证金。签订合同后，如乙方不按双方合同约定履约，给甲方造成严重损失的，则甲方没收其全部履约保证金，如乙方未能按合同约定及采购需求全面履行义务，给甲方造成严重损失的，则甲方有权从履约保证金中取得补偿或赔偿，履约保证金不足以赔偿损失的，按实际损失赔偿，同时不影响甲方要求乙方承担合同约定的超过履约保证金的违约责任的</w:t>
      </w:r>
      <w:r>
        <w:rPr>
          <w:rFonts w:hint="eastAsia" w:ascii="宋体" w:hAnsi="宋体" w:cs="宋体"/>
          <w:szCs w:val="21"/>
          <w:lang w:eastAsia="zh-CN"/>
        </w:rPr>
        <w:t>权利</w:t>
      </w:r>
      <w:r>
        <w:rPr>
          <w:rFonts w:hint="eastAsia" w:ascii="宋体" w:hAnsi="宋体" w:cs="宋体"/>
          <w:szCs w:val="21"/>
        </w:rPr>
        <w:t>。</w:t>
      </w:r>
    </w:p>
    <w:p w14:paraId="03C58FEA">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2.18.2甲方有权从履约保证金中扣除用于发生安全事故或安全隐患情况、修复乙方损坏甲方的设备、设施、场地或因乙方违约（履约不力）而导致损失的金额和违约金，且乙方应在接到扣除履约保证金通知后一周内补足差额，保证服务期间履约保证金的完整。</w:t>
      </w:r>
    </w:p>
    <w:bookmarkEnd w:id="177"/>
    <w:p w14:paraId="5C7CE5BB">
      <w:pPr>
        <w:keepNext w:val="0"/>
        <w:keepLines w:val="0"/>
        <w:pageBreakBefore w:val="0"/>
        <w:kinsoku/>
        <w:wordWrap/>
        <w:overflowPunct/>
        <w:topLinePunct w:val="0"/>
        <w:autoSpaceDE w:val="0"/>
        <w:autoSpaceDN w:val="0"/>
        <w:bidi w:val="0"/>
        <w:spacing w:line="560" w:lineRule="exact"/>
        <w:ind w:firstLine="422" w:firstLineChars="200"/>
        <w:outlineLvl w:val="9"/>
        <w:rPr>
          <w:rFonts w:ascii="宋体" w:hAnsi="宋体" w:cs="宋体"/>
          <w:b/>
          <w:bCs/>
          <w:szCs w:val="21"/>
        </w:rPr>
      </w:pPr>
      <w:r>
        <w:rPr>
          <w:rFonts w:hint="eastAsia" w:ascii="宋体" w:hAnsi="宋体" w:cs="宋体"/>
          <w:b/>
          <w:bCs/>
          <w:szCs w:val="21"/>
        </w:rPr>
        <w:t>2.19合同份数</w:t>
      </w:r>
    </w:p>
    <w:p w14:paraId="498372D7">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合同份数按</w:t>
      </w:r>
      <w:r>
        <w:rPr>
          <w:rFonts w:hint="eastAsia" w:ascii="宋体" w:hAnsi="宋体" w:cs="宋体"/>
          <w:b/>
          <w:i/>
          <w:szCs w:val="21"/>
          <w:u w:val="single"/>
        </w:rPr>
        <w:t>合同专用条款</w:t>
      </w:r>
      <w:r>
        <w:rPr>
          <w:rFonts w:hint="eastAsia" w:ascii="宋体" w:hAnsi="宋体" w:cs="宋体"/>
          <w:szCs w:val="21"/>
        </w:rPr>
        <w:t>规定，每份均具有同等法律效力。合同经双方法定代表人或授权代理人签字并加盖单位公章后生效。相关</w:t>
      </w:r>
      <w:r>
        <w:rPr>
          <w:rFonts w:hint="eastAsia" w:ascii="宋体" w:hAnsi="宋体" w:cs="宋体"/>
          <w:szCs w:val="21"/>
          <w:lang w:eastAsia="zh-CN"/>
        </w:rPr>
        <w:t>采购</w:t>
      </w:r>
      <w:r>
        <w:rPr>
          <w:rFonts w:hint="eastAsia" w:ascii="宋体" w:hAnsi="宋体" w:cs="宋体"/>
          <w:szCs w:val="21"/>
        </w:rPr>
        <w:t>文件、</w:t>
      </w:r>
      <w:r>
        <w:rPr>
          <w:rFonts w:hint="eastAsia" w:ascii="宋体" w:hAnsi="宋体" w:cs="宋体"/>
          <w:szCs w:val="21"/>
          <w:lang w:eastAsia="zh-CN"/>
        </w:rPr>
        <w:t>响应</w:t>
      </w:r>
      <w:r>
        <w:rPr>
          <w:rFonts w:hint="eastAsia" w:ascii="宋体" w:hAnsi="宋体" w:cs="宋体"/>
          <w:szCs w:val="21"/>
        </w:rPr>
        <w:t>文件及乙方的有关承诺作为本合同的组成部分，用以补充或解释本合同。</w:t>
      </w:r>
    </w:p>
    <w:p w14:paraId="501D9D26">
      <w:pPr>
        <w:pStyle w:val="19"/>
        <w:keepNext w:val="0"/>
        <w:keepLines w:val="0"/>
        <w:pageBreakBefore w:val="0"/>
        <w:kinsoku/>
        <w:wordWrap/>
        <w:overflowPunct/>
        <w:topLinePunct w:val="0"/>
        <w:autoSpaceDE w:val="0"/>
        <w:autoSpaceDN w:val="0"/>
        <w:bidi w:val="0"/>
        <w:spacing w:line="560" w:lineRule="exact"/>
        <w:ind w:firstLine="482"/>
        <w:jc w:val="center"/>
        <w:outlineLvl w:val="9"/>
        <w:rPr>
          <w:rFonts w:ascii="宋体" w:hAnsi="宋体" w:cs="宋体"/>
          <w:b/>
          <w:sz w:val="21"/>
          <w:szCs w:val="21"/>
        </w:rPr>
      </w:pPr>
      <w:bookmarkStart w:id="178" w:name="_Toc331685784"/>
      <w:r>
        <w:rPr>
          <w:rFonts w:hint="eastAsia" w:ascii="宋体" w:hAnsi="宋体" w:cs="宋体"/>
          <w:b/>
          <w:sz w:val="21"/>
          <w:szCs w:val="21"/>
        </w:rPr>
        <w:t>第三部分  合同专用条款</w:t>
      </w:r>
      <w:bookmarkEnd w:id="178"/>
    </w:p>
    <w:p w14:paraId="701EB867">
      <w:pPr>
        <w:keepNext w:val="0"/>
        <w:keepLines w:val="0"/>
        <w:pageBreakBefore w:val="0"/>
        <w:kinsoku/>
        <w:wordWrap/>
        <w:overflowPunct/>
        <w:topLinePunct w:val="0"/>
        <w:autoSpaceDE w:val="0"/>
        <w:autoSpaceDN w:val="0"/>
        <w:bidi w:val="0"/>
        <w:spacing w:line="560" w:lineRule="exact"/>
        <w:ind w:firstLine="420" w:firstLineChars="200"/>
        <w:outlineLvl w:val="9"/>
        <w:rPr>
          <w:rFonts w:ascii="宋体" w:hAnsi="宋体" w:cs="宋体"/>
          <w:szCs w:val="21"/>
        </w:rPr>
      </w:pPr>
      <w:r>
        <w:rPr>
          <w:rFonts w:hint="eastAsia" w:ascii="宋体" w:hAnsi="宋体" w:cs="宋体"/>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W w:w="1063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6"/>
        <w:gridCol w:w="8809"/>
      </w:tblGrid>
      <w:tr w14:paraId="6EEA6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1036" w:type="dxa"/>
            <w:tcBorders>
              <w:left w:val="single" w:color="auto" w:sz="4" w:space="0"/>
            </w:tcBorders>
            <w:vAlign w:val="center"/>
          </w:tcPr>
          <w:p w14:paraId="1AAF27F7">
            <w:pPr>
              <w:keepNext w:val="0"/>
              <w:keepLines w:val="0"/>
              <w:pageBreakBefore w:val="0"/>
              <w:kinsoku/>
              <w:wordWrap/>
              <w:overflowPunct/>
              <w:topLinePunct w:val="0"/>
              <w:autoSpaceDE w:val="0"/>
              <w:autoSpaceDN w:val="0"/>
              <w:bidi w:val="0"/>
              <w:spacing w:line="560" w:lineRule="exact"/>
              <w:jc w:val="center"/>
              <w:outlineLvl w:val="9"/>
              <w:rPr>
                <w:rFonts w:ascii="宋体" w:hAnsi="宋体" w:cs="宋体"/>
                <w:b/>
                <w:szCs w:val="21"/>
              </w:rPr>
            </w:pPr>
            <w:r>
              <w:rPr>
                <w:rFonts w:hint="eastAsia" w:ascii="宋体" w:hAnsi="宋体" w:cs="宋体"/>
                <w:b/>
                <w:szCs w:val="21"/>
              </w:rPr>
              <w:t>条款号</w:t>
            </w:r>
          </w:p>
        </w:tc>
        <w:tc>
          <w:tcPr>
            <w:tcW w:w="8809" w:type="dxa"/>
            <w:vAlign w:val="center"/>
          </w:tcPr>
          <w:p w14:paraId="31906006">
            <w:pPr>
              <w:keepNext w:val="0"/>
              <w:keepLines w:val="0"/>
              <w:pageBreakBefore w:val="0"/>
              <w:kinsoku/>
              <w:wordWrap/>
              <w:overflowPunct/>
              <w:topLinePunct w:val="0"/>
              <w:autoSpaceDE w:val="0"/>
              <w:autoSpaceDN w:val="0"/>
              <w:bidi w:val="0"/>
              <w:spacing w:line="560" w:lineRule="exact"/>
              <w:jc w:val="center"/>
              <w:outlineLvl w:val="9"/>
              <w:rPr>
                <w:rFonts w:ascii="宋体" w:hAnsi="宋体" w:cs="宋体"/>
                <w:b/>
                <w:szCs w:val="21"/>
              </w:rPr>
            </w:pPr>
            <w:r>
              <w:rPr>
                <w:rFonts w:hint="eastAsia" w:ascii="宋体" w:hAnsi="宋体" w:cs="宋体"/>
                <w:b/>
                <w:szCs w:val="21"/>
              </w:rPr>
              <w:t>约定内容</w:t>
            </w:r>
          </w:p>
        </w:tc>
      </w:tr>
      <w:tr w14:paraId="254DD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36" w:type="dxa"/>
            <w:tcBorders>
              <w:left w:val="single" w:color="auto" w:sz="4" w:space="0"/>
            </w:tcBorders>
            <w:vAlign w:val="center"/>
          </w:tcPr>
          <w:p w14:paraId="5221E11B">
            <w:pPr>
              <w:keepNext w:val="0"/>
              <w:keepLines w:val="0"/>
              <w:pageBreakBefore w:val="0"/>
              <w:kinsoku/>
              <w:wordWrap/>
              <w:overflowPunct/>
              <w:topLinePunct w:val="0"/>
              <w:autoSpaceDE w:val="0"/>
              <w:autoSpaceDN w:val="0"/>
              <w:bidi w:val="0"/>
              <w:spacing w:line="560" w:lineRule="exact"/>
              <w:outlineLvl w:val="9"/>
              <w:rPr>
                <w:rFonts w:ascii="宋体" w:hAnsi="宋体" w:cs="宋体"/>
                <w:szCs w:val="21"/>
              </w:rPr>
            </w:pPr>
            <w:r>
              <w:rPr>
                <w:rFonts w:hint="eastAsia" w:ascii="宋体" w:hAnsi="宋体" w:cs="宋体"/>
                <w:szCs w:val="21"/>
              </w:rPr>
              <w:t>1.4.3</w:t>
            </w:r>
          </w:p>
        </w:tc>
        <w:tc>
          <w:tcPr>
            <w:tcW w:w="8809" w:type="dxa"/>
            <w:vAlign w:val="center"/>
          </w:tcPr>
          <w:p w14:paraId="48DCBB6F">
            <w:pPr>
              <w:keepNext w:val="0"/>
              <w:keepLines w:val="0"/>
              <w:pageBreakBefore w:val="0"/>
              <w:widowControl/>
              <w:numPr>
                <w:ilvl w:val="0"/>
                <w:numId w:val="1"/>
              </w:numPr>
              <w:kinsoku/>
              <w:wordWrap/>
              <w:overflowPunct/>
              <w:topLinePunct w:val="0"/>
              <w:autoSpaceDE w:val="0"/>
              <w:autoSpaceDN w:val="0"/>
              <w:bidi w:val="0"/>
              <w:spacing w:line="360" w:lineRule="auto"/>
              <w:ind w:left="0" w:firstLine="420" w:firstLineChars="200"/>
              <w:jc w:val="left"/>
              <w:textAlignment w:val="bottom"/>
              <w:outlineLvl w:val="9"/>
              <w:rPr>
                <w:rFonts w:ascii="宋体" w:hAnsi="宋体" w:cs="宋体"/>
                <w:szCs w:val="21"/>
              </w:rPr>
            </w:pPr>
            <w:r>
              <w:rPr>
                <w:rFonts w:hint="eastAsia" w:ascii="宋体" w:hAnsi="宋体" w:cs="宋体"/>
                <w:sz w:val="21"/>
                <w:szCs w:val="21"/>
                <w:lang w:val="en-US" w:eastAsia="zh-CN"/>
              </w:rPr>
              <w:t>项目</w:t>
            </w:r>
            <w:r>
              <w:rPr>
                <w:rFonts w:hint="eastAsia" w:ascii="宋体" w:hAnsi="宋体" w:cs="宋体"/>
                <w:sz w:val="21"/>
                <w:szCs w:val="21"/>
              </w:rPr>
              <w:t>验收合格后，在提供其他符合</w:t>
            </w:r>
            <w:r>
              <w:rPr>
                <w:rFonts w:hint="eastAsia" w:ascii="宋体" w:hAnsi="宋体" w:cs="宋体"/>
                <w:sz w:val="21"/>
                <w:szCs w:val="21"/>
                <w:lang w:val="en-US" w:eastAsia="zh-CN"/>
              </w:rPr>
              <w:t>甲</w:t>
            </w:r>
            <w:r>
              <w:rPr>
                <w:rFonts w:hint="eastAsia" w:ascii="宋体" w:hAnsi="宋体" w:cs="宋体"/>
                <w:sz w:val="21"/>
                <w:szCs w:val="21"/>
              </w:rPr>
              <w:t>方付款流程所需材料的前提下，甲方在</w:t>
            </w:r>
            <w:r>
              <w:rPr>
                <w:rFonts w:hint="eastAsia" w:ascii="宋体" w:hAnsi="宋体" w:cs="宋体"/>
                <w:sz w:val="21"/>
                <w:szCs w:val="21"/>
                <w:lang w:val="en-US" w:eastAsia="zh-CN"/>
              </w:rPr>
              <w:t>10</w:t>
            </w:r>
            <w:r>
              <w:rPr>
                <w:rFonts w:hint="eastAsia" w:ascii="宋体" w:hAnsi="宋体" w:cs="宋体"/>
                <w:sz w:val="21"/>
                <w:szCs w:val="21"/>
              </w:rPr>
              <w:t>个工作日内一次性支付</w:t>
            </w:r>
            <w:r>
              <w:rPr>
                <w:rFonts w:hint="eastAsia" w:ascii="宋体" w:hAnsi="宋体" w:cs="宋体"/>
                <w:sz w:val="21"/>
                <w:szCs w:val="21"/>
                <w:lang w:val="en-US" w:eastAsia="zh-CN"/>
              </w:rPr>
              <w:t>合同总价</w:t>
            </w:r>
            <w:r>
              <w:rPr>
                <w:rFonts w:hint="eastAsia" w:ascii="宋体" w:hAnsi="宋体" w:cs="宋体"/>
                <w:szCs w:val="21"/>
              </w:rPr>
              <w:t>。</w:t>
            </w:r>
          </w:p>
          <w:p w14:paraId="353F03BF">
            <w:pPr>
              <w:keepNext w:val="0"/>
              <w:keepLines w:val="0"/>
              <w:pageBreakBefore w:val="0"/>
              <w:widowControl/>
              <w:numPr>
                <w:ilvl w:val="0"/>
                <w:numId w:val="1"/>
              </w:numPr>
              <w:kinsoku/>
              <w:wordWrap/>
              <w:overflowPunct/>
              <w:topLinePunct w:val="0"/>
              <w:autoSpaceDE w:val="0"/>
              <w:autoSpaceDN w:val="0"/>
              <w:bidi w:val="0"/>
              <w:spacing w:line="360" w:lineRule="auto"/>
              <w:ind w:left="0" w:firstLine="420" w:firstLineChars="200"/>
              <w:jc w:val="left"/>
              <w:textAlignment w:val="bottom"/>
              <w:outlineLvl w:val="9"/>
              <w:rPr>
                <w:rFonts w:ascii="宋体" w:hAnsi="宋体" w:cs="宋体"/>
                <w:szCs w:val="21"/>
              </w:rPr>
            </w:pPr>
            <w:r>
              <w:rPr>
                <w:rFonts w:hint="eastAsia" w:ascii="宋体" w:hAnsi="宋体" w:cs="宋体"/>
                <w:szCs w:val="21"/>
              </w:rPr>
              <w:t>甲方在向乙方支付费用前，乙方应向甲方提供相应金额的正规发票，相关的一切税费均由乙方承担。</w:t>
            </w:r>
          </w:p>
        </w:tc>
      </w:tr>
      <w:tr w14:paraId="733FD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36" w:type="dxa"/>
            <w:tcBorders>
              <w:left w:val="single" w:color="auto" w:sz="4" w:space="0"/>
            </w:tcBorders>
            <w:vAlign w:val="center"/>
          </w:tcPr>
          <w:p w14:paraId="2F8C969D">
            <w:pPr>
              <w:keepNext w:val="0"/>
              <w:keepLines w:val="0"/>
              <w:pageBreakBefore w:val="0"/>
              <w:kinsoku/>
              <w:wordWrap/>
              <w:overflowPunct/>
              <w:topLinePunct w:val="0"/>
              <w:autoSpaceDE w:val="0"/>
              <w:autoSpaceDN w:val="0"/>
              <w:bidi w:val="0"/>
              <w:spacing w:line="560" w:lineRule="exact"/>
              <w:outlineLvl w:val="9"/>
              <w:rPr>
                <w:rFonts w:ascii="宋体" w:hAnsi="宋体" w:cs="宋体"/>
                <w:szCs w:val="21"/>
              </w:rPr>
            </w:pPr>
            <w:r>
              <w:rPr>
                <w:rFonts w:hint="eastAsia" w:ascii="宋体" w:hAnsi="宋体" w:cs="宋体"/>
                <w:szCs w:val="21"/>
              </w:rPr>
              <w:t>1.5.1</w:t>
            </w:r>
          </w:p>
        </w:tc>
        <w:tc>
          <w:tcPr>
            <w:tcW w:w="8809" w:type="dxa"/>
            <w:vAlign w:val="center"/>
          </w:tcPr>
          <w:p w14:paraId="13E34137">
            <w:pPr>
              <w:keepNext w:val="0"/>
              <w:keepLines w:val="0"/>
              <w:pageBreakBefore w:val="0"/>
              <w:widowControl/>
              <w:numPr>
                <w:ilvl w:val="0"/>
                <w:numId w:val="0"/>
              </w:numPr>
              <w:kinsoku/>
              <w:wordWrap/>
              <w:overflowPunct/>
              <w:topLinePunct w:val="0"/>
              <w:autoSpaceDE w:val="0"/>
              <w:autoSpaceDN w:val="0"/>
              <w:bidi w:val="0"/>
              <w:snapToGrid w:val="0"/>
              <w:spacing w:line="360" w:lineRule="auto"/>
              <w:ind w:firstLine="420" w:firstLineChars="200"/>
              <w:jc w:val="left"/>
              <w:textAlignment w:val="bottom"/>
              <w:outlineLvl w:val="9"/>
              <w:rPr>
                <w:rFonts w:ascii="宋体" w:hAnsi="宋体" w:cs="宋体"/>
                <w:szCs w:val="21"/>
              </w:rPr>
            </w:pPr>
            <w:r>
              <w:rPr>
                <w:rFonts w:hint="eastAsia" w:ascii="宋体" w:hAnsi="宋体" w:cs="宋体"/>
                <w:szCs w:val="21"/>
              </w:rPr>
              <w:t>合同期限为</w:t>
            </w:r>
            <w:r>
              <w:rPr>
                <w:rFonts w:hint="eastAsia"/>
                <w:color w:val="383838"/>
                <w:szCs w:val="24"/>
                <w:highlight w:val="none"/>
                <w:shd w:val="clear" w:color="auto" w:fill="FFFFFF"/>
              </w:rPr>
              <w:t>自合同签订之日起</w:t>
            </w:r>
            <w:r>
              <w:rPr>
                <w:rFonts w:hint="eastAsia"/>
                <w:color w:val="383838"/>
                <w:szCs w:val="24"/>
                <w:highlight w:val="none"/>
                <w:shd w:val="clear" w:color="auto" w:fill="FFFFFF"/>
                <w:lang w:val="en-US" w:eastAsia="zh-CN"/>
              </w:rPr>
              <w:t>2个月内</w:t>
            </w:r>
            <w:r>
              <w:rPr>
                <w:rFonts w:hint="eastAsia" w:ascii="宋体" w:hAnsi="宋体" w:cs="宋体"/>
                <w:szCs w:val="21"/>
              </w:rPr>
              <w:t>。合同期内任何一方不得擅自终止或停止本合同（除法律规定的不可抗力情形、双方协商一致情形、甲方“独立学院转设”政策影响外），否则违约一方应承担所造成的一切损失。</w:t>
            </w:r>
          </w:p>
        </w:tc>
      </w:tr>
      <w:tr w14:paraId="06CA5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36" w:type="dxa"/>
            <w:tcBorders>
              <w:left w:val="single" w:color="auto" w:sz="4" w:space="0"/>
            </w:tcBorders>
            <w:vAlign w:val="center"/>
          </w:tcPr>
          <w:p w14:paraId="7BD2BFBB">
            <w:pPr>
              <w:keepNext w:val="0"/>
              <w:keepLines w:val="0"/>
              <w:pageBreakBefore w:val="0"/>
              <w:kinsoku/>
              <w:wordWrap/>
              <w:overflowPunct/>
              <w:topLinePunct w:val="0"/>
              <w:autoSpaceDE w:val="0"/>
              <w:autoSpaceDN w:val="0"/>
              <w:bidi w:val="0"/>
              <w:spacing w:line="560" w:lineRule="exact"/>
              <w:jc w:val="left"/>
              <w:outlineLvl w:val="9"/>
              <w:rPr>
                <w:rFonts w:ascii="宋体" w:hAnsi="宋体" w:cs="宋体"/>
                <w:szCs w:val="21"/>
              </w:rPr>
            </w:pPr>
            <w:r>
              <w:rPr>
                <w:rFonts w:hint="eastAsia" w:ascii="宋体" w:hAnsi="宋体" w:cs="宋体"/>
                <w:szCs w:val="21"/>
              </w:rPr>
              <w:t>1.5.4</w:t>
            </w:r>
          </w:p>
        </w:tc>
        <w:tc>
          <w:tcPr>
            <w:tcW w:w="8809" w:type="dxa"/>
            <w:vAlign w:val="center"/>
          </w:tcPr>
          <w:p w14:paraId="5052A6AE">
            <w:pPr>
              <w:pStyle w:val="3"/>
              <w:keepNext w:val="0"/>
              <w:keepLines w:val="0"/>
              <w:pageBreakBefore w:val="0"/>
              <w:numPr>
                <w:ilvl w:val="0"/>
                <w:numId w:val="0"/>
              </w:numPr>
              <w:kinsoku/>
              <w:wordWrap/>
              <w:overflowPunct/>
              <w:topLinePunct w:val="0"/>
              <w:autoSpaceDE w:val="0"/>
              <w:autoSpaceDN w:val="0"/>
              <w:bidi w:val="0"/>
              <w:spacing w:line="360" w:lineRule="auto"/>
              <w:ind w:left="425" w:leftChars="0"/>
              <w:jc w:val="left"/>
              <w:outlineLvl w:val="9"/>
              <w:rPr>
                <w:rFonts w:hint="default" w:ascii="宋体" w:hAnsi="宋体" w:eastAsia="宋体" w:cs="宋体"/>
                <w:szCs w:val="21"/>
                <w:lang w:val="en-US" w:eastAsia="zh-CN"/>
              </w:rPr>
            </w:pPr>
            <w:r>
              <w:rPr>
                <w:rFonts w:hint="eastAsia" w:cs="宋体"/>
                <w:szCs w:val="21"/>
                <w:lang w:val="en-US" w:eastAsia="zh-CN"/>
              </w:rPr>
              <w:t>按采购文件、响应文件、合同条款执行。</w:t>
            </w:r>
          </w:p>
        </w:tc>
      </w:tr>
      <w:tr w14:paraId="76A9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36" w:type="dxa"/>
            <w:tcBorders>
              <w:left w:val="single" w:color="auto" w:sz="4" w:space="0"/>
            </w:tcBorders>
            <w:vAlign w:val="center"/>
          </w:tcPr>
          <w:p w14:paraId="7B04148E">
            <w:pPr>
              <w:keepNext w:val="0"/>
              <w:keepLines w:val="0"/>
              <w:pageBreakBefore w:val="0"/>
              <w:kinsoku/>
              <w:wordWrap/>
              <w:overflowPunct/>
              <w:topLinePunct w:val="0"/>
              <w:autoSpaceDE w:val="0"/>
              <w:autoSpaceDN w:val="0"/>
              <w:bidi w:val="0"/>
              <w:spacing w:line="560" w:lineRule="exact"/>
              <w:jc w:val="left"/>
              <w:outlineLvl w:val="9"/>
              <w:rPr>
                <w:rFonts w:ascii="宋体" w:hAnsi="宋体" w:cs="宋体"/>
                <w:szCs w:val="21"/>
              </w:rPr>
            </w:pPr>
            <w:r>
              <w:rPr>
                <w:rFonts w:hint="eastAsia" w:ascii="宋体" w:hAnsi="宋体" w:cs="宋体"/>
                <w:szCs w:val="21"/>
              </w:rPr>
              <w:t>1.6.5</w:t>
            </w:r>
          </w:p>
        </w:tc>
        <w:tc>
          <w:tcPr>
            <w:tcW w:w="8809" w:type="dxa"/>
            <w:vAlign w:val="center"/>
          </w:tcPr>
          <w:p w14:paraId="0BF5A6CB">
            <w:pPr>
              <w:pStyle w:val="3"/>
              <w:keepNext w:val="0"/>
              <w:keepLines w:val="0"/>
              <w:pageBreakBefore w:val="0"/>
              <w:numPr>
                <w:ilvl w:val="0"/>
                <w:numId w:val="2"/>
              </w:numPr>
              <w:kinsoku/>
              <w:wordWrap/>
              <w:overflowPunct/>
              <w:topLinePunct w:val="0"/>
              <w:autoSpaceDE w:val="0"/>
              <w:autoSpaceDN w:val="0"/>
              <w:bidi w:val="0"/>
              <w:spacing w:line="360" w:lineRule="auto"/>
              <w:ind w:left="0" w:firstLine="425" w:firstLineChars="0"/>
              <w:jc w:val="left"/>
              <w:outlineLvl w:val="9"/>
              <w:rPr>
                <w:rFonts w:hint="eastAsia" w:ascii="宋体" w:hAnsi="宋体" w:cs="宋体"/>
                <w:szCs w:val="21"/>
              </w:rPr>
            </w:pPr>
            <w:r>
              <w:rPr>
                <w:rFonts w:hint="eastAsia" w:hAnsi="宋体" w:cs="宋体"/>
                <w:color w:val="auto"/>
                <w:sz w:val="21"/>
                <w:szCs w:val="21"/>
                <w:lang w:val="en-US" w:eastAsia="zh-CN"/>
              </w:rPr>
              <w:t>乙方应严格按照双方确定的时间安排执行本项目，具体时间安排以甲方通知为准。</w:t>
            </w:r>
          </w:p>
          <w:p w14:paraId="04013821">
            <w:pPr>
              <w:pStyle w:val="3"/>
              <w:keepNext w:val="0"/>
              <w:keepLines w:val="0"/>
              <w:pageBreakBefore w:val="0"/>
              <w:numPr>
                <w:ilvl w:val="0"/>
                <w:numId w:val="2"/>
              </w:numPr>
              <w:kinsoku/>
              <w:wordWrap/>
              <w:overflowPunct/>
              <w:topLinePunct w:val="0"/>
              <w:autoSpaceDE w:val="0"/>
              <w:autoSpaceDN w:val="0"/>
              <w:bidi w:val="0"/>
              <w:spacing w:line="360" w:lineRule="auto"/>
              <w:ind w:left="0" w:firstLine="425" w:firstLineChars="0"/>
              <w:jc w:val="left"/>
              <w:outlineLvl w:val="9"/>
              <w:rPr>
                <w:rFonts w:hint="eastAsia" w:ascii="宋体" w:hAnsi="宋体" w:cs="宋体"/>
                <w:szCs w:val="21"/>
              </w:rPr>
            </w:pPr>
            <w:r>
              <w:rPr>
                <w:rFonts w:hint="eastAsia" w:ascii="宋体" w:hAnsi="宋体" w:cs="宋体"/>
                <w:szCs w:val="21"/>
              </w:rPr>
              <w:t>乙方对服务范围内的各项服务工作，其工作时间和工作标准要求必须满足甲方要求，若乙方不能达到要求，甲方将书面通知乙方整改，在规定时间内仍未按要求整改，甲方将负责完成这一工作，所需费用全部由乙方承担。如因乙方服务不善，造成严重失误，乙方应向甲方赔偿受损部分及承担因赔偿或名誉恢复所产生的一切费用和责任且甲方有权解除合同。</w:t>
            </w:r>
          </w:p>
          <w:p w14:paraId="07EB2CF9">
            <w:pPr>
              <w:pStyle w:val="3"/>
              <w:keepNext w:val="0"/>
              <w:keepLines w:val="0"/>
              <w:pageBreakBefore w:val="0"/>
              <w:numPr>
                <w:ilvl w:val="0"/>
                <w:numId w:val="2"/>
              </w:numPr>
              <w:kinsoku/>
              <w:wordWrap/>
              <w:overflowPunct/>
              <w:topLinePunct w:val="0"/>
              <w:autoSpaceDE w:val="0"/>
              <w:autoSpaceDN w:val="0"/>
              <w:bidi w:val="0"/>
              <w:spacing w:line="360" w:lineRule="auto"/>
              <w:ind w:left="0" w:firstLine="425" w:firstLineChars="0"/>
              <w:jc w:val="left"/>
              <w:outlineLvl w:val="9"/>
              <w:rPr>
                <w:rFonts w:hint="eastAsia" w:ascii="宋体" w:hAnsi="宋体" w:cs="宋体"/>
                <w:szCs w:val="21"/>
              </w:rPr>
            </w:pPr>
            <w:r>
              <w:rPr>
                <w:rFonts w:hint="eastAsia" w:hAnsi="宋体" w:cs="宋体"/>
                <w:color w:val="auto"/>
                <w:sz w:val="21"/>
                <w:szCs w:val="21"/>
                <w:lang w:eastAsia="zh-CN"/>
              </w:rPr>
              <w:t>合同期间，</w:t>
            </w:r>
            <w:r>
              <w:rPr>
                <w:rFonts w:hint="eastAsia" w:hAnsi="宋体" w:cs="宋体"/>
                <w:color w:val="auto"/>
                <w:sz w:val="21"/>
                <w:szCs w:val="21"/>
                <w:lang w:val="en-US" w:eastAsia="zh-CN"/>
              </w:rPr>
              <w:t>乙方</w:t>
            </w:r>
            <w:r>
              <w:rPr>
                <w:rFonts w:hint="eastAsia" w:hAnsi="宋体" w:cs="宋体"/>
                <w:color w:val="auto"/>
                <w:sz w:val="21"/>
                <w:szCs w:val="21"/>
                <w:lang w:eastAsia="zh-CN"/>
              </w:rPr>
              <w:t>必须严格遵守其在响应文件中所作出的人员安排</w:t>
            </w:r>
            <w:r>
              <w:rPr>
                <w:rFonts w:hint="eastAsia" w:hAnsi="宋体" w:cs="宋体"/>
                <w:color w:val="auto"/>
                <w:sz w:val="21"/>
                <w:szCs w:val="21"/>
                <w:lang w:val="en-US" w:eastAsia="zh-CN"/>
              </w:rPr>
              <w:t>及服务</w:t>
            </w:r>
            <w:r>
              <w:rPr>
                <w:rFonts w:hint="eastAsia" w:hAnsi="宋体" w:cs="宋体"/>
                <w:color w:val="auto"/>
                <w:sz w:val="21"/>
                <w:szCs w:val="21"/>
                <w:lang w:eastAsia="zh-CN"/>
              </w:rPr>
              <w:t>承诺。</w:t>
            </w:r>
            <w:r>
              <w:rPr>
                <w:rFonts w:hint="eastAsia" w:hAnsi="宋体" w:cs="宋体"/>
                <w:color w:val="auto"/>
                <w:sz w:val="21"/>
                <w:szCs w:val="21"/>
                <w:lang w:val="en-US" w:eastAsia="zh-CN"/>
              </w:rPr>
              <w:t>乙方</w:t>
            </w:r>
            <w:r>
              <w:rPr>
                <w:rFonts w:hint="eastAsia" w:hAnsi="宋体" w:cs="宋体"/>
                <w:color w:val="auto"/>
                <w:sz w:val="21"/>
                <w:szCs w:val="21"/>
                <w:lang w:eastAsia="zh-CN"/>
              </w:rPr>
              <w:t>保证，所有在响应文件中提及的拟投入人员均将参与本项目的执行和履行过程，确保项目的顺利进行。如有变更，</w:t>
            </w:r>
            <w:r>
              <w:rPr>
                <w:rFonts w:hint="eastAsia" w:hAnsi="宋体" w:cs="宋体"/>
                <w:color w:val="auto"/>
                <w:sz w:val="21"/>
                <w:szCs w:val="21"/>
                <w:lang w:val="en-US" w:eastAsia="zh-CN"/>
              </w:rPr>
              <w:t>乙方</w:t>
            </w:r>
            <w:r>
              <w:rPr>
                <w:rFonts w:hint="eastAsia" w:hAnsi="宋体" w:cs="宋体"/>
                <w:color w:val="auto"/>
                <w:sz w:val="21"/>
                <w:szCs w:val="21"/>
                <w:lang w:eastAsia="zh-CN"/>
              </w:rPr>
              <w:t>需及时通知</w:t>
            </w:r>
            <w:r>
              <w:rPr>
                <w:rFonts w:hint="eastAsia" w:hAnsi="宋体" w:cs="宋体"/>
                <w:color w:val="auto"/>
                <w:sz w:val="21"/>
                <w:szCs w:val="21"/>
                <w:lang w:val="en-US" w:eastAsia="zh-CN"/>
              </w:rPr>
              <w:t>甲方</w:t>
            </w:r>
            <w:r>
              <w:rPr>
                <w:rFonts w:hint="eastAsia" w:hAnsi="宋体" w:cs="宋体"/>
                <w:color w:val="auto"/>
                <w:sz w:val="21"/>
                <w:szCs w:val="21"/>
                <w:lang w:eastAsia="zh-CN"/>
              </w:rPr>
              <w:t>并获得</w:t>
            </w:r>
            <w:r>
              <w:rPr>
                <w:rFonts w:hint="eastAsia" w:cs="宋体"/>
                <w:color w:val="auto"/>
                <w:sz w:val="21"/>
                <w:szCs w:val="21"/>
                <w:lang w:eastAsia="zh-CN"/>
              </w:rPr>
              <w:t>甲方</w:t>
            </w:r>
            <w:r>
              <w:rPr>
                <w:rFonts w:hint="eastAsia" w:hAnsi="宋体" w:cs="宋体"/>
                <w:color w:val="auto"/>
                <w:sz w:val="21"/>
                <w:szCs w:val="21"/>
                <w:lang w:eastAsia="zh-CN"/>
              </w:rPr>
              <w:t>书面同意。</w:t>
            </w:r>
            <w:r>
              <w:rPr>
                <w:rFonts w:hint="eastAsia" w:hAnsi="宋体" w:cs="宋体"/>
                <w:color w:val="auto"/>
                <w:sz w:val="21"/>
                <w:szCs w:val="21"/>
                <w:lang w:val="en-US" w:eastAsia="zh-CN"/>
              </w:rPr>
              <w:t>乙方</w:t>
            </w:r>
            <w:r>
              <w:rPr>
                <w:rFonts w:hint="eastAsia" w:hAnsi="宋体" w:cs="宋体"/>
                <w:color w:val="auto"/>
                <w:sz w:val="21"/>
                <w:szCs w:val="21"/>
                <w:lang w:eastAsia="zh-CN"/>
              </w:rPr>
              <w:t>对其人员的任何变更或不符合响应文件中的承诺行为负全责，可能导致对</w:t>
            </w:r>
            <w:r>
              <w:rPr>
                <w:rFonts w:hint="eastAsia" w:hAnsi="宋体" w:cs="宋体"/>
                <w:color w:val="auto"/>
                <w:sz w:val="21"/>
                <w:szCs w:val="21"/>
                <w:lang w:val="en-US" w:eastAsia="zh-CN"/>
              </w:rPr>
              <w:t>乙方</w:t>
            </w:r>
            <w:r>
              <w:rPr>
                <w:rFonts w:hint="eastAsia" w:hAnsi="宋体" w:cs="宋体"/>
                <w:color w:val="auto"/>
                <w:sz w:val="21"/>
                <w:szCs w:val="21"/>
                <w:lang w:eastAsia="zh-CN"/>
              </w:rPr>
              <w:t>采取合同规定的相应处罚措施。</w:t>
            </w:r>
          </w:p>
          <w:p w14:paraId="38C41715">
            <w:pPr>
              <w:pStyle w:val="3"/>
              <w:keepNext w:val="0"/>
              <w:keepLines w:val="0"/>
              <w:pageBreakBefore w:val="0"/>
              <w:numPr>
                <w:ilvl w:val="0"/>
                <w:numId w:val="2"/>
              </w:numPr>
              <w:kinsoku/>
              <w:wordWrap/>
              <w:overflowPunct/>
              <w:topLinePunct w:val="0"/>
              <w:autoSpaceDE w:val="0"/>
              <w:autoSpaceDN w:val="0"/>
              <w:bidi w:val="0"/>
              <w:spacing w:line="360" w:lineRule="auto"/>
              <w:ind w:left="0" w:firstLine="425" w:firstLineChars="0"/>
              <w:jc w:val="left"/>
              <w:outlineLvl w:val="9"/>
              <w:rPr>
                <w:rFonts w:hint="eastAsia" w:ascii="宋体" w:hAnsi="宋体" w:cs="宋体"/>
                <w:szCs w:val="21"/>
              </w:rPr>
            </w:pPr>
            <w:r>
              <w:rPr>
                <w:rFonts w:hint="eastAsia" w:ascii="宋体" w:hAnsi="宋体" w:cs="宋体"/>
                <w:szCs w:val="21"/>
              </w:rPr>
              <w:t>保密条款</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本协议所有文档及本协议下所有项目所接触的双方资料，未经对方授权代表书面许可，不得向与协议无关的其他方泄漏任何技术文件或与协议有关的数据，双方须严守资料中所涉秘密、妥善保管，不得遗失、转借、复印</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）任何一方发现另一方的保密事项已经泄露或可能泄露时，应当立即采取补救措施，并及时通知另一方</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）甲乙双方对其在合作过程中接触到或者知悉的、由其他方提供的资料、客户信息、技术秘密和商业秘密等负有永久保密义务。任何一方造成的泄失密事件，须承担有关法律责任，并赔偿相应经济损失</w:t>
            </w:r>
            <w:r>
              <w:rPr>
                <w:rFonts w:hint="eastAsia" w:ascii="宋体" w:hAnsi="宋体" w:cs="宋体"/>
                <w:szCs w:val="21"/>
              </w:rPr>
              <w:t>。</w:t>
            </w:r>
          </w:p>
          <w:p w14:paraId="1A2EE566">
            <w:pPr>
              <w:pStyle w:val="3"/>
              <w:keepNext w:val="0"/>
              <w:keepLines w:val="0"/>
              <w:pageBreakBefore w:val="0"/>
              <w:numPr>
                <w:ilvl w:val="0"/>
                <w:numId w:val="2"/>
              </w:numPr>
              <w:kinsoku/>
              <w:wordWrap/>
              <w:overflowPunct/>
              <w:topLinePunct w:val="0"/>
              <w:autoSpaceDE w:val="0"/>
              <w:autoSpaceDN w:val="0"/>
              <w:bidi w:val="0"/>
              <w:spacing w:line="360" w:lineRule="auto"/>
              <w:ind w:left="0" w:firstLine="425" w:firstLineChars="0"/>
              <w:jc w:val="left"/>
              <w:outlineLvl w:val="9"/>
              <w:rPr>
                <w:rFonts w:hint="eastAsia" w:ascii="宋体" w:hAnsi="宋体" w:cs="宋体"/>
                <w:szCs w:val="21"/>
              </w:rPr>
            </w:pPr>
            <w:r>
              <w:rPr>
                <w:rFonts w:hint="eastAsia" w:ascii="宋体" w:hAnsi="宋体" w:cs="宋体"/>
                <w:szCs w:val="21"/>
              </w:rPr>
              <w:t>乙方必须确保为甲方提供优质、高效的专业服务，并根据甲方要求改进服务质量。乙方须自觉接受有关部门的监督与检查，并积极参加甲方认为有助提高甲方形象的宣传活动。</w:t>
            </w:r>
          </w:p>
          <w:p w14:paraId="1683E05C">
            <w:pPr>
              <w:pStyle w:val="3"/>
              <w:keepNext w:val="0"/>
              <w:keepLines w:val="0"/>
              <w:pageBreakBefore w:val="0"/>
              <w:numPr>
                <w:ilvl w:val="0"/>
                <w:numId w:val="2"/>
              </w:numPr>
              <w:kinsoku/>
              <w:wordWrap/>
              <w:overflowPunct/>
              <w:topLinePunct w:val="0"/>
              <w:autoSpaceDE w:val="0"/>
              <w:autoSpaceDN w:val="0"/>
              <w:bidi w:val="0"/>
              <w:spacing w:line="360" w:lineRule="auto"/>
              <w:ind w:left="0" w:firstLine="425" w:firstLineChars="0"/>
              <w:jc w:val="left"/>
              <w:outlineLvl w:val="9"/>
              <w:rPr>
                <w:rFonts w:hint="eastAsia" w:eastAsia="宋体" w:cs="宋体"/>
                <w:sz w:val="21"/>
                <w:szCs w:val="21"/>
                <w:lang w:eastAsia="zh-CN"/>
              </w:rPr>
            </w:pPr>
            <w:r>
              <w:rPr>
                <w:rFonts w:hint="eastAsia" w:ascii="宋体" w:hAnsi="宋体" w:cs="宋体"/>
                <w:szCs w:val="21"/>
                <w:lang w:eastAsia="zh-CN"/>
              </w:rPr>
              <w:t>采购</w:t>
            </w:r>
            <w:r>
              <w:rPr>
                <w:rFonts w:hint="eastAsia" w:ascii="宋体" w:hAnsi="宋体" w:cs="宋体"/>
                <w:szCs w:val="21"/>
              </w:rPr>
              <w:t>文件中所标注的各项需求及要求，乙方均响应。</w:t>
            </w:r>
          </w:p>
          <w:p w14:paraId="04BFCCDD">
            <w:pPr>
              <w:pStyle w:val="3"/>
              <w:keepNext w:val="0"/>
              <w:keepLines w:val="0"/>
              <w:pageBreakBefore w:val="0"/>
              <w:numPr>
                <w:ilvl w:val="0"/>
                <w:numId w:val="2"/>
              </w:numPr>
              <w:kinsoku/>
              <w:wordWrap/>
              <w:overflowPunct/>
              <w:topLinePunct w:val="0"/>
              <w:autoSpaceDE w:val="0"/>
              <w:autoSpaceDN w:val="0"/>
              <w:bidi w:val="0"/>
              <w:spacing w:line="360" w:lineRule="auto"/>
              <w:ind w:left="0" w:firstLine="425" w:firstLineChars="0"/>
              <w:jc w:val="left"/>
              <w:outlineLvl w:val="9"/>
              <w:rPr>
                <w:rFonts w:hint="eastAsia" w:eastAsia="宋体" w:cs="宋体"/>
                <w:sz w:val="21"/>
                <w:szCs w:val="21"/>
                <w:lang w:eastAsia="zh-CN"/>
              </w:rPr>
            </w:pPr>
            <w:r>
              <w:rPr>
                <w:rFonts w:hint="eastAsia" w:ascii="宋体" w:hAnsi="宋体" w:cs="宋体"/>
                <w:szCs w:val="21"/>
              </w:rPr>
              <w:t>甲乙双方应自觉履行</w:t>
            </w:r>
            <w:r>
              <w:rPr>
                <w:rFonts w:hint="eastAsia" w:ascii="宋体" w:hAnsi="宋体" w:cs="宋体"/>
                <w:szCs w:val="21"/>
                <w:lang w:eastAsia="zh-CN"/>
              </w:rPr>
              <w:t>采购</w:t>
            </w:r>
            <w:r>
              <w:rPr>
                <w:rFonts w:hint="eastAsia" w:ascii="宋体" w:hAnsi="宋体" w:cs="宋体"/>
                <w:szCs w:val="21"/>
              </w:rPr>
              <w:t>文件中的有关于</w:t>
            </w:r>
            <w:r>
              <w:rPr>
                <w:rFonts w:hint="eastAsia" w:cs="宋体"/>
                <w:szCs w:val="21"/>
                <w:lang w:eastAsia="zh-CN"/>
              </w:rPr>
              <w:t>甲方</w:t>
            </w:r>
            <w:r>
              <w:rPr>
                <w:rFonts w:hint="eastAsia" w:ascii="宋体" w:hAnsi="宋体" w:cs="宋体"/>
                <w:szCs w:val="21"/>
              </w:rPr>
              <w:t>、中标人的</w:t>
            </w:r>
            <w:r>
              <w:rPr>
                <w:rFonts w:hint="eastAsia" w:ascii="宋体" w:hAnsi="宋体" w:cs="宋体"/>
                <w:szCs w:val="21"/>
                <w:lang w:eastAsia="zh-CN"/>
              </w:rPr>
              <w:t>权利</w:t>
            </w:r>
            <w:r>
              <w:rPr>
                <w:rFonts w:hint="eastAsia" w:ascii="宋体" w:hAnsi="宋体" w:cs="宋体"/>
                <w:szCs w:val="21"/>
              </w:rPr>
              <w:t>与义务等条款乙方须按照</w:t>
            </w:r>
            <w:r>
              <w:rPr>
                <w:rFonts w:hint="eastAsia" w:ascii="宋体" w:hAnsi="宋体" w:cs="宋体"/>
                <w:szCs w:val="21"/>
                <w:lang w:eastAsia="zh-CN"/>
              </w:rPr>
              <w:t>采购</w:t>
            </w:r>
            <w:r>
              <w:rPr>
                <w:rFonts w:hint="eastAsia" w:ascii="宋体" w:hAnsi="宋体" w:cs="宋体"/>
                <w:szCs w:val="21"/>
              </w:rPr>
              <w:t>文件需求、</w:t>
            </w:r>
            <w:r>
              <w:rPr>
                <w:rFonts w:hint="eastAsia" w:ascii="宋体" w:hAnsi="宋体" w:cs="宋体"/>
                <w:szCs w:val="21"/>
                <w:lang w:eastAsia="zh-CN"/>
              </w:rPr>
              <w:t>响应</w:t>
            </w:r>
            <w:r>
              <w:rPr>
                <w:rFonts w:hint="eastAsia" w:ascii="宋体" w:hAnsi="宋体" w:cs="宋体"/>
                <w:szCs w:val="21"/>
              </w:rPr>
              <w:t>文件承诺提供相关服务</w:t>
            </w:r>
            <w:r>
              <w:rPr>
                <w:rFonts w:hint="eastAsia" w:ascii="宋体" w:hAnsi="宋体" w:cs="宋体"/>
                <w:bCs/>
                <w:szCs w:val="21"/>
              </w:rPr>
              <w:t>。</w:t>
            </w:r>
          </w:p>
        </w:tc>
      </w:tr>
      <w:tr w14:paraId="1F950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36" w:type="dxa"/>
            <w:tcBorders>
              <w:left w:val="single" w:color="auto" w:sz="4" w:space="0"/>
            </w:tcBorders>
            <w:vAlign w:val="center"/>
          </w:tcPr>
          <w:p w14:paraId="015457DC">
            <w:pPr>
              <w:keepNext w:val="0"/>
              <w:keepLines w:val="0"/>
              <w:pageBreakBefore w:val="0"/>
              <w:kinsoku/>
              <w:wordWrap/>
              <w:overflowPunct/>
              <w:topLinePunct w:val="0"/>
              <w:autoSpaceDE w:val="0"/>
              <w:autoSpaceDN w:val="0"/>
              <w:bidi w:val="0"/>
              <w:spacing w:line="560" w:lineRule="exact"/>
              <w:jc w:val="left"/>
              <w:outlineLvl w:val="9"/>
              <w:rPr>
                <w:rFonts w:ascii="宋体" w:hAnsi="宋体" w:cs="宋体"/>
                <w:szCs w:val="21"/>
              </w:rPr>
            </w:pPr>
            <w:r>
              <w:rPr>
                <w:rFonts w:hint="eastAsia" w:ascii="宋体" w:hAnsi="宋体" w:cs="宋体"/>
                <w:szCs w:val="21"/>
              </w:rPr>
              <w:t>2.3.2</w:t>
            </w:r>
          </w:p>
        </w:tc>
        <w:tc>
          <w:tcPr>
            <w:tcW w:w="8809" w:type="dxa"/>
            <w:vAlign w:val="center"/>
          </w:tcPr>
          <w:p w14:paraId="155205F8">
            <w:pPr>
              <w:keepNext w:val="0"/>
              <w:keepLines w:val="0"/>
              <w:pageBreakBefore w:val="0"/>
              <w:kinsoku/>
              <w:wordWrap/>
              <w:overflowPunct/>
              <w:topLinePunct w:val="0"/>
              <w:autoSpaceDE w:val="0"/>
              <w:autoSpaceDN w:val="0"/>
              <w:bidi w:val="0"/>
              <w:spacing w:line="360" w:lineRule="auto"/>
              <w:ind w:firstLine="420" w:firstLineChars="200"/>
              <w:jc w:val="left"/>
              <w:outlineLvl w:val="9"/>
              <w:rPr>
                <w:rFonts w:ascii="宋体" w:hAnsi="宋体" w:cs="宋体"/>
                <w:szCs w:val="21"/>
              </w:rPr>
            </w:pPr>
            <w:r>
              <w:rPr>
                <w:rFonts w:hint="eastAsia" w:cs="宋体"/>
                <w:color w:val="auto"/>
                <w:kern w:val="0"/>
                <w:sz w:val="21"/>
                <w:szCs w:val="21"/>
                <w:highlight w:val="none"/>
                <w:u w:val="none" w:color="000000"/>
                <w:lang w:val="en-US" w:eastAsia="zh-CN"/>
              </w:rPr>
              <w:t>乙方</w:t>
            </w:r>
            <w:r>
              <w:rPr>
                <w:rFonts w:hint="eastAsia" w:ascii="宋体" w:hAnsi="宋体" w:eastAsia="宋体" w:cs="宋体"/>
                <w:color w:val="auto"/>
                <w:kern w:val="0"/>
                <w:sz w:val="21"/>
                <w:szCs w:val="21"/>
                <w:highlight w:val="none"/>
                <w:u w:val="none" w:color="000000"/>
                <w:lang w:val="en-US" w:eastAsia="zh-CN"/>
              </w:rPr>
              <w:t>需保证所提供产品具有合法的版权或使用权，本项目采购的产品，如在本项目范围内使用过程中出现版权或使用权纠纷，应由</w:t>
            </w:r>
            <w:r>
              <w:rPr>
                <w:rFonts w:hint="eastAsia" w:cs="宋体"/>
                <w:color w:val="auto"/>
                <w:kern w:val="0"/>
                <w:sz w:val="21"/>
                <w:szCs w:val="21"/>
                <w:highlight w:val="none"/>
                <w:u w:val="none" w:color="000000"/>
                <w:lang w:val="en-US" w:eastAsia="zh-CN"/>
              </w:rPr>
              <w:t>乙方</w:t>
            </w:r>
            <w:r>
              <w:rPr>
                <w:rFonts w:hint="eastAsia" w:ascii="宋体" w:hAnsi="宋体" w:eastAsia="宋体" w:cs="宋体"/>
                <w:color w:val="auto"/>
                <w:kern w:val="0"/>
                <w:sz w:val="21"/>
                <w:szCs w:val="21"/>
                <w:highlight w:val="none"/>
                <w:u w:val="none" w:color="000000"/>
                <w:lang w:val="en-US" w:eastAsia="zh-CN"/>
              </w:rPr>
              <w:t>负责，</w:t>
            </w:r>
            <w:r>
              <w:rPr>
                <w:rFonts w:hint="eastAsia" w:cs="宋体"/>
                <w:color w:val="auto"/>
                <w:kern w:val="0"/>
                <w:sz w:val="21"/>
                <w:szCs w:val="21"/>
                <w:highlight w:val="none"/>
                <w:u w:val="none" w:color="000000"/>
                <w:lang w:val="en-US" w:eastAsia="zh-CN"/>
              </w:rPr>
              <w:t>甲方</w:t>
            </w:r>
            <w:r>
              <w:rPr>
                <w:rFonts w:hint="eastAsia" w:ascii="宋体" w:hAnsi="宋体" w:eastAsia="宋体" w:cs="宋体"/>
                <w:color w:val="auto"/>
                <w:kern w:val="0"/>
                <w:sz w:val="21"/>
                <w:szCs w:val="21"/>
                <w:highlight w:val="none"/>
                <w:u w:val="none" w:color="000000"/>
                <w:lang w:val="en-US" w:eastAsia="zh-CN"/>
              </w:rPr>
              <w:t>不承担任何责任。</w:t>
            </w:r>
            <w:r>
              <w:rPr>
                <w:rFonts w:hint="eastAsia" w:cs="宋体"/>
                <w:color w:val="auto"/>
                <w:kern w:val="0"/>
                <w:sz w:val="21"/>
                <w:szCs w:val="21"/>
                <w:highlight w:val="none"/>
                <w:u w:val="none" w:color="000000"/>
                <w:lang w:val="en-US" w:eastAsia="zh-CN"/>
              </w:rPr>
              <w:t>乙方</w:t>
            </w:r>
            <w:r>
              <w:rPr>
                <w:rFonts w:hint="eastAsia" w:ascii="宋体" w:hAnsi="宋体" w:eastAsia="宋体" w:cs="宋体"/>
                <w:color w:val="auto"/>
                <w:kern w:val="0"/>
                <w:sz w:val="21"/>
                <w:szCs w:val="21"/>
                <w:highlight w:val="none"/>
                <w:u w:val="none" w:color="000000"/>
                <w:lang w:val="en-US" w:eastAsia="zh-CN"/>
              </w:rPr>
              <w:t>保证拥有所有素材的合法使用权，并承担由此产生的任何知识产权纠纷责任</w:t>
            </w:r>
            <w:r>
              <w:rPr>
                <w:rFonts w:hint="eastAsia" w:ascii="宋体" w:hAnsi="宋体" w:eastAsia="宋体" w:cs="宋体"/>
                <w:color w:val="auto"/>
                <w:sz w:val="21"/>
                <w:szCs w:val="21"/>
                <w:highlight w:val="none"/>
                <w:lang w:val="en-US"/>
              </w:rPr>
              <w:t>。</w:t>
            </w:r>
          </w:p>
        </w:tc>
      </w:tr>
      <w:tr w14:paraId="4C38D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36" w:type="dxa"/>
            <w:tcBorders>
              <w:top w:val="single" w:color="auto" w:sz="6" w:space="0"/>
              <w:left w:val="single" w:color="auto" w:sz="4" w:space="0"/>
              <w:bottom w:val="single" w:color="auto" w:sz="6" w:space="0"/>
              <w:right w:val="single" w:color="auto" w:sz="6" w:space="0"/>
            </w:tcBorders>
            <w:vAlign w:val="center"/>
          </w:tcPr>
          <w:p w14:paraId="27958483">
            <w:pPr>
              <w:spacing w:line="560" w:lineRule="exact"/>
              <w:jc w:val="left"/>
              <w:rPr>
                <w:rFonts w:ascii="宋体" w:hAnsi="宋体" w:cs="宋体"/>
                <w:szCs w:val="21"/>
              </w:rPr>
            </w:pPr>
            <w:r>
              <w:rPr>
                <w:rFonts w:hint="eastAsia" w:ascii="宋体" w:hAnsi="宋体" w:cs="宋体"/>
                <w:szCs w:val="21"/>
              </w:rPr>
              <w:t>2.11.3</w:t>
            </w:r>
          </w:p>
        </w:tc>
        <w:tc>
          <w:tcPr>
            <w:tcW w:w="8809" w:type="dxa"/>
            <w:tcBorders>
              <w:top w:val="single" w:color="auto" w:sz="6" w:space="0"/>
              <w:left w:val="single" w:color="auto" w:sz="6" w:space="0"/>
              <w:bottom w:val="single" w:color="auto" w:sz="6" w:space="0"/>
              <w:right w:val="single" w:color="auto" w:sz="6" w:space="0"/>
            </w:tcBorders>
            <w:vAlign w:val="center"/>
          </w:tcPr>
          <w:p w14:paraId="61582ACD">
            <w:pPr>
              <w:spacing w:line="560" w:lineRule="exact"/>
              <w:ind w:firstLine="420" w:firstLineChars="200"/>
              <w:jc w:val="left"/>
              <w:rPr>
                <w:rFonts w:hint="eastAsia" w:ascii="宋体" w:hAnsi="宋体" w:eastAsia="宋体" w:cs="宋体"/>
                <w:szCs w:val="21"/>
                <w:lang w:eastAsia="zh-CN"/>
              </w:rPr>
            </w:pPr>
            <w:r>
              <w:rPr>
                <w:rFonts w:hint="eastAsia" w:ascii="宋体" w:hAnsi="宋体" w:cs="宋体"/>
                <w:szCs w:val="21"/>
              </w:rPr>
              <w:t>因不可抗力致使合同有变更必要的，双方当事人应在</w:t>
            </w:r>
            <w:r>
              <w:rPr>
                <w:rFonts w:hint="eastAsia" w:ascii="宋体" w:hAnsi="宋体" w:cs="宋体"/>
                <w:kern w:val="0"/>
                <w:szCs w:val="21"/>
                <w:u w:val="single"/>
                <w:lang w:val="zh-CN"/>
              </w:rPr>
              <w:t>10个工作日内</w:t>
            </w:r>
            <w:r>
              <w:rPr>
                <w:rFonts w:hint="eastAsia" w:ascii="宋体" w:hAnsi="宋体" w:cs="宋体"/>
                <w:szCs w:val="21"/>
              </w:rPr>
              <w:t>以书面形式变更合同</w:t>
            </w:r>
            <w:r>
              <w:rPr>
                <w:rFonts w:hint="eastAsia" w:ascii="宋体" w:hAnsi="宋体" w:cs="宋体"/>
                <w:szCs w:val="21"/>
                <w:lang w:eastAsia="zh-CN"/>
              </w:rPr>
              <w:t>。</w:t>
            </w:r>
          </w:p>
        </w:tc>
      </w:tr>
      <w:tr w14:paraId="3D919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36" w:type="dxa"/>
            <w:tcBorders>
              <w:top w:val="single" w:color="auto" w:sz="6" w:space="0"/>
              <w:left w:val="single" w:color="auto" w:sz="4" w:space="0"/>
              <w:bottom w:val="single" w:color="auto" w:sz="6" w:space="0"/>
              <w:right w:val="single" w:color="auto" w:sz="6" w:space="0"/>
            </w:tcBorders>
            <w:vAlign w:val="center"/>
          </w:tcPr>
          <w:p w14:paraId="20BEA779">
            <w:pPr>
              <w:spacing w:line="560" w:lineRule="exact"/>
              <w:rPr>
                <w:rFonts w:ascii="宋体" w:hAnsi="宋体" w:cs="宋体"/>
                <w:szCs w:val="21"/>
              </w:rPr>
            </w:pPr>
            <w:r>
              <w:rPr>
                <w:rFonts w:hint="eastAsia" w:ascii="宋体" w:hAnsi="宋体" w:cs="宋体"/>
                <w:szCs w:val="21"/>
              </w:rPr>
              <w:t>2.11.4</w:t>
            </w:r>
          </w:p>
        </w:tc>
        <w:tc>
          <w:tcPr>
            <w:tcW w:w="8809" w:type="dxa"/>
            <w:tcBorders>
              <w:top w:val="single" w:color="auto" w:sz="6" w:space="0"/>
              <w:left w:val="single" w:color="auto" w:sz="6" w:space="0"/>
              <w:bottom w:val="single" w:color="auto" w:sz="6" w:space="0"/>
              <w:right w:val="single" w:color="auto" w:sz="6" w:space="0"/>
            </w:tcBorders>
            <w:vAlign w:val="center"/>
          </w:tcPr>
          <w:p w14:paraId="3A24F06E">
            <w:pPr>
              <w:spacing w:line="560" w:lineRule="exact"/>
              <w:ind w:firstLine="420" w:firstLineChars="200"/>
              <w:jc w:val="left"/>
              <w:rPr>
                <w:rFonts w:ascii="宋体" w:hAnsi="宋体" w:cs="宋体"/>
                <w:szCs w:val="21"/>
              </w:rPr>
            </w:pPr>
            <w:r>
              <w:rPr>
                <w:rFonts w:hint="eastAsia" w:ascii="宋体" w:hAnsi="宋体" w:cs="宋体"/>
                <w:szCs w:val="21"/>
              </w:rPr>
              <w:t>受不可抗力影响的一方在不可抗力发生后，应在</w:t>
            </w:r>
            <w:r>
              <w:rPr>
                <w:rFonts w:hint="eastAsia" w:ascii="宋体" w:hAnsi="宋体" w:cs="宋体"/>
                <w:kern w:val="0"/>
                <w:szCs w:val="21"/>
                <w:u w:val="single"/>
                <w:lang w:val="zh-CN"/>
              </w:rPr>
              <w:t>10个工作日</w:t>
            </w:r>
            <w:r>
              <w:rPr>
                <w:rFonts w:hint="eastAsia" w:ascii="宋体" w:hAnsi="宋体" w:cs="宋体"/>
                <w:szCs w:val="21"/>
                <w:u w:val="single"/>
              </w:rPr>
              <w:t>内</w:t>
            </w:r>
            <w:r>
              <w:rPr>
                <w:rFonts w:hint="eastAsia" w:ascii="宋体" w:hAnsi="宋体" w:cs="宋体"/>
                <w:szCs w:val="21"/>
              </w:rPr>
              <w:t>以书面形式通知对方当事人，并同步将有关部门出具的证明文件送达对方当事人。</w:t>
            </w:r>
          </w:p>
        </w:tc>
      </w:tr>
      <w:tr w14:paraId="27D38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36" w:type="dxa"/>
            <w:tcBorders>
              <w:top w:val="single" w:color="auto" w:sz="6" w:space="0"/>
              <w:left w:val="single" w:color="auto" w:sz="4" w:space="0"/>
              <w:bottom w:val="single" w:color="auto" w:sz="6" w:space="0"/>
              <w:right w:val="single" w:color="auto" w:sz="6" w:space="0"/>
            </w:tcBorders>
            <w:vAlign w:val="center"/>
          </w:tcPr>
          <w:p w14:paraId="7D608ACA">
            <w:pPr>
              <w:spacing w:line="560" w:lineRule="exact"/>
              <w:rPr>
                <w:rFonts w:ascii="宋体" w:hAnsi="宋体" w:cs="宋体"/>
                <w:szCs w:val="21"/>
              </w:rPr>
            </w:pPr>
            <w:r>
              <w:rPr>
                <w:rFonts w:hint="eastAsia" w:ascii="宋体" w:hAnsi="宋体" w:cs="宋体"/>
                <w:szCs w:val="21"/>
              </w:rPr>
              <w:t>2.15.1</w:t>
            </w:r>
          </w:p>
        </w:tc>
        <w:tc>
          <w:tcPr>
            <w:tcW w:w="8809" w:type="dxa"/>
            <w:tcBorders>
              <w:top w:val="single" w:color="auto" w:sz="6" w:space="0"/>
              <w:left w:val="single" w:color="auto" w:sz="6" w:space="0"/>
              <w:bottom w:val="single" w:color="auto" w:sz="6" w:space="0"/>
              <w:right w:val="single" w:color="auto" w:sz="6" w:space="0"/>
            </w:tcBorders>
            <w:vAlign w:val="center"/>
          </w:tcPr>
          <w:p w14:paraId="54B787E8">
            <w:pPr>
              <w:tabs>
                <w:tab w:val="left" w:pos="360"/>
                <w:tab w:val="left" w:pos="540"/>
                <w:tab w:val="left" w:pos="1080"/>
              </w:tabs>
              <w:spacing w:line="560" w:lineRule="exact"/>
              <w:ind w:firstLine="420" w:firstLineChars="200"/>
              <w:jc w:val="left"/>
              <w:rPr>
                <w:rFonts w:hint="eastAsia" w:ascii="宋体" w:hAnsi="宋体" w:eastAsia="宋体" w:cs="宋体"/>
                <w:szCs w:val="21"/>
                <w:lang w:eastAsia="zh-CN"/>
              </w:rPr>
            </w:pPr>
            <w:r>
              <w:rPr>
                <w:rFonts w:hint="eastAsia" w:ascii="宋体" w:hAnsi="宋体" w:cs="宋体"/>
                <w:szCs w:val="21"/>
              </w:rPr>
              <w:t>乙方按照</w:t>
            </w:r>
            <w:r>
              <w:rPr>
                <w:rFonts w:hint="eastAsia" w:cs="宋体"/>
                <w:b/>
                <w:i/>
                <w:szCs w:val="21"/>
                <w:u w:val="single"/>
                <w:lang w:val="en-US" w:eastAsia="zh-CN"/>
              </w:rPr>
              <w:t>采购文件、响应文件、合同</w:t>
            </w:r>
            <w:r>
              <w:rPr>
                <w:rFonts w:hint="eastAsia" w:ascii="宋体" w:hAnsi="宋体" w:cs="宋体"/>
                <w:szCs w:val="21"/>
              </w:rPr>
              <w:t>的约定，定期提交服务报告，甲方按照</w:t>
            </w:r>
            <w:r>
              <w:rPr>
                <w:rFonts w:hint="eastAsia" w:cs="宋体"/>
                <w:b/>
                <w:i/>
                <w:szCs w:val="21"/>
                <w:u w:val="single"/>
                <w:lang w:val="en-US" w:eastAsia="zh-CN"/>
              </w:rPr>
              <w:t>采购文件、响应文件、合同</w:t>
            </w:r>
            <w:r>
              <w:rPr>
                <w:rFonts w:hint="eastAsia" w:ascii="宋体" w:hAnsi="宋体" w:cs="宋体"/>
                <w:szCs w:val="21"/>
              </w:rPr>
              <w:t>的约定进行定期验收</w:t>
            </w:r>
            <w:r>
              <w:rPr>
                <w:rFonts w:hint="eastAsia" w:ascii="宋体" w:hAnsi="宋体" w:cs="宋体"/>
                <w:szCs w:val="21"/>
                <w:lang w:eastAsia="zh-CN"/>
              </w:rPr>
              <w:t>。</w:t>
            </w:r>
          </w:p>
        </w:tc>
      </w:tr>
      <w:tr w14:paraId="106FB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36" w:type="dxa"/>
            <w:tcBorders>
              <w:top w:val="single" w:color="auto" w:sz="6" w:space="0"/>
              <w:left w:val="single" w:color="auto" w:sz="4" w:space="0"/>
              <w:bottom w:val="single" w:color="auto" w:sz="6" w:space="0"/>
              <w:right w:val="single" w:color="auto" w:sz="6" w:space="0"/>
            </w:tcBorders>
            <w:vAlign w:val="center"/>
          </w:tcPr>
          <w:p w14:paraId="67C34813">
            <w:pPr>
              <w:spacing w:line="560" w:lineRule="exact"/>
              <w:rPr>
                <w:rFonts w:ascii="宋体" w:hAnsi="宋体" w:cs="宋体"/>
                <w:szCs w:val="21"/>
              </w:rPr>
            </w:pPr>
            <w:r>
              <w:rPr>
                <w:rFonts w:hint="eastAsia" w:ascii="宋体" w:hAnsi="宋体" w:cs="宋体"/>
                <w:szCs w:val="21"/>
              </w:rPr>
              <w:t>2.15.3</w:t>
            </w:r>
          </w:p>
        </w:tc>
        <w:tc>
          <w:tcPr>
            <w:tcW w:w="8809" w:type="dxa"/>
            <w:tcBorders>
              <w:top w:val="single" w:color="auto" w:sz="6" w:space="0"/>
              <w:left w:val="single" w:color="auto" w:sz="6" w:space="0"/>
              <w:bottom w:val="single" w:color="auto" w:sz="6" w:space="0"/>
              <w:right w:val="single" w:color="auto" w:sz="6" w:space="0"/>
            </w:tcBorders>
            <w:vAlign w:val="center"/>
          </w:tcPr>
          <w:p w14:paraId="79B219C7">
            <w:pPr>
              <w:spacing w:line="560" w:lineRule="exact"/>
              <w:jc w:val="left"/>
              <w:rPr>
                <w:rFonts w:hint="default" w:ascii="宋体" w:hAnsi="宋体" w:eastAsia="宋体" w:cs="宋体"/>
                <w:szCs w:val="21"/>
                <w:lang w:val="en-US" w:eastAsia="zh-CN"/>
              </w:rPr>
            </w:pPr>
            <w:r>
              <w:rPr>
                <w:rFonts w:hint="eastAsia" w:ascii="宋体" w:hAnsi="宋体" w:cs="宋体"/>
                <w:szCs w:val="21"/>
                <w:lang w:val="en-US" w:eastAsia="zh-CN"/>
              </w:rPr>
              <w:t xml:space="preserve">  /</w:t>
            </w:r>
          </w:p>
        </w:tc>
      </w:tr>
      <w:tr w14:paraId="343BD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36" w:type="dxa"/>
            <w:tcBorders>
              <w:top w:val="single" w:color="auto" w:sz="6" w:space="0"/>
              <w:left w:val="single" w:color="auto" w:sz="4" w:space="0"/>
              <w:bottom w:val="single" w:color="auto" w:sz="6" w:space="0"/>
              <w:right w:val="single" w:color="auto" w:sz="6" w:space="0"/>
            </w:tcBorders>
            <w:vAlign w:val="center"/>
          </w:tcPr>
          <w:p w14:paraId="7C9C4F47">
            <w:pPr>
              <w:spacing w:line="560" w:lineRule="exact"/>
              <w:rPr>
                <w:rFonts w:ascii="宋体" w:hAnsi="宋体" w:cs="宋体"/>
                <w:szCs w:val="21"/>
              </w:rPr>
            </w:pPr>
            <w:r>
              <w:rPr>
                <w:rFonts w:hint="eastAsia" w:ascii="宋体" w:hAnsi="宋体" w:cs="宋体"/>
                <w:szCs w:val="21"/>
              </w:rPr>
              <w:t>2.20</w:t>
            </w:r>
          </w:p>
        </w:tc>
        <w:tc>
          <w:tcPr>
            <w:tcW w:w="8809" w:type="dxa"/>
            <w:tcBorders>
              <w:top w:val="single" w:color="auto" w:sz="6" w:space="0"/>
              <w:left w:val="single" w:color="auto" w:sz="6" w:space="0"/>
              <w:bottom w:val="single" w:color="auto" w:sz="6" w:space="0"/>
              <w:right w:val="single" w:color="auto" w:sz="6" w:space="0"/>
            </w:tcBorders>
            <w:vAlign w:val="center"/>
          </w:tcPr>
          <w:p w14:paraId="1A407763">
            <w:pPr>
              <w:spacing w:line="560" w:lineRule="exact"/>
              <w:ind w:firstLine="420" w:firstLineChars="200"/>
              <w:rPr>
                <w:rFonts w:ascii="宋体" w:hAnsi="宋体" w:cs="宋体"/>
                <w:szCs w:val="21"/>
              </w:rPr>
            </w:pPr>
            <w:r>
              <w:rPr>
                <w:rFonts w:hint="eastAsia" w:ascii="宋体" w:hAnsi="宋体" w:cs="宋体"/>
                <w:szCs w:val="21"/>
              </w:rPr>
              <w:t>本合同经甲乙双方代表签字并加盖单位公章后生效，一式肆份，双方各执贰份，每份具有同等法律效力。</w:t>
            </w:r>
          </w:p>
        </w:tc>
      </w:tr>
    </w:tbl>
    <w:p w14:paraId="4156BD17">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492D9"/>
    <w:multiLevelType w:val="singleLevel"/>
    <w:tmpl w:val="64A492D9"/>
    <w:lvl w:ilvl="0" w:tentative="0">
      <w:start w:val="1"/>
      <w:numFmt w:val="decimal"/>
      <w:lvlText w:val="%1."/>
      <w:lvlJc w:val="left"/>
      <w:pPr>
        <w:ind w:left="425" w:hanging="425"/>
      </w:pPr>
      <w:rPr>
        <w:rFonts w:hint="default"/>
      </w:rPr>
    </w:lvl>
  </w:abstractNum>
  <w:abstractNum w:abstractNumId="1">
    <w:nsid w:val="7B8A3285"/>
    <w:multiLevelType w:val="singleLevel"/>
    <w:tmpl w:val="7B8A3285"/>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jQ5MDlhNjY1YWMxZDAxMmRiYWE4ZmM4ZjEyODgifQ=="/>
  </w:docVars>
  <w:rsids>
    <w:rsidRoot w:val="1C657B3F"/>
    <w:rsid w:val="00577718"/>
    <w:rsid w:val="00B46918"/>
    <w:rsid w:val="00BF52BD"/>
    <w:rsid w:val="00F27441"/>
    <w:rsid w:val="01E66FA5"/>
    <w:rsid w:val="03062D2F"/>
    <w:rsid w:val="030D2310"/>
    <w:rsid w:val="031E62CB"/>
    <w:rsid w:val="038F0F77"/>
    <w:rsid w:val="03BD3D36"/>
    <w:rsid w:val="046C750A"/>
    <w:rsid w:val="04784101"/>
    <w:rsid w:val="04943389"/>
    <w:rsid w:val="062A142B"/>
    <w:rsid w:val="06620BC5"/>
    <w:rsid w:val="08053EFD"/>
    <w:rsid w:val="09385C0D"/>
    <w:rsid w:val="09D27E0F"/>
    <w:rsid w:val="0AAE262A"/>
    <w:rsid w:val="0AB539B9"/>
    <w:rsid w:val="0AC459AA"/>
    <w:rsid w:val="0B495EAF"/>
    <w:rsid w:val="0B743C86"/>
    <w:rsid w:val="0C2D757F"/>
    <w:rsid w:val="0C915D60"/>
    <w:rsid w:val="0CC31C91"/>
    <w:rsid w:val="0D9F26FE"/>
    <w:rsid w:val="10152804"/>
    <w:rsid w:val="10480E2B"/>
    <w:rsid w:val="117479FE"/>
    <w:rsid w:val="120B2110"/>
    <w:rsid w:val="126857B5"/>
    <w:rsid w:val="14F72E20"/>
    <w:rsid w:val="15211C4B"/>
    <w:rsid w:val="18770500"/>
    <w:rsid w:val="1A044015"/>
    <w:rsid w:val="1B740D26"/>
    <w:rsid w:val="1C657B3F"/>
    <w:rsid w:val="22B3482A"/>
    <w:rsid w:val="247578BD"/>
    <w:rsid w:val="2705317A"/>
    <w:rsid w:val="270F7B55"/>
    <w:rsid w:val="27EB6814"/>
    <w:rsid w:val="29D07A70"/>
    <w:rsid w:val="2AA333D6"/>
    <w:rsid w:val="2C624BCB"/>
    <w:rsid w:val="2EA622C1"/>
    <w:rsid w:val="2EE112BF"/>
    <w:rsid w:val="30556F21"/>
    <w:rsid w:val="32BD0DAD"/>
    <w:rsid w:val="339B7340"/>
    <w:rsid w:val="342D3D10"/>
    <w:rsid w:val="36653C36"/>
    <w:rsid w:val="383C2D6D"/>
    <w:rsid w:val="387F02D5"/>
    <w:rsid w:val="3A577D39"/>
    <w:rsid w:val="3B5F0C53"/>
    <w:rsid w:val="3DA54918"/>
    <w:rsid w:val="40827192"/>
    <w:rsid w:val="40BE46CB"/>
    <w:rsid w:val="4177481D"/>
    <w:rsid w:val="42C23AD9"/>
    <w:rsid w:val="43A01E09"/>
    <w:rsid w:val="455235D7"/>
    <w:rsid w:val="47AA76FA"/>
    <w:rsid w:val="49787384"/>
    <w:rsid w:val="497C50C6"/>
    <w:rsid w:val="4A81613F"/>
    <w:rsid w:val="4B5D4A84"/>
    <w:rsid w:val="4C975D73"/>
    <w:rsid w:val="4CDF7E46"/>
    <w:rsid w:val="4E4C150B"/>
    <w:rsid w:val="5066262C"/>
    <w:rsid w:val="51537490"/>
    <w:rsid w:val="520B348B"/>
    <w:rsid w:val="53C5766A"/>
    <w:rsid w:val="56D976B4"/>
    <w:rsid w:val="57032983"/>
    <w:rsid w:val="572A43B4"/>
    <w:rsid w:val="57403A0A"/>
    <w:rsid w:val="57607DD5"/>
    <w:rsid w:val="59943D66"/>
    <w:rsid w:val="5A1D1FAE"/>
    <w:rsid w:val="5DC0337C"/>
    <w:rsid w:val="5F3C4C84"/>
    <w:rsid w:val="5F944AC0"/>
    <w:rsid w:val="63350368"/>
    <w:rsid w:val="65297A59"/>
    <w:rsid w:val="673821D5"/>
    <w:rsid w:val="676E209B"/>
    <w:rsid w:val="6AD246EE"/>
    <w:rsid w:val="6C3118E9"/>
    <w:rsid w:val="6CC62031"/>
    <w:rsid w:val="6E8B52E0"/>
    <w:rsid w:val="700A492A"/>
    <w:rsid w:val="73C848E1"/>
    <w:rsid w:val="7419513C"/>
    <w:rsid w:val="750E0A19"/>
    <w:rsid w:val="76CA0970"/>
    <w:rsid w:val="76F42D38"/>
    <w:rsid w:val="77BA4E88"/>
    <w:rsid w:val="7A187C44"/>
    <w:rsid w:val="7A765096"/>
    <w:rsid w:val="7B656EB9"/>
    <w:rsid w:val="7B851309"/>
    <w:rsid w:val="7E4A0E4D"/>
    <w:rsid w:val="7F31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spacing w:before="104"/>
      <w:ind w:left="2093" w:right="2107"/>
      <w:jc w:val="center"/>
      <w:outlineLvl w:val="1"/>
    </w:pPr>
    <w:rPr>
      <w:b/>
      <w:bCs/>
      <w:sz w:val="44"/>
      <w:szCs w:val="44"/>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5">
    <w:name w:val="Body Text Indent"/>
    <w:basedOn w:val="1"/>
    <w:qFormat/>
    <w:uiPriority w:val="0"/>
    <w:pPr>
      <w:spacing w:line="480" w:lineRule="exact"/>
      <w:ind w:firstLine="480" w:firstLineChars="200"/>
    </w:pPr>
    <w:rPr>
      <w:rFonts w:ascii="宋体" w:hAnsi="宋体"/>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6"/>
    <w:basedOn w:val="1"/>
    <w:next w:val="1"/>
    <w:qFormat/>
    <w:uiPriority w:val="0"/>
    <w:pPr>
      <w:ind w:left="2100" w:leftChars="1000"/>
    </w:p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paragraph" w:styleId="10">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1">
    <w:name w:val="Body Text First Indent"/>
    <w:basedOn w:val="4"/>
    <w:next w:val="1"/>
    <w:qFormat/>
    <w:uiPriority w:val="0"/>
    <w:pPr>
      <w:ind w:firstLine="420"/>
    </w:pPr>
    <w:rPr>
      <w:rFonts w:hAnsi="Calibri" w:cs="Times New Roman"/>
      <w:snapToGrid/>
      <w:szCs w:val="20"/>
    </w:rPr>
  </w:style>
  <w:style w:type="paragraph" w:styleId="12">
    <w:name w:val="Body Text First Indent 2"/>
    <w:basedOn w:val="5"/>
    <w:qFormat/>
    <w:uiPriority w:val="0"/>
    <w:pPr>
      <w:adjustRightInd/>
      <w:spacing w:after="120" w:line="240" w:lineRule="auto"/>
      <w:ind w:left="420" w:leftChars="200" w:firstLine="21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ascii="Arial" w:hAnsi="Arial" w:eastAsia="黑体" w:cs="Arial"/>
      <w:snapToGrid w:val="0"/>
      <w:kern w:val="0"/>
      <w:szCs w:val="21"/>
    </w:rPr>
  </w:style>
  <w:style w:type="paragraph" w:customStyle="1" w:styleId="1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18">
    <w:name w:val="p0"/>
    <w:basedOn w:val="1"/>
    <w:autoRedefine/>
    <w:qFormat/>
    <w:uiPriority w:val="0"/>
    <w:pPr>
      <w:widowControl/>
      <w:adjustRightInd/>
    </w:pPr>
    <w:rPr>
      <w:kern w:val="0"/>
      <w:szCs w:val="21"/>
    </w:rPr>
  </w:style>
  <w:style w:type="paragraph" w:customStyle="1" w:styleId="19">
    <w:name w:val="正文缩进1"/>
    <w:basedOn w:val="1"/>
    <w:next w:val="5"/>
    <w:qFormat/>
    <w:uiPriority w:val="99"/>
    <w:pPr>
      <w:autoSpaceDE w:val="0"/>
      <w:autoSpaceDN w:val="0"/>
      <w:adjustRightInd w:val="0"/>
      <w:snapToGrid w:val="0"/>
      <w:spacing w:after="120" w:line="360" w:lineRule="auto"/>
      <w:ind w:left="420" w:firstLine="480"/>
    </w:pPr>
    <w:rPr>
      <w:sz w:val="24"/>
    </w:rPr>
  </w:style>
  <w:style w:type="paragraph" w:customStyle="1" w:styleId="20">
    <w:name w:val="表格文字"/>
    <w:basedOn w:val="1"/>
    <w:next w:val="4"/>
    <w:qFormat/>
    <w:uiPriority w:val="0"/>
    <w:pPr>
      <w:adjustRightInd w:val="0"/>
      <w:spacing w:line="420" w:lineRule="atLeast"/>
      <w:jc w:val="left"/>
      <w:textAlignment w:val="baseline"/>
    </w:pPr>
    <w:rPr>
      <w:kern w:val="0"/>
      <w:szCs w:val="20"/>
    </w:rPr>
  </w:style>
  <w:style w:type="paragraph" w:customStyle="1" w:styleId="21">
    <w:name w:val="text-tag"/>
    <w:basedOn w:val="1"/>
    <w:semiHidden/>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1041</Words>
  <Characters>1080</Characters>
  <Lines>0</Lines>
  <Paragraphs>0</Paragraphs>
  <TotalTime>0</TotalTime>
  <ScaleCrop>false</ScaleCrop>
  <LinksUpToDate>false</LinksUpToDate>
  <CharactersWithSpaces>1240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2024-04-19T06:29:00Z</dcterms:created>
  <dc:creator>黄小洁</dc:creator>
  <cp:lastModifiedBy>黄小洁</cp:lastModifiedBy>
  <dcterms:modified xsi:type="dcterms:W3CDTF">2024-11-29T00:13:40Z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A19E873E1D354DEE8B4BFD98AC0D82E6_11</vt:lpwstr>
  </property>
</Properties>
</file>