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B3FEF">
      <w:pPr>
        <w:spacing w:line="360" w:lineRule="auto"/>
        <w:ind w:firstLine="422"/>
        <w:jc w:val="center"/>
        <w:rPr>
          <w:rFonts w:hint="default" w:ascii="宋体" w:hAnsi="宋体" w:eastAsia="宋体" w:cs="宋体"/>
          <w:b/>
          <w:bCs/>
          <w:sz w:val="28"/>
          <w:szCs w:val="28"/>
          <w:lang w:val="en-US" w:eastAsia="zh-CN"/>
        </w:rPr>
      </w:pPr>
      <w:bookmarkStart w:id="0" w:name="_Toc487900364"/>
      <w:bookmarkStart w:id="1" w:name="_Ref467378121"/>
      <w:bookmarkStart w:id="2" w:name="_Toc259093683"/>
      <w:bookmarkStart w:id="3" w:name="_Toc279701254"/>
      <w:r>
        <w:rPr>
          <w:rFonts w:hint="eastAsia" w:ascii="宋体" w:hAnsi="宋体" w:cs="宋体"/>
          <w:b/>
          <w:bCs/>
          <w:sz w:val="28"/>
          <w:szCs w:val="28"/>
        </w:rPr>
        <w:t>采购合同</w:t>
      </w:r>
    </w:p>
    <w:p w14:paraId="1A1D4BDF">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b/>
          <w:bCs/>
          <w:sz w:val="24"/>
          <w:szCs w:val="32"/>
        </w:rPr>
        <w:t>甲方（需方）</w:t>
      </w:r>
      <w:r>
        <w:rPr>
          <w:rFonts w:hint="eastAsia" w:ascii="宋体" w:hAnsi="宋体" w:cs="宋体"/>
          <w:sz w:val="24"/>
          <w:szCs w:val="32"/>
        </w:rPr>
        <w:t xml:space="preserve">：浙江工商大学杭州商学院 </w:t>
      </w:r>
    </w:p>
    <w:p w14:paraId="07B9DF3B">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b/>
          <w:bCs/>
          <w:sz w:val="24"/>
          <w:szCs w:val="32"/>
        </w:rPr>
        <w:t>乙方（供方）</w:t>
      </w:r>
      <w:r>
        <w:rPr>
          <w:rFonts w:hint="eastAsia" w:ascii="宋体" w:hAnsi="宋体" w:cs="宋体"/>
          <w:sz w:val="24"/>
          <w:szCs w:val="32"/>
        </w:rPr>
        <w:t xml:space="preserve">： </w:t>
      </w:r>
    </w:p>
    <w:p w14:paraId="722C8098">
      <w:pPr>
        <w:keepNext w:val="0"/>
        <w:keepLines w:val="0"/>
        <w:pageBreakBefore w:val="0"/>
        <w:widowControl w:val="0"/>
        <w:kinsoku/>
        <w:wordWrap/>
        <w:overflowPunct/>
        <w:topLinePunct w:val="0"/>
        <w:autoSpaceDE/>
        <w:autoSpaceDN/>
        <w:bidi w:val="0"/>
        <w:adjustRightInd w:val="0"/>
        <w:snapToGrid/>
        <w:spacing w:line="360" w:lineRule="auto"/>
        <w:ind w:left="0" w:leftChars="0" w:firstLine="588" w:firstLineChars="245"/>
        <w:textAlignment w:val="auto"/>
        <w:rPr>
          <w:rFonts w:hint="eastAsia" w:ascii="宋体" w:hAnsi="宋体" w:cs="宋体"/>
          <w:sz w:val="24"/>
          <w:szCs w:val="32"/>
        </w:rPr>
      </w:pPr>
      <w:r>
        <w:rPr>
          <w:rFonts w:hint="eastAsia" w:ascii="宋体" w:hAnsi="宋体" w:cs="宋体"/>
          <w:sz w:val="24"/>
          <w:szCs w:val="32"/>
        </w:rPr>
        <w:t>甲</w:t>
      </w:r>
      <w:r>
        <w:rPr>
          <w:rFonts w:hint="eastAsia" w:ascii="宋体" w:hAnsi="宋体" w:cs="宋体"/>
          <w:sz w:val="24"/>
          <w:szCs w:val="32"/>
          <w:lang w:eastAsia="zh-CN"/>
        </w:rPr>
        <w:t>、</w:t>
      </w:r>
      <w:r>
        <w:rPr>
          <w:rFonts w:hint="eastAsia" w:ascii="宋体" w:hAnsi="宋体" w:cs="宋体"/>
          <w:sz w:val="24"/>
          <w:szCs w:val="32"/>
        </w:rPr>
        <w:t>乙双方根据浙江工商大学杭州商学院</w:t>
      </w:r>
      <w:r>
        <w:rPr>
          <w:rFonts w:hint="eastAsia" w:ascii="宋体" w:hAnsi="宋体" w:cs="宋体"/>
          <w:sz w:val="24"/>
          <w:szCs w:val="32"/>
          <w:u w:val="single"/>
        </w:rPr>
        <w:t>202</w:t>
      </w:r>
      <w:r>
        <w:rPr>
          <w:rFonts w:hint="eastAsia" w:ascii="宋体" w:hAnsi="宋体" w:cs="宋体"/>
          <w:sz w:val="24"/>
          <w:szCs w:val="32"/>
          <w:u w:val="single"/>
          <w:lang w:val="en-US" w:eastAsia="zh-CN"/>
        </w:rPr>
        <w:t>4</w:t>
      </w:r>
      <w:r>
        <w:rPr>
          <w:rFonts w:hint="eastAsia" w:ascii="宋体" w:hAnsi="宋体" w:cs="宋体"/>
          <w:sz w:val="24"/>
          <w:szCs w:val="32"/>
          <w:u w:val="single"/>
        </w:rPr>
        <w:t>年</w:t>
      </w:r>
      <w:r>
        <w:rPr>
          <w:rFonts w:hint="eastAsia" w:ascii="宋体" w:hAnsi="宋体" w:cs="宋体"/>
          <w:sz w:val="24"/>
          <w:szCs w:val="32"/>
          <w:u w:val="single"/>
          <w:lang w:val="en-US" w:eastAsia="zh-CN"/>
        </w:rPr>
        <w:t xml:space="preserve"> </w:t>
      </w:r>
      <w:r>
        <w:rPr>
          <w:rFonts w:hint="eastAsia" w:ascii="宋体" w:hAnsi="宋体" w:cs="宋体"/>
          <w:sz w:val="24"/>
          <w:szCs w:val="32"/>
          <w:u w:val="single"/>
        </w:rPr>
        <w:t>月</w:t>
      </w:r>
      <w:r>
        <w:rPr>
          <w:rFonts w:hint="eastAsia" w:ascii="宋体" w:hAnsi="宋体" w:cs="宋体"/>
          <w:sz w:val="24"/>
          <w:szCs w:val="32"/>
          <w:u w:val="single"/>
          <w:lang w:val="en-US" w:eastAsia="zh-CN"/>
        </w:rPr>
        <w:t xml:space="preserve"> </w:t>
      </w:r>
      <w:r>
        <w:rPr>
          <w:rFonts w:hint="eastAsia" w:ascii="宋体" w:hAnsi="宋体" w:cs="宋体"/>
          <w:sz w:val="24"/>
          <w:szCs w:val="32"/>
          <w:u w:val="single"/>
        </w:rPr>
        <w:t>日</w:t>
      </w:r>
      <w:r>
        <w:rPr>
          <w:rFonts w:hint="eastAsia" w:ascii="宋体" w:hAnsi="宋体" w:cs="宋体"/>
          <w:sz w:val="24"/>
          <w:szCs w:val="32"/>
        </w:rPr>
        <w:t>关于</w:t>
      </w:r>
      <w:r>
        <w:rPr>
          <w:rFonts w:hint="eastAsia" w:ascii="宋体" w:hAnsi="宋体" w:cs="宋体"/>
          <w:sz w:val="24"/>
          <w:szCs w:val="32"/>
          <w:u w:val="single"/>
          <w:lang w:val="en-US" w:eastAsia="zh-CN"/>
        </w:rPr>
        <w:t xml:space="preserve">     </w:t>
      </w:r>
      <w:r>
        <w:rPr>
          <w:rFonts w:hint="eastAsia" w:ascii="宋体" w:hAnsi="宋体" w:cs="宋体"/>
          <w:sz w:val="24"/>
          <w:szCs w:val="32"/>
          <w:u w:val="single"/>
        </w:rPr>
        <w:t>项目</w:t>
      </w:r>
      <w:r>
        <w:rPr>
          <w:rFonts w:hint="eastAsia" w:ascii="宋体" w:hAnsi="宋体" w:cs="宋体"/>
          <w:sz w:val="24"/>
          <w:szCs w:val="32"/>
          <w:lang w:val="en-US" w:eastAsia="zh-CN"/>
        </w:rPr>
        <w:t>政采云竞价</w:t>
      </w:r>
      <w:r>
        <w:rPr>
          <w:rFonts w:hint="eastAsia" w:ascii="宋体" w:hAnsi="宋体" w:cs="宋体"/>
          <w:sz w:val="24"/>
          <w:szCs w:val="32"/>
        </w:rPr>
        <w:t>的结果，确定乙方为</w:t>
      </w:r>
      <w:r>
        <w:rPr>
          <w:rFonts w:hint="eastAsia" w:ascii="宋体" w:hAnsi="宋体" w:cs="宋体"/>
          <w:sz w:val="24"/>
          <w:szCs w:val="32"/>
          <w:lang w:val="en-US" w:eastAsia="zh-CN"/>
        </w:rPr>
        <w:t>中标人</w:t>
      </w:r>
      <w:r>
        <w:rPr>
          <w:rFonts w:hint="eastAsia" w:ascii="宋体" w:hAnsi="宋体" w:cs="宋体"/>
          <w:sz w:val="24"/>
          <w:szCs w:val="32"/>
        </w:rPr>
        <w:t>。为明确双方的权利和义务，现达成一致，共同签署本合同。</w:t>
      </w:r>
    </w:p>
    <w:p w14:paraId="143099E3">
      <w:pPr>
        <w:pStyle w:val="7"/>
        <w:pageBreakBefore w:val="0"/>
        <w:widowControl w:val="0"/>
        <w:kinsoku/>
        <w:wordWrap/>
        <w:overflowPunct/>
        <w:topLinePunct w:val="0"/>
        <w:autoSpaceDE/>
        <w:autoSpaceDN/>
        <w:bidi w:val="0"/>
        <w:adjustRightInd w:val="0"/>
        <w:snapToGrid/>
        <w:spacing w:before="0" w:after="0" w:line="360" w:lineRule="auto"/>
        <w:ind w:left="0" w:leftChars="0" w:firstLine="0" w:firstLineChars="0"/>
        <w:textAlignment w:val="auto"/>
        <w:rPr>
          <w:sz w:val="24"/>
          <w:szCs w:val="40"/>
        </w:rPr>
      </w:pPr>
      <w:r>
        <w:rPr>
          <w:rFonts w:hint="eastAsia"/>
          <w:sz w:val="24"/>
          <w:szCs w:val="40"/>
        </w:rPr>
        <w:t>一、</w:t>
      </w:r>
      <w:r>
        <w:rPr>
          <w:rFonts w:hint="eastAsia"/>
          <w:sz w:val="24"/>
          <w:szCs w:val="40"/>
          <w:lang w:val="en-US" w:eastAsia="zh-CN"/>
        </w:rPr>
        <w:t>货物</w:t>
      </w:r>
      <w:r>
        <w:rPr>
          <w:rFonts w:hint="eastAsia"/>
          <w:sz w:val="24"/>
          <w:szCs w:val="40"/>
        </w:rPr>
        <w:t xml:space="preserve">内容 </w:t>
      </w:r>
    </w:p>
    <w:tbl>
      <w:tblPr>
        <w:tblStyle w:val="13"/>
        <w:tblW w:w="800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5"/>
        <w:gridCol w:w="1233"/>
        <w:gridCol w:w="2000"/>
        <w:gridCol w:w="2000"/>
        <w:gridCol w:w="963"/>
        <w:gridCol w:w="932"/>
      </w:tblGrid>
      <w:tr w14:paraId="4A180F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5" w:type="dxa"/>
            <w:vAlign w:val="center"/>
          </w:tcPr>
          <w:p w14:paraId="4A135335">
            <w:pPr>
              <w:pStyle w:val="4"/>
              <w:pageBreakBefore w:val="0"/>
              <w:widowControl w:val="0"/>
              <w:kinsoku/>
              <w:wordWrap/>
              <w:overflowPunct/>
              <w:topLinePunct w:val="0"/>
              <w:bidi w:val="0"/>
              <w:adjustRightInd w:val="0"/>
              <w:spacing w:line="360" w:lineRule="auto"/>
              <w:ind w:left="0" w:leftChars="0" w:firstLine="0"/>
              <w:jc w:val="center"/>
              <w:textAlignment w:val="auto"/>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标项序号</w:t>
            </w:r>
          </w:p>
        </w:tc>
        <w:tc>
          <w:tcPr>
            <w:tcW w:w="1233" w:type="dxa"/>
            <w:vAlign w:val="center"/>
          </w:tcPr>
          <w:p w14:paraId="53B6D87E">
            <w:pPr>
              <w:pStyle w:val="4"/>
              <w:pageBreakBefore w:val="0"/>
              <w:widowControl w:val="0"/>
              <w:kinsoku/>
              <w:wordWrap/>
              <w:overflowPunct/>
              <w:topLinePunct w:val="0"/>
              <w:bidi w:val="0"/>
              <w:adjustRightInd w:val="0"/>
              <w:spacing w:line="360" w:lineRule="auto"/>
              <w:ind w:left="0" w:leftChars="0" w:firstLine="0"/>
              <w:jc w:val="center"/>
              <w:textAlignment w:val="auto"/>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项目名称</w:t>
            </w:r>
          </w:p>
        </w:tc>
        <w:tc>
          <w:tcPr>
            <w:tcW w:w="2000" w:type="dxa"/>
            <w:vAlign w:val="center"/>
          </w:tcPr>
          <w:p w14:paraId="7BB50801">
            <w:pPr>
              <w:pStyle w:val="4"/>
              <w:pageBreakBefore w:val="0"/>
              <w:widowControl w:val="0"/>
              <w:kinsoku/>
              <w:wordWrap/>
              <w:overflowPunct/>
              <w:topLinePunct w:val="0"/>
              <w:bidi w:val="0"/>
              <w:adjustRightInd w:val="0"/>
              <w:spacing w:line="360" w:lineRule="auto"/>
              <w:ind w:left="0" w:leftChars="0" w:firstLine="0"/>
              <w:jc w:val="center"/>
              <w:textAlignment w:val="auto"/>
              <w:rPr>
                <w:rFonts w:hint="default" w:cs="宋体" w:asciiTheme="minorEastAsia" w:hAnsiTheme="minorEastAsia" w:eastAsiaTheme="minorEastAsia"/>
                <w:szCs w:val="24"/>
                <w:lang w:val="en-US" w:eastAsia="zh-CN"/>
              </w:rPr>
            </w:pPr>
            <w:r>
              <w:rPr>
                <w:rFonts w:hint="eastAsia" w:cs="宋体" w:asciiTheme="minorEastAsia" w:hAnsiTheme="minorEastAsia" w:eastAsiaTheme="minorEastAsia"/>
                <w:szCs w:val="24"/>
                <w:lang w:val="en-US" w:eastAsia="zh-CN"/>
              </w:rPr>
              <w:t>品牌规格</w:t>
            </w:r>
          </w:p>
        </w:tc>
        <w:tc>
          <w:tcPr>
            <w:tcW w:w="2000" w:type="dxa"/>
            <w:vAlign w:val="center"/>
          </w:tcPr>
          <w:p w14:paraId="03363ED5">
            <w:pPr>
              <w:pageBreakBefore w:val="0"/>
              <w:widowControl w:val="0"/>
              <w:kinsoku/>
              <w:wordWrap/>
              <w:overflowPunct/>
              <w:topLinePunct w:val="0"/>
              <w:bidi w:val="0"/>
              <w:adjustRightInd w:val="0"/>
              <w:spacing w:line="360" w:lineRule="auto"/>
              <w:ind w:left="0" w:leftChars="0"/>
              <w:jc w:val="center"/>
              <w:textAlignment w:val="auto"/>
              <w:rPr>
                <w:rFonts w:hint="default"/>
                <w:sz w:val="24"/>
                <w:szCs w:val="24"/>
                <w:lang w:val="en-US" w:eastAsia="zh-CN"/>
              </w:rPr>
            </w:pPr>
            <w:r>
              <w:rPr>
                <w:rFonts w:hint="eastAsia"/>
                <w:sz w:val="24"/>
                <w:szCs w:val="24"/>
                <w:lang w:val="en-US" w:eastAsia="zh-CN"/>
              </w:rPr>
              <w:t>数量及单位</w:t>
            </w:r>
          </w:p>
        </w:tc>
        <w:tc>
          <w:tcPr>
            <w:tcW w:w="963" w:type="dxa"/>
            <w:vAlign w:val="center"/>
          </w:tcPr>
          <w:p w14:paraId="3B7824D6">
            <w:pPr>
              <w:pageBreakBefore w:val="0"/>
              <w:widowControl w:val="0"/>
              <w:kinsoku/>
              <w:wordWrap/>
              <w:overflowPunct/>
              <w:topLinePunct w:val="0"/>
              <w:bidi w:val="0"/>
              <w:adjustRightInd w:val="0"/>
              <w:spacing w:line="360" w:lineRule="auto"/>
              <w:ind w:left="0" w:leftChars="0"/>
              <w:textAlignment w:val="auto"/>
              <w:rPr>
                <w:rFonts w:hint="default"/>
                <w:sz w:val="24"/>
                <w:szCs w:val="24"/>
                <w:lang w:val="en-US" w:eastAsia="zh-CN"/>
              </w:rPr>
            </w:pPr>
            <w:r>
              <w:rPr>
                <w:rFonts w:hint="eastAsia"/>
                <w:sz w:val="24"/>
                <w:szCs w:val="24"/>
                <w:lang w:val="en-US" w:eastAsia="zh-CN"/>
              </w:rPr>
              <w:t>单价（元）</w:t>
            </w:r>
          </w:p>
        </w:tc>
        <w:tc>
          <w:tcPr>
            <w:tcW w:w="932" w:type="dxa"/>
            <w:vAlign w:val="center"/>
          </w:tcPr>
          <w:p w14:paraId="7C03349E">
            <w:pPr>
              <w:pStyle w:val="4"/>
              <w:pageBreakBefore w:val="0"/>
              <w:widowControl w:val="0"/>
              <w:kinsoku/>
              <w:wordWrap/>
              <w:overflowPunct/>
              <w:topLinePunct w:val="0"/>
              <w:bidi w:val="0"/>
              <w:adjustRightInd w:val="0"/>
              <w:spacing w:line="360" w:lineRule="auto"/>
              <w:ind w:left="0" w:leftChars="0" w:firstLine="0"/>
              <w:jc w:val="center"/>
              <w:textAlignment w:val="auto"/>
              <w:rPr>
                <w:rFonts w:hint="eastAsia"/>
                <w:sz w:val="24"/>
                <w:szCs w:val="24"/>
                <w:lang w:val="en-US" w:eastAsia="zh-CN"/>
              </w:rPr>
            </w:pPr>
            <w:r>
              <w:rPr>
                <w:rFonts w:hint="eastAsia"/>
                <w:sz w:val="24"/>
                <w:szCs w:val="24"/>
                <w:lang w:val="en-US" w:eastAsia="zh-CN"/>
              </w:rPr>
              <w:t>金额</w:t>
            </w:r>
          </w:p>
          <w:p w14:paraId="66921FEE">
            <w:pPr>
              <w:pageBreakBefore w:val="0"/>
              <w:widowControl w:val="0"/>
              <w:kinsoku/>
              <w:wordWrap/>
              <w:overflowPunct/>
              <w:topLinePunct w:val="0"/>
              <w:bidi w:val="0"/>
              <w:adjustRightInd w:val="0"/>
              <w:spacing w:line="360" w:lineRule="auto"/>
              <w:ind w:left="0" w:leftChars="0"/>
              <w:textAlignment w:val="auto"/>
              <w:rPr>
                <w:rFonts w:hint="default"/>
                <w:sz w:val="24"/>
                <w:szCs w:val="24"/>
                <w:lang w:val="en-US" w:eastAsia="zh-CN"/>
              </w:rPr>
            </w:pPr>
            <w:r>
              <w:rPr>
                <w:rFonts w:hint="eastAsia" w:cs="宋体" w:asciiTheme="minorEastAsia" w:hAnsiTheme="minorEastAsia" w:eastAsiaTheme="minorEastAsia"/>
                <w:sz w:val="24"/>
                <w:szCs w:val="24"/>
                <w:lang w:val="en-US" w:eastAsia="zh-CN"/>
              </w:rPr>
              <w:t>（元）</w:t>
            </w:r>
          </w:p>
        </w:tc>
      </w:tr>
      <w:tr w14:paraId="6B72FA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jc w:val="center"/>
        </w:trPr>
        <w:tc>
          <w:tcPr>
            <w:tcW w:w="875" w:type="dxa"/>
            <w:vAlign w:val="center"/>
          </w:tcPr>
          <w:p w14:paraId="3D7AF2EE">
            <w:pPr>
              <w:pStyle w:val="4"/>
              <w:keepNext w:val="0"/>
              <w:keepLines w:val="0"/>
              <w:pageBreakBefore w:val="0"/>
              <w:widowControl w:val="0"/>
              <w:kinsoku/>
              <w:wordWrap/>
              <w:overflowPunct/>
              <w:topLinePunct w:val="0"/>
              <w:bidi w:val="0"/>
              <w:adjustRightInd w:val="0"/>
              <w:snapToGrid/>
              <w:spacing w:line="360" w:lineRule="auto"/>
              <w:ind w:left="0" w:leftChars="0" w:firstLine="240" w:firstLineChars="100"/>
              <w:textAlignment w:val="auto"/>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1</w:t>
            </w:r>
          </w:p>
        </w:tc>
        <w:tc>
          <w:tcPr>
            <w:tcW w:w="1233" w:type="dxa"/>
            <w:vAlign w:val="center"/>
          </w:tcPr>
          <w:p w14:paraId="1C162FD0">
            <w:pPr>
              <w:keepNext w:val="0"/>
              <w:keepLines w:val="0"/>
              <w:pageBreakBefore w:val="0"/>
              <w:widowControl w:val="0"/>
              <w:kinsoku/>
              <w:wordWrap/>
              <w:overflowPunct/>
              <w:topLinePunct w:val="0"/>
              <w:bidi w:val="0"/>
              <w:adjustRightInd w:val="0"/>
              <w:snapToGrid/>
              <w:spacing w:line="360" w:lineRule="auto"/>
              <w:ind w:left="0" w:leftChars="0"/>
              <w:jc w:val="center"/>
              <w:textAlignment w:val="auto"/>
              <w:rPr>
                <w:rFonts w:hint="default" w:cs="宋体" w:asciiTheme="minorEastAsia" w:hAnsiTheme="minorEastAsia" w:eastAsiaTheme="minorEastAsia"/>
                <w:sz w:val="24"/>
                <w:lang w:val="en-US" w:eastAsia="zh-CN"/>
              </w:rPr>
            </w:pPr>
          </w:p>
        </w:tc>
        <w:tc>
          <w:tcPr>
            <w:tcW w:w="2000" w:type="dxa"/>
            <w:vAlign w:val="center"/>
          </w:tcPr>
          <w:p w14:paraId="0C746BFF">
            <w:pPr>
              <w:pStyle w:val="16"/>
              <w:keepNext w:val="0"/>
              <w:keepLines w:val="0"/>
              <w:pageBreakBefore w:val="0"/>
              <w:widowControl w:val="0"/>
              <w:kinsoku/>
              <w:wordWrap/>
              <w:overflowPunct/>
              <w:topLinePunct w:val="0"/>
              <w:bidi w:val="0"/>
              <w:adjustRightInd w:val="0"/>
              <w:snapToGrid/>
              <w:spacing w:line="360" w:lineRule="auto"/>
              <w:ind w:left="0" w:leftChars="0"/>
              <w:jc w:val="left"/>
              <w:textAlignment w:val="auto"/>
              <w:rPr>
                <w:rFonts w:hint="eastAsia" w:cs="宋体" w:asciiTheme="minorEastAsia" w:hAnsiTheme="minorEastAsia" w:eastAsiaTheme="minorEastAsia"/>
                <w:sz w:val="24"/>
                <w:szCs w:val="24"/>
                <w:lang w:val="en-US" w:eastAsia="zh-CN"/>
              </w:rPr>
            </w:pPr>
          </w:p>
        </w:tc>
        <w:tc>
          <w:tcPr>
            <w:tcW w:w="2000" w:type="dxa"/>
            <w:vAlign w:val="center"/>
          </w:tcPr>
          <w:p w14:paraId="3090CB21">
            <w:pPr>
              <w:keepNext w:val="0"/>
              <w:keepLines w:val="0"/>
              <w:pageBreakBefore w:val="0"/>
              <w:widowControl w:val="0"/>
              <w:shd w:val="clear" w:color="auto" w:fill="FFFFFF"/>
              <w:kinsoku/>
              <w:wordWrap/>
              <w:overflowPunct/>
              <w:topLinePunct w:val="0"/>
              <w:bidi w:val="0"/>
              <w:adjustRightInd w:val="0"/>
              <w:snapToGrid/>
              <w:spacing w:line="360" w:lineRule="auto"/>
              <w:ind w:left="0" w:leftChars="0"/>
              <w:jc w:val="center"/>
              <w:textAlignment w:val="auto"/>
              <w:rPr>
                <w:rFonts w:hint="default" w:cs="宋体" w:asciiTheme="minorEastAsia" w:hAnsiTheme="minorEastAsia" w:eastAsiaTheme="minorEastAsia"/>
                <w:sz w:val="24"/>
                <w:lang w:val="en-US" w:eastAsia="zh-CN"/>
              </w:rPr>
            </w:pPr>
          </w:p>
        </w:tc>
        <w:tc>
          <w:tcPr>
            <w:tcW w:w="963" w:type="dxa"/>
            <w:vAlign w:val="center"/>
          </w:tcPr>
          <w:p w14:paraId="7B8B4A9A">
            <w:pPr>
              <w:pStyle w:val="4"/>
              <w:keepNext w:val="0"/>
              <w:keepLines w:val="0"/>
              <w:pageBreakBefore w:val="0"/>
              <w:widowControl w:val="0"/>
              <w:kinsoku/>
              <w:wordWrap/>
              <w:overflowPunct/>
              <w:topLinePunct w:val="0"/>
              <w:bidi w:val="0"/>
              <w:adjustRightInd w:val="0"/>
              <w:snapToGrid/>
              <w:spacing w:line="360" w:lineRule="auto"/>
              <w:ind w:left="0" w:leftChars="0" w:firstLine="0"/>
              <w:jc w:val="center"/>
              <w:textAlignment w:val="auto"/>
              <w:rPr>
                <w:rFonts w:hint="default" w:cs="宋体" w:asciiTheme="minorEastAsia" w:hAnsiTheme="minorEastAsia" w:eastAsiaTheme="minorEastAsia"/>
                <w:szCs w:val="24"/>
                <w:lang w:val="en-US" w:eastAsia="zh-CN"/>
              </w:rPr>
            </w:pPr>
          </w:p>
        </w:tc>
        <w:tc>
          <w:tcPr>
            <w:tcW w:w="932" w:type="dxa"/>
            <w:vAlign w:val="center"/>
          </w:tcPr>
          <w:p w14:paraId="3E9208B3">
            <w:pPr>
              <w:pStyle w:val="4"/>
              <w:keepNext w:val="0"/>
              <w:keepLines w:val="0"/>
              <w:pageBreakBefore w:val="0"/>
              <w:widowControl w:val="0"/>
              <w:kinsoku/>
              <w:wordWrap/>
              <w:overflowPunct/>
              <w:topLinePunct w:val="0"/>
              <w:bidi w:val="0"/>
              <w:adjustRightInd w:val="0"/>
              <w:snapToGrid/>
              <w:spacing w:line="360" w:lineRule="auto"/>
              <w:ind w:left="0" w:leftChars="0" w:firstLine="0"/>
              <w:jc w:val="center"/>
              <w:textAlignment w:val="auto"/>
              <w:rPr>
                <w:rFonts w:cs="宋体" w:asciiTheme="minorEastAsia" w:hAnsiTheme="minorEastAsia" w:eastAsiaTheme="minorEastAsia"/>
                <w:szCs w:val="24"/>
                <w:lang w:val="en-US"/>
              </w:rPr>
            </w:pPr>
          </w:p>
        </w:tc>
      </w:tr>
      <w:tr w14:paraId="4393BD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jc w:val="center"/>
        </w:trPr>
        <w:tc>
          <w:tcPr>
            <w:tcW w:w="875" w:type="dxa"/>
            <w:vAlign w:val="center"/>
          </w:tcPr>
          <w:p w14:paraId="683B1B6B">
            <w:pPr>
              <w:pStyle w:val="4"/>
              <w:keepNext w:val="0"/>
              <w:keepLines w:val="0"/>
              <w:pageBreakBefore w:val="0"/>
              <w:widowControl w:val="0"/>
              <w:kinsoku/>
              <w:wordWrap/>
              <w:overflowPunct/>
              <w:topLinePunct w:val="0"/>
              <w:bidi w:val="0"/>
              <w:adjustRightInd w:val="0"/>
              <w:snapToGrid/>
              <w:spacing w:line="360" w:lineRule="auto"/>
              <w:ind w:left="0" w:leftChars="0" w:firstLine="240" w:firstLineChars="100"/>
              <w:textAlignment w:val="auto"/>
              <w:rPr>
                <w:rFonts w:hint="eastAsia" w:cs="宋体" w:asciiTheme="minorEastAsia" w:hAnsiTheme="minorEastAsia" w:eastAsiaTheme="minorEastAsia"/>
                <w:szCs w:val="24"/>
                <w:lang w:val="en-US"/>
              </w:rPr>
            </w:pPr>
          </w:p>
        </w:tc>
        <w:tc>
          <w:tcPr>
            <w:tcW w:w="1233" w:type="dxa"/>
            <w:vAlign w:val="center"/>
          </w:tcPr>
          <w:p w14:paraId="3A3A7B14">
            <w:pPr>
              <w:keepNext w:val="0"/>
              <w:keepLines w:val="0"/>
              <w:pageBreakBefore w:val="0"/>
              <w:widowControl w:val="0"/>
              <w:kinsoku/>
              <w:wordWrap/>
              <w:overflowPunct/>
              <w:topLinePunct w:val="0"/>
              <w:bidi w:val="0"/>
              <w:adjustRightInd w:val="0"/>
              <w:snapToGrid/>
              <w:spacing w:line="360" w:lineRule="auto"/>
              <w:ind w:left="0" w:leftChars="0"/>
              <w:jc w:val="center"/>
              <w:textAlignment w:val="auto"/>
              <w:rPr>
                <w:rFonts w:hint="default" w:cs="宋体" w:asciiTheme="minorEastAsia" w:hAnsiTheme="minorEastAsia" w:eastAsiaTheme="minorEastAsia"/>
                <w:sz w:val="24"/>
                <w:lang w:val="en-US" w:eastAsia="zh-CN"/>
              </w:rPr>
            </w:pPr>
          </w:p>
        </w:tc>
        <w:tc>
          <w:tcPr>
            <w:tcW w:w="2000" w:type="dxa"/>
            <w:vAlign w:val="center"/>
          </w:tcPr>
          <w:p w14:paraId="6AB5F8EF">
            <w:pPr>
              <w:pStyle w:val="16"/>
              <w:keepNext w:val="0"/>
              <w:keepLines w:val="0"/>
              <w:pageBreakBefore w:val="0"/>
              <w:widowControl w:val="0"/>
              <w:kinsoku/>
              <w:wordWrap/>
              <w:overflowPunct/>
              <w:topLinePunct w:val="0"/>
              <w:bidi w:val="0"/>
              <w:adjustRightInd w:val="0"/>
              <w:snapToGrid/>
              <w:spacing w:line="360" w:lineRule="auto"/>
              <w:ind w:left="0" w:leftChars="0"/>
              <w:jc w:val="left"/>
              <w:textAlignment w:val="auto"/>
              <w:rPr>
                <w:rFonts w:hint="eastAsia" w:cs="宋体" w:asciiTheme="minorEastAsia" w:hAnsiTheme="minorEastAsia" w:eastAsiaTheme="minorEastAsia"/>
                <w:sz w:val="24"/>
                <w:szCs w:val="24"/>
                <w:lang w:val="en-US" w:eastAsia="zh-CN"/>
              </w:rPr>
            </w:pPr>
          </w:p>
        </w:tc>
        <w:tc>
          <w:tcPr>
            <w:tcW w:w="2000" w:type="dxa"/>
            <w:vAlign w:val="center"/>
          </w:tcPr>
          <w:p w14:paraId="2EB381E3">
            <w:pPr>
              <w:keepNext w:val="0"/>
              <w:keepLines w:val="0"/>
              <w:pageBreakBefore w:val="0"/>
              <w:widowControl w:val="0"/>
              <w:shd w:val="clear" w:color="auto" w:fill="FFFFFF"/>
              <w:kinsoku/>
              <w:wordWrap/>
              <w:overflowPunct/>
              <w:topLinePunct w:val="0"/>
              <w:bidi w:val="0"/>
              <w:adjustRightInd w:val="0"/>
              <w:snapToGrid/>
              <w:spacing w:line="360" w:lineRule="auto"/>
              <w:ind w:left="0" w:leftChars="0"/>
              <w:jc w:val="center"/>
              <w:textAlignment w:val="auto"/>
              <w:rPr>
                <w:rFonts w:hint="default" w:cs="宋体" w:asciiTheme="minorEastAsia" w:hAnsiTheme="minorEastAsia" w:eastAsiaTheme="minorEastAsia"/>
                <w:sz w:val="24"/>
                <w:lang w:val="en-US" w:eastAsia="zh-CN"/>
              </w:rPr>
            </w:pPr>
          </w:p>
        </w:tc>
        <w:tc>
          <w:tcPr>
            <w:tcW w:w="963" w:type="dxa"/>
            <w:vAlign w:val="center"/>
          </w:tcPr>
          <w:p w14:paraId="75765C54">
            <w:pPr>
              <w:pStyle w:val="4"/>
              <w:keepNext w:val="0"/>
              <w:keepLines w:val="0"/>
              <w:pageBreakBefore w:val="0"/>
              <w:widowControl w:val="0"/>
              <w:kinsoku/>
              <w:wordWrap/>
              <w:overflowPunct/>
              <w:topLinePunct w:val="0"/>
              <w:bidi w:val="0"/>
              <w:adjustRightInd w:val="0"/>
              <w:snapToGrid/>
              <w:spacing w:line="360" w:lineRule="auto"/>
              <w:ind w:left="0" w:leftChars="0" w:firstLine="0"/>
              <w:jc w:val="center"/>
              <w:textAlignment w:val="auto"/>
              <w:rPr>
                <w:rFonts w:hint="default" w:cs="宋体" w:asciiTheme="minorEastAsia" w:hAnsiTheme="minorEastAsia" w:eastAsiaTheme="minorEastAsia"/>
                <w:szCs w:val="24"/>
                <w:lang w:val="en-US" w:eastAsia="zh-CN"/>
              </w:rPr>
            </w:pPr>
          </w:p>
        </w:tc>
        <w:tc>
          <w:tcPr>
            <w:tcW w:w="932" w:type="dxa"/>
            <w:vAlign w:val="center"/>
          </w:tcPr>
          <w:p w14:paraId="28DC1C96">
            <w:pPr>
              <w:pStyle w:val="4"/>
              <w:keepNext w:val="0"/>
              <w:keepLines w:val="0"/>
              <w:pageBreakBefore w:val="0"/>
              <w:widowControl w:val="0"/>
              <w:kinsoku/>
              <w:wordWrap/>
              <w:overflowPunct/>
              <w:topLinePunct w:val="0"/>
              <w:bidi w:val="0"/>
              <w:adjustRightInd w:val="0"/>
              <w:snapToGrid/>
              <w:spacing w:line="360" w:lineRule="auto"/>
              <w:ind w:left="0" w:leftChars="0" w:firstLine="0"/>
              <w:jc w:val="center"/>
              <w:textAlignment w:val="auto"/>
              <w:rPr>
                <w:rFonts w:cs="宋体" w:asciiTheme="minorEastAsia" w:hAnsiTheme="minorEastAsia" w:eastAsiaTheme="minorEastAsia"/>
                <w:szCs w:val="24"/>
                <w:lang w:val="en-US"/>
              </w:rPr>
            </w:pPr>
          </w:p>
        </w:tc>
      </w:tr>
      <w:tr w14:paraId="0D14EC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jc w:val="center"/>
        </w:trPr>
        <w:tc>
          <w:tcPr>
            <w:tcW w:w="875" w:type="dxa"/>
            <w:vAlign w:val="center"/>
          </w:tcPr>
          <w:p w14:paraId="01FFCF49">
            <w:pPr>
              <w:pStyle w:val="4"/>
              <w:keepNext w:val="0"/>
              <w:keepLines w:val="0"/>
              <w:pageBreakBefore w:val="0"/>
              <w:widowControl w:val="0"/>
              <w:kinsoku/>
              <w:wordWrap/>
              <w:overflowPunct/>
              <w:topLinePunct w:val="0"/>
              <w:bidi w:val="0"/>
              <w:adjustRightInd w:val="0"/>
              <w:snapToGrid/>
              <w:spacing w:line="360" w:lineRule="auto"/>
              <w:ind w:left="0" w:leftChars="0" w:firstLine="240" w:firstLineChars="100"/>
              <w:textAlignment w:val="auto"/>
              <w:rPr>
                <w:rFonts w:hint="eastAsia" w:cs="宋体" w:asciiTheme="minorEastAsia" w:hAnsiTheme="minorEastAsia" w:eastAsiaTheme="minorEastAsia"/>
                <w:szCs w:val="24"/>
                <w:lang w:val="en-US"/>
              </w:rPr>
            </w:pPr>
          </w:p>
        </w:tc>
        <w:tc>
          <w:tcPr>
            <w:tcW w:w="1233" w:type="dxa"/>
            <w:vAlign w:val="center"/>
          </w:tcPr>
          <w:p w14:paraId="3F62779B">
            <w:pPr>
              <w:keepNext w:val="0"/>
              <w:keepLines w:val="0"/>
              <w:pageBreakBefore w:val="0"/>
              <w:widowControl w:val="0"/>
              <w:kinsoku/>
              <w:wordWrap/>
              <w:overflowPunct/>
              <w:topLinePunct w:val="0"/>
              <w:bidi w:val="0"/>
              <w:adjustRightInd w:val="0"/>
              <w:snapToGrid/>
              <w:spacing w:line="360" w:lineRule="auto"/>
              <w:ind w:left="0" w:leftChars="0"/>
              <w:jc w:val="center"/>
              <w:textAlignment w:val="auto"/>
              <w:rPr>
                <w:rFonts w:hint="default" w:cs="宋体" w:asciiTheme="minorEastAsia" w:hAnsiTheme="minorEastAsia" w:eastAsiaTheme="minorEastAsia"/>
                <w:sz w:val="24"/>
                <w:lang w:val="en-US" w:eastAsia="zh-CN"/>
              </w:rPr>
            </w:pPr>
          </w:p>
        </w:tc>
        <w:tc>
          <w:tcPr>
            <w:tcW w:w="2000" w:type="dxa"/>
            <w:vAlign w:val="center"/>
          </w:tcPr>
          <w:p w14:paraId="2675F8BC">
            <w:pPr>
              <w:pStyle w:val="16"/>
              <w:keepNext w:val="0"/>
              <w:keepLines w:val="0"/>
              <w:pageBreakBefore w:val="0"/>
              <w:widowControl w:val="0"/>
              <w:kinsoku/>
              <w:wordWrap/>
              <w:overflowPunct/>
              <w:topLinePunct w:val="0"/>
              <w:bidi w:val="0"/>
              <w:adjustRightInd w:val="0"/>
              <w:snapToGrid/>
              <w:spacing w:line="360" w:lineRule="auto"/>
              <w:ind w:left="0" w:leftChars="0"/>
              <w:jc w:val="left"/>
              <w:textAlignment w:val="auto"/>
              <w:rPr>
                <w:rFonts w:hint="eastAsia" w:cs="宋体" w:asciiTheme="minorEastAsia" w:hAnsiTheme="minorEastAsia" w:eastAsiaTheme="minorEastAsia"/>
                <w:sz w:val="24"/>
                <w:szCs w:val="24"/>
                <w:lang w:val="en-US" w:eastAsia="zh-CN"/>
              </w:rPr>
            </w:pPr>
          </w:p>
        </w:tc>
        <w:tc>
          <w:tcPr>
            <w:tcW w:w="2000" w:type="dxa"/>
            <w:vAlign w:val="center"/>
          </w:tcPr>
          <w:p w14:paraId="4DB2BB72">
            <w:pPr>
              <w:keepNext w:val="0"/>
              <w:keepLines w:val="0"/>
              <w:pageBreakBefore w:val="0"/>
              <w:widowControl w:val="0"/>
              <w:shd w:val="clear" w:color="auto" w:fill="FFFFFF"/>
              <w:kinsoku/>
              <w:wordWrap/>
              <w:overflowPunct/>
              <w:topLinePunct w:val="0"/>
              <w:bidi w:val="0"/>
              <w:adjustRightInd w:val="0"/>
              <w:snapToGrid/>
              <w:spacing w:line="360" w:lineRule="auto"/>
              <w:ind w:left="0" w:leftChars="0"/>
              <w:jc w:val="center"/>
              <w:textAlignment w:val="auto"/>
              <w:rPr>
                <w:rFonts w:hint="default" w:cs="宋体" w:asciiTheme="minorEastAsia" w:hAnsiTheme="minorEastAsia" w:eastAsiaTheme="minorEastAsia"/>
                <w:sz w:val="24"/>
                <w:lang w:val="en-US" w:eastAsia="zh-CN"/>
              </w:rPr>
            </w:pPr>
          </w:p>
        </w:tc>
        <w:tc>
          <w:tcPr>
            <w:tcW w:w="963" w:type="dxa"/>
            <w:vAlign w:val="center"/>
          </w:tcPr>
          <w:p w14:paraId="12A3C018">
            <w:pPr>
              <w:pStyle w:val="4"/>
              <w:keepNext w:val="0"/>
              <w:keepLines w:val="0"/>
              <w:pageBreakBefore w:val="0"/>
              <w:widowControl w:val="0"/>
              <w:kinsoku/>
              <w:wordWrap/>
              <w:overflowPunct/>
              <w:topLinePunct w:val="0"/>
              <w:bidi w:val="0"/>
              <w:adjustRightInd w:val="0"/>
              <w:snapToGrid/>
              <w:spacing w:line="360" w:lineRule="auto"/>
              <w:ind w:left="0" w:leftChars="0" w:firstLine="0"/>
              <w:jc w:val="center"/>
              <w:textAlignment w:val="auto"/>
              <w:rPr>
                <w:rFonts w:hint="default" w:cs="宋体" w:asciiTheme="minorEastAsia" w:hAnsiTheme="minorEastAsia" w:eastAsiaTheme="minorEastAsia"/>
                <w:szCs w:val="24"/>
                <w:lang w:val="en-US" w:eastAsia="zh-CN"/>
              </w:rPr>
            </w:pPr>
          </w:p>
        </w:tc>
        <w:tc>
          <w:tcPr>
            <w:tcW w:w="932" w:type="dxa"/>
            <w:vAlign w:val="center"/>
          </w:tcPr>
          <w:p w14:paraId="1DC1EE66">
            <w:pPr>
              <w:pStyle w:val="4"/>
              <w:keepNext w:val="0"/>
              <w:keepLines w:val="0"/>
              <w:pageBreakBefore w:val="0"/>
              <w:widowControl w:val="0"/>
              <w:kinsoku/>
              <w:wordWrap/>
              <w:overflowPunct/>
              <w:topLinePunct w:val="0"/>
              <w:bidi w:val="0"/>
              <w:adjustRightInd w:val="0"/>
              <w:snapToGrid/>
              <w:spacing w:line="360" w:lineRule="auto"/>
              <w:ind w:left="0" w:leftChars="0" w:firstLine="0"/>
              <w:jc w:val="center"/>
              <w:textAlignment w:val="auto"/>
              <w:rPr>
                <w:rFonts w:cs="宋体" w:asciiTheme="minorEastAsia" w:hAnsiTheme="minorEastAsia" w:eastAsiaTheme="minorEastAsia"/>
                <w:szCs w:val="24"/>
                <w:lang w:val="en-US"/>
              </w:rPr>
            </w:pPr>
          </w:p>
        </w:tc>
      </w:tr>
      <w:tr w14:paraId="19F8B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jc w:val="center"/>
        </w:trPr>
        <w:tc>
          <w:tcPr>
            <w:tcW w:w="875" w:type="dxa"/>
            <w:vAlign w:val="center"/>
          </w:tcPr>
          <w:p w14:paraId="31ADB27D">
            <w:pPr>
              <w:pStyle w:val="4"/>
              <w:keepNext w:val="0"/>
              <w:keepLines w:val="0"/>
              <w:pageBreakBefore w:val="0"/>
              <w:widowControl w:val="0"/>
              <w:kinsoku/>
              <w:wordWrap/>
              <w:overflowPunct/>
              <w:topLinePunct w:val="0"/>
              <w:bidi w:val="0"/>
              <w:adjustRightInd w:val="0"/>
              <w:snapToGrid/>
              <w:spacing w:line="360" w:lineRule="auto"/>
              <w:ind w:left="0" w:leftChars="0" w:firstLine="240" w:firstLineChars="100"/>
              <w:textAlignment w:val="auto"/>
              <w:rPr>
                <w:rFonts w:hint="eastAsia" w:cs="宋体" w:asciiTheme="minorEastAsia" w:hAnsiTheme="minorEastAsia" w:eastAsiaTheme="minorEastAsia"/>
                <w:szCs w:val="24"/>
                <w:lang w:val="en-US"/>
              </w:rPr>
            </w:pPr>
          </w:p>
        </w:tc>
        <w:tc>
          <w:tcPr>
            <w:tcW w:w="1233" w:type="dxa"/>
            <w:vAlign w:val="center"/>
          </w:tcPr>
          <w:p w14:paraId="1402122B">
            <w:pPr>
              <w:keepNext w:val="0"/>
              <w:keepLines w:val="0"/>
              <w:pageBreakBefore w:val="0"/>
              <w:widowControl w:val="0"/>
              <w:kinsoku/>
              <w:wordWrap/>
              <w:overflowPunct/>
              <w:topLinePunct w:val="0"/>
              <w:bidi w:val="0"/>
              <w:adjustRightInd w:val="0"/>
              <w:snapToGrid/>
              <w:spacing w:line="360" w:lineRule="auto"/>
              <w:ind w:left="0" w:leftChars="0"/>
              <w:jc w:val="center"/>
              <w:textAlignment w:val="auto"/>
              <w:rPr>
                <w:rFonts w:hint="default" w:cs="宋体" w:asciiTheme="minorEastAsia" w:hAnsiTheme="minorEastAsia" w:eastAsiaTheme="minorEastAsia"/>
                <w:sz w:val="24"/>
                <w:lang w:val="en-US" w:eastAsia="zh-CN"/>
              </w:rPr>
            </w:pPr>
          </w:p>
        </w:tc>
        <w:tc>
          <w:tcPr>
            <w:tcW w:w="2000" w:type="dxa"/>
            <w:vAlign w:val="center"/>
          </w:tcPr>
          <w:p w14:paraId="565C1668">
            <w:pPr>
              <w:pStyle w:val="16"/>
              <w:keepNext w:val="0"/>
              <w:keepLines w:val="0"/>
              <w:pageBreakBefore w:val="0"/>
              <w:widowControl w:val="0"/>
              <w:kinsoku/>
              <w:wordWrap/>
              <w:overflowPunct/>
              <w:topLinePunct w:val="0"/>
              <w:bidi w:val="0"/>
              <w:adjustRightInd w:val="0"/>
              <w:snapToGrid/>
              <w:spacing w:line="360" w:lineRule="auto"/>
              <w:ind w:left="0" w:leftChars="0"/>
              <w:jc w:val="left"/>
              <w:textAlignment w:val="auto"/>
              <w:rPr>
                <w:rFonts w:hint="eastAsia" w:cs="宋体" w:asciiTheme="minorEastAsia" w:hAnsiTheme="minorEastAsia" w:eastAsiaTheme="minorEastAsia"/>
                <w:sz w:val="24"/>
                <w:szCs w:val="24"/>
                <w:lang w:val="en-US" w:eastAsia="zh-CN"/>
              </w:rPr>
            </w:pPr>
          </w:p>
        </w:tc>
        <w:tc>
          <w:tcPr>
            <w:tcW w:w="2000" w:type="dxa"/>
            <w:vAlign w:val="center"/>
          </w:tcPr>
          <w:p w14:paraId="250E1BC4">
            <w:pPr>
              <w:keepNext w:val="0"/>
              <w:keepLines w:val="0"/>
              <w:pageBreakBefore w:val="0"/>
              <w:widowControl w:val="0"/>
              <w:shd w:val="clear" w:color="auto" w:fill="FFFFFF"/>
              <w:kinsoku/>
              <w:wordWrap/>
              <w:overflowPunct/>
              <w:topLinePunct w:val="0"/>
              <w:bidi w:val="0"/>
              <w:adjustRightInd w:val="0"/>
              <w:snapToGrid/>
              <w:spacing w:line="360" w:lineRule="auto"/>
              <w:ind w:left="0" w:leftChars="0"/>
              <w:jc w:val="center"/>
              <w:textAlignment w:val="auto"/>
              <w:rPr>
                <w:rFonts w:hint="default" w:cs="宋体" w:asciiTheme="minorEastAsia" w:hAnsiTheme="minorEastAsia" w:eastAsiaTheme="minorEastAsia"/>
                <w:sz w:val="24"/>
                <w:lang w:val="en-US" w:eastAsia="zh-CN"/>
              </w:rPr>
            </w:pPr>
          </w:p>
        </w:tc>
        <w:tc>
          <w:tcPr>
            <w:tcW w:w="963" w:type="dxa"/>
            <w:vAlign w:val="center"/>
          </w:tcPr>
          <w:p w14:paraId="35F8399B">
            <w:pPr>
              <w:pStyle w:val="4"/>
              <w:keepNext w:val="0"/>
              <w:keepLines w:val="0"/>
              <w:pageBreakBefore w:val="0"/>
              <w:widowControl w:val="0"/>
              <w:kinsoku/>
              <w:wordWrap/>
              <w:overflowPunct/>
              <w:topLinePunct w:val="0"/>
              <w:bidi w:val="0"/>
              <w:adjustRightInd w:val="0"/>
              <w:snapToGrid/>
              <w:spacing w:line="360" w:lineRule="auto"/>
              <w:ind w:left="0" w:leftChars="0" w:firstLine="0"/>
              <w:jc w:val="center"/>
              <w:textAlignment w:val="auto"/>
              <w:rPr>
                <w:rFonts w:hint="default" w:cs="宋体" w:asciiTheme="minorEastAsia" w:hAnsiTheme="minorEastAsia" w:eastAsiaTheme="minorEastAsia"/>
                <w:szCs w:val="24"/>
                <w:lang w:val="en-US" w:eastAsia="zh-CN"/>
              </w:rPr>
            </w:pPr>
          </w:p>
        </w:tc>
        <w:tc>
          <w:tcPr>
            <w:tcW w:w="932" w:type="dxa"/>
            <w:vAlign w:val="center"/>
          </w:tcPr>
          <w:p w14:paraId="4844E7F3">
            <w:pPr>
              <w:pStyle w:val="4"/>
              <w:keepNext w:val="0"/>
              <w:keepLines w:val="0"/>
              <w:pageBreakBefore w:val="0"/>
              <w:widowControl w:val="0"/>
              <w:kinsoku/>
              <w:wordWrap/>
              <w:overflowPunct/>
              <w:topLinePunct w:val="0"/>
              <w:bidi w:val="0"/>
              <w:adjustRightInd w:val="0"/>
              <w:snapToGrid/>
              <w:spacing w:line="360" w:lineRule="auto"/>
              <w:ind w:left="0" w:leftChars="0" w:firstLine="0"/>
              <w:jc w:val="center"/>
              <w:textAlignment w:val="auto"/>
              <w:rPr>
                <w:rFonts w:cs="宋体" w:asciiTheme="minorEastAsia" w:hAnsiTheme="minorEastAsia" w:eastAsiaTheme="minorEastAsia"/>
                <w:szCs w:val="24"/>
                <w:lang w:val="en-US"/>
              </w:rPr>
            </w:pPr>
          </w:p>
        </w:tc>
      </w:tr>
      <w:tr w14:paraId="0EBEB8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jc w:val="center"/>
        </w:trPr>
        <w:tc>
          <w:tcPr>
            <w:tcW w:w="2108" w:type="dxa"/>
            <w:gridSpan w:val="2"/>
            <w:vAlign w:val="center"/>
          </w:tcPr>
          <w:p w14:paraId="70C2E2E4">
            <w:pPr>
              <w:keepNext w:val="0"/>
              <w:keepLines w:val="0"/>
              <w:pageBreakBefore w:val="0"/>
              <w:widowControl w:val="0"/>
              <w:kinsoku/>
              <w:wordWrap/>
              <w:overflowPunct/>
              <w:topLinePunct w:val="0"/>
              <w:bidi w:val="0"/>
              <w:adjustRightInd w:val="0"/>
              <w:snapToGrid/>
              <w:spacing w:line="360" w:lineRule="auto"/>
              <w:ind w:left="0" w:leftChars="0"/>
              <w:jc w:val="center"/>
              <w:textAlignment w:val="auto"/>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合计</w:t>
            </w:r>
          </w:p>
        </w:tc>
        <w:tc>
          <w:tcPr>
            <w:tcW w:w="5895" w:type="dxa"/>
            <w:gridSpan w:val="4"/>
            <w:vAlign w:val="center"/>
          </w:tcPr>
          <w:p w14:paraId="2E5969B8">
            <w:pPr>
              <w:pStyle w:val="4"/>
              <w:keepNext w:val="0"/>
              <w:keepLines w:val="0"/>
              <w:pageBreakBefore w:val="0"/>
              <w:widowControl w:val="0"/>
              <w:kinsoku/>
              <w:wordWrap/>
              <w:overflowPunct/>
              <w:topLinePunct w:val="0"/>
              <w:bidi w:val="0"/>
              <w:adjustRightInd w:val="0"/>
              <w:snapToGrid/>
              <w:spacing w:line="360" w:lineRule="auto"/>
              <w:ind w:left="0" w:leftChars="0" w:firstLine="0"/>
              <w:jc w:val="center"/>
              <w:textAlignment w:val="auto"/>
              <w:rPr>
                <w:rFonts w:hint="eastAsia" w:asciiTheme="minorEastAsia" w:hAnsiTheme="minorEastAsia" w:eastAsiaTheme="minorEastAsia"/>
                <w:bCs/>
                <w:color w:val="auto"/>
                <w:sz w:val="24"/>
              </w:rPr>
            </w:pPr>
          </w:p>
        </w:tc>
      </w:tr>
    </w:tbl>
    <w:p w14:paraId="347BE2DC">
      <w:pPr>
        <w:keepNext w:val="0"/>
        <w:keepLines w:val="0"/>
        <w:pageBreakBefore w:val="0"/>
        <w:widowControl w:val="0"/>
        <w:kinsoku/>
        <w:wordWrap/>
        <w:overflowPunct/>
        <w:topLinePunct w:val="0"/>
        <w:autoSpaceDE/>
        <w:autoSpaceDN/>
        <w:bidi w:val="0"/>
        <w:adjustRightInd w:val="0"/>
        <w:snapToGrid/>
        <w:spacing w:line="360" w:lineRule="auto"/>
        <w:ind w:left="0" w:leftChars="0" w:firstLine="480"/>
        <w:textAlignment w:val="auto"/>
        <w:rPr>
          <w:rFonts w:hint="eastAsia" w:ascii="宋体" w:hAnsi="宋体" w:eastAsia="宋体" w:cs="宋体"/>
          <w:sz w:val="24"/>
          <w:szCs w:val="32"/>
          <w:lang w:eastAsia="zh-CN"/>
        </w:rPr>
      </w:pPr>
      <w:r>
        <w:rPr>
          <w:rFonts w:hint="eastAsia" w:ascii="宋体" w:hAnsi="宋体" w:cs="宋体"/>
          <w:sz w:val="24"/>
          <w:szCs w:val="32"/>
          <w:lang w:val="en-US" w:eastAsia="zh-CN"/>
        </w:rPr>
        <w:t>注：本项目采用交钥匙模式，上述价格</w:t>
      </w:r>
      <w:r>
        <w:rPr>
          <w:rFonts w:hint="eastAsia" w:ascii="宋体" w:hAnsi="宋体" w:cs="宋体"/>
          <w:sz w:val="24"/>
          <w:szCs w:val="32"/>
        </w:rPr>
        <w:t>包含</w:t>
      </w:r>
      <w:r>
        <w:rPr>
          <w:rFonts w:hint="eastAsia" w:ascii="宋体" w:hAnsi="宋体" w:cs="宋体"/>
          <w:sz w:val="24"/>
          <w:szCs w:val="32"/>
          <w:lang w:val="en-US" w:eastAsia="zh-CN"/>
        </w:rPr>
        <w:t>但不仅限于</w:t>
      </w:r>
      <w:r>
        <w:rPr>
          <w:rFonts w:hint="eastAsia" w:ascii="宋体" w:hAnsi="宋体" w:cs="宋体"/>
          <w:sz w:val="24"/>
          <w:szCs w:val="32"/>
        </w:rPr>
        <w:t>货物价款、途中运输费、装卸车费、仓储费、保险费、途中损耗费、检测验收费、技术支持、售后服务、</w:t>
      </w:r>
      <w:r>
        <w:rPr>
          <w:rFonts w:hint="eastAsia" w:ascii="宋体" w:hAnsi="宋体" w:cs="宋体"/>
          <w:sz w:val="24"/>
          <w:szCs w:val="32"/>
          <w:lang w:val="en-US" w:eastAsia="zh-CN"/>
        </w:rPr>
        <w:t>货物</w:t>
      </w:r>
      <w:r>
        <w:rPr>
          <w:rFonts w:hint="eastAsia" w:ascii="宋体" w:hAnsi="宋体" w:cs="宋体"/>
          <w:sz w:val="24"/>
          <w:szCs w:val="32"/>
        </w:rPr>
        <w:t>更换所需的各种费用</w:t>
      </w:r>
      <w:r>
        <w:rPr>
          <w:rFonts w:hint="eastAsia" w:ascii="宋体" w:hAnsi="宋体" w:cs="宋体"/>
          <w:sz w:val="24"/>
          <w:szCs w:val="32"/>
          <w:lang w:eastAsia="zh-CN"/>
        </w:rPr>
        <w:t>、</w:t>
      </w:r>
      <w:r>
        <w:rPr>
          <w:rFonts w:hint="eastAsia" w:ascii="宋体" w:hAnsi="宋体" w:cs="宋体"/>
          <w:sz w:val="24"/>
          <w:szCs w:val="32"/>
        </w:rPr>
        <w:t>必要的保险费用、各项税金、合同包含的所有风险及责任等一切费用</w:t>
      </w:r>
      <w:r>
        <w:rPr>
          <w:rFonts w:hint="eastAsia" w:ascii="宋体" w:hAnsi="宋体" w:cs="宋体"/>
          <w:sz w:val="24"/>
          <w:szCs w:val="32"/>
          <w:lang w:val="en-US" w:eastAsia="zh-CN"/>
        </w:rPr>
        <w:t>。</w:t>
      </w:r>
    </w:p>
    <w:p w14:paraId="720AE73A">
      <w:pPr>
        <w:pStyle w:val="7"/>
        <w:pageBreakBefore w:val="0"/>
        <w:widowControl w:val="0"/>
        <w:kinsoku/>
        <w:wordWrap/>
        <w:overflowPunct/>
        <w:topLinePunct w:val="0"/>
        <w:autoSpaceDE/>
        <w:autoSpaceDN/>
        <w:bidi w:val="0"/>
        <w:adjustRightInd w:val="0"/>
        <w:snapToGrid/>
        <w:spacing w:before="0" w:after="0" w:line="360" w:lineRule="auto"/>
        <w:ind w:left="0" w:leftChars="0" w:firstLine="0" w:firstLineChars="0"/>
        <w:textAlignment w:val="auto"/>
        <w:rPr>
          <w:sz w:val="24"/>
          <w:szCs w:val="40"/>
        </w:rPr>
      </w:pPr>
      <w:r>
        <w:rPr>
          <w:rFonts w:hint="eastAsia"/>
          <w:sz w:val="24"/>
          <w:szCs w:val="40"/>
          <w:lang w:val="en-US" w:eastAsia="zh-CN"/>
        </w:rPr>
        <w:t>二</w:t>
      </w:r>
      <w:r>
        <w:rPr>
          <w:rFonts w:hint="eastAsia"/>
          <w:sz w:val="24"/>
          <w:szCs w:val="40"/>
        </w:rPr>
        <w:t xml:space="preserve">、技术资料 </w:t>
      </w:r>
    </w:p>
    <w:p w14:paraId="4123ABA2">
      <w:pPr>
        <w:pageBreakBefore w:val="0"/>
        <w:widowControl w:val="0"/>
        <w:kinsoku/>
        <w:wordWrap/>
        <w:overflowPunct/>
        <w:topLinePunct w:val="0"/>
        <w:autoSpaceDE/>
        <w:autoSpaceDN/>
        <w:bidi w:val="0"/>
        <w:adjustRightInd w:val="0"/>
        <w:snapToGrid/>
        <w:spacing w:line="360" w:lineRule="auto"/>
        <w:ind w:left="0" w:leftChars="0" w:firstLine="480"/>
        <w:textAlignment w:val="auto"/>
        <w:rPr>
          <w:rFonts w:ascii="宋体" w:hAnsi="宋体" w:cs="宋体"/>
          <w:sz w:val="24"/>
          <w:szCs w:val="32"/>
        </w:rPr>
      </w:pPr>
      <w:r>
        <w:rPr>
          <w:rFonts w:hint="eastAsia" w:ascii="宋体" w:hAnsi="宋体" w:cs="宋体"/>
          <w:sz w:val="24"/>
          <w:szCs w:val="32"/>
          <w:lang w:val="en-US" w:eastAsia="zh-CN"/>
        </w:rPr>
        <w:t>2</w:t>
      </w:r>
      <w:r>
        <w:rPr>
          <w:rFonts w:hint="eastAsia" w:ascii="宋体" w:hAnsi="宋体" w:cs="宋体"/>
          <w:sz w:val="24"/>
          <w:szCs w:val="32"/>
        </w:rPr>
        <w:t>.1</w:t>
      </w:r>
      <w:r>
        <w:rPr>
          <w:rFonts w:hint="eastAsia" w:ascii="宋体" w:hAnsi="宋体" w:cs="宋体"/>
          <w:sz w:val="24"/>
          <w:szCs w:val="32"/>
          <w:lang w:val="en-US" w:eastAsia="zh-CN"/>
        </w:rPr>
        <w:t xml:space="preserve"> </w:t>
      </w:r>
      <w:r>
        <w:rPr>
          <w:rFonts w:hint="eastAsia" w:ascii="宋体" w:hAnsi="宋体" w:cs="宋体"/>
          <w:sz w:val="24"/>
          <w:szCs w:val="32"/>
        </w:rPr>
        <w:t xml:space="preserve">乙方应按采购文件规定的时间向甲方提供使用货物的有关技术资料。 </w:t>
      </w:r>
    </w:p>
    <w:p w14:paraId="38235B44">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lang w:val="en-US" w:eastAsia="zh-CN"/>
        </w:rPr>
        <w:t>2</w:t>
      </w:r>
      <w:r>
        <w:rPr>
          <w:rFonts w:hint="eastAsia" w:ascii="宋体" w:hAnsi="宋体" w:cs="宋体"/>
          <w:sz w:val="24"/>
          <w:szCs w:val="32"/>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98A734B">
      <w:pPr>
        <w:pStyle w:val="7"/>
        <w:pageBreakBefore w:val="0"/>
        <w:widowControl w:val="0"/>
        <w:kinsoku/>
        <w:wordWrap/>
        <w:overflowPunct/>
        <w:topLinePunct w:val="0"/>
        <w:bidi w:val="0"/>
        <w:adjustRightInd w:val="0"/>
        <w:spacing w:before="0" w:after="0" w:line="360" w:lineRule="auto"/>
        <w:ind w:left="0" w:leftChars="0" w:firstLine="0" w:firstLineChars="0"/>
        <w:textAlignment w:val="auto"/>
        <w:rPr>
          <w:sz w:val="24"/>
          <w:szCs w:val="40"/>
        </w:rPr>
      </w:pPr>
      <w:r>
        <w:rPr>
          <w:rFonts w:hint="eastAsia"/>
          <w:sz w:val="24"/>
          <w:szCs w:val="40"/>
          <w:lang w:val="en-US" w:eastAsia="zh-CN"/>
        </w:rPr>
        <w:t>三</w:t>
      </w:r>
      <w:r>
        <w:rPr>
          <w:rFonts w:hint="eastAsia"/>
          <w:sz w:val="24"/>
          <w:szCs w:val="40"/>
        </w:rPr>
        <w:t>、知识产权</w:t>
      </w:r>
    </w:p>
    <w:p w14:paraId="54BAE3B2">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乙方应保证所提供的货物或其任何一部分均不会侵犯任何第三方的知识产权。</w:t>
      </w:r>
    </w:p>
    <w:p w14:paraId="35F24AC7">
      <w:pPr>
        <w:pStyle w:val="7"/>
        <w:pageBreakBefore w:val="0"/>
        <w:widowControl w:val="0"/>
        <w:kinsoku/>
        <w:wordWrap/>
        <w:overflowPunct/>
        <w:topLinePunct w:val="0"/>
        <w:bidi w:val="0"/>
        <w:adjustRightInd w:val="0"/>
        <w:spacing w:before="0" w:after="0" w:line="360" w:lineRule="auto"/>
        <w:ind w:left="0" w:leftChars="0" w:firstLine="0" w:firstLineChars="0"/>
        <w:textAlignment w:val="auto"/>
        <w:rPr>
          <w:sz w:val="24"/>
          <w:szCs w:val="40"/>
        </w:rPr>
      </w:pPr>
      <w:r>
        <w:rPr>
          <w:rFonts w:hint="eastAsia"/>
          <w:sz w:val="24"/>
          <w:szCs w:val="40"/>
          <w:lang w:val="en-US" w:eastAsia="zh-CN"/>
        </w:rPr>
        <w:t>四</w:t>
      </w:r>
      <w:r>
        <w:rPr>
          <w:rFonts w:hint="eastAsia"/>
          <w:sz w:val="24"/>
          <w:szCs w:val="40"/>
        </w:rPr>
        <w:t xml:space="preserve">、产权担保 </w:t>
      </w:r>
    </w:p>
    <w:p w14:paraId="36C3ED98">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 xml:space="preserve">乙方保证所交付的货物的所有权完全属于乙方且无任何抵押、查封等产权瑕疵。 </w:t>
      </w:r>
    </w:p>
    <w:p w14:paraId="6ADF3E61">
      <w:pPr>
        <w:keepNext/>
        <w:keepLines/>
        <w:pageBreakBefore w:val="0"/>
        <w:widowControl w:val="0"/>
        <w:kinsoku/>
        <w:wordWrap/>
        <w:overflowPunct/>
        <w:topLinePunct w:val="0"/>
        <w:bidi w:val="0"/>
        <w:adjustRightInd w:val="0"/>
        <w:spacing w:line="360" w:lineRule="auto"/>
        <w:ind w:left="0" w:leftChars="0"/>
        <w:textAlignment w:val="auto"/>
        <w:outlineLvl w:val="2"/>
        <w:rPr>
          <w:rFonts w:ascii="宋体" w:hAnsi="宋体" w:cs="宋体"/>
          <w:b/>
          <w:bCs/>
          <w:sz w:val="24"/>
          <w:szCs w:val="40"/>
        </w:rPr>
      </w:pPr>
      <w:r>
        <w:rPr>
          <w:rFonts w:hint="eastAsia" w:ascii="宋体" w:hAnsi="宋体" w:cs="宋体"/>
          <w:b/>
          <w:bCs/>
          <w:sz w:val="24"/>
          <w:szCs w:val="40"/>
          <w:lang w:val="en-US" w:eastAsia="zh-CN"/>
        </w:rPr>
        <w:t>五</w:t>
      </w:r>
      <w:r>
        <w:rPr>
          <w:rFonts w:hint="eastAsia" w:ascii="宋体" w:hAnsi="宋体" w:cs="宋体"/>
          <w:b/>
          <w:bCs/>
          <w:sz w:val="24"/>
          <w:szCs w:val="40"/>
        </w:rPr>
        <w:t>、履约保证金</w:t>
      </w:r>
    </w:p>
    <w:p w14:paraId="17958C7A">
      <w:pPr>
        <w:pageBreakBefore w:val="0"/>
        <w:widowControl w:val="0"/>
        <w:kinsoku/>
        <w:wordWrap/>
        <w:overflowPunct/>
        <w:topLinePunct w:val="0"/>
        <w:bidi w:val="0"/>
        <w:adjustRightInd w:val="0"/>
        <w:spacing w:line="360" w:lineRule="auto"/>
        <w:ind w:left="0" w:leftChars="0" w:firstLine="480"/>
        <w:textAlignment w:val="auto"/>
        <w:rPr>
          <w:sz w:val="24"/>
          <w:szCs w:val="32"/>
        </w:rPr>
      </w:pPr>
      <w:r>
        <w:rPr>
          <w:rFonts w:hint="eastAsia" w:ascii="宋体" w:hAnsi="宋体"/>
          <w:kern w:val="0"/>
          <w:sz w:val="24"/>
          <w:szCs w:val="32"/>
          <w:lang w:val="en-US" w:eastAsia="zh-CN"/>
        </w:rPr>
        <w:t>无</w:t>
      </w:r>
      <w:r>
        <w:rPr>
          <w:rFonts w:hint="eastAsia" w:ascii="宋体" w:hAnsi="宋体" w:cs="宋体"/>
          <w:sz w:val="24"/>
        </w:rPr>
        <w:t>。</w:t>
      </w:r>
    </w:p>
    <w:p w14:paraId="350B8CD4">
      <w:pPr>
        <w:pStyle w:val="7"/>
        <w:pageBreakBefore w:val="0"/>
        <w:widowControl w:val="0"/>
        <w:kinsoku/>
        <w:wordWrap/>
        <w:overflowPunct/>
        <w:topLinePunct w:val="0"/>
        <w:bidi w:val="0"/>
        <w:adjustRightInd w:val="0"/>
        <w:spacing w:before="0" w:after="0" w:line="360" w:lineRule="auto"/>
        <w:ind w:left="0" w:leftChars="0" w:firstLine="0" w:firstLineChars="0"/>
        <w:textAlignment w:val="auto"/>
        <w:rPr>
          <w:sz w:val="24"/>
          <w:szCs w:val="40"/>
        </w:rPr>
      </w:pPr>
      <w:r>
        <w:rPr>
          <w:rFonts w:hint="eastAsia"/>
          <w:sz w:val="24"/>
          <w:szCs w:val="40"/>
          <w:lang w:val="en-US" w:eastAsia="zh-CN"/>
        </w:rPr>
        <w:t>六</w:t>
      </w:r>
      <w:r>
        <w:rPr>
          <w:rFonts w:hint="eastAsia"/>
          <w:sz w:val="24"/>
          <w:szCs w:val="40"/>
        </w:rPr>
        <w:t>、转包或</w:t>
      </w:r>
      <w:r>
        <w:rPr>
          <w:rStyle w:val="15"/>
          <w:rFonts w:hint="eastAsia"/>
          <w:b/>
          <w:bCs w:val="0"/>
          <w:sz w:val="24"/>
          <w:szCs w:val="40"/>
        </w:rPr>
        <w:t>分</w:t>
      </w:r>
      <w:r>
        <w:rPr>
          <w:rFonts w:hint="eastAsia"/>
          <w:sz w:val="24"/>
          <w:szCs w:val="40"/>
        </w:rPr>
        <w:t xml:space="preserve">包 </w:t>
      </w:r>
    </w:p>
    <w:p w14:paraId="52D68B3C">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lang w:val="en-US" w:eastAsia="zh-CN"/>
        </w:rPr>
        <w:t>6</w:t>
      </w:r>
      <w:r>
        <w:rPr>
          <w:rFonts w:hint="eastAsia" w:ascii="宋体" w:hAnsi="宋体" w:cs="宋体"/>
          <w:sz w:val="24"/>
          <w:szCs w:val="32"/>
        </w:rPr>
        <w:t>.1本合同范围的货物，应由</w:t>
      </w:r>
      <w:r>
        <w:rPr>
          <w:rFonts w:hint="eastAsia" w:ascii="宋体" w:hAnsi="宋体" w:cs="宋体"/>
          <w:sz w:val="24"/>
          <w:szCs w:val="32"/>
          <w:lang w:val="en-US" w:eastAsia="zh-CN"/>
        </w:rPr>
        <w:t>乙方</w:t>
      </w:r>
      <w:r>
        <w:rPr>
          <w:rFonts w:hint="eastAsia" w:ascii="宋体" w:hAnsi="宋体" w:cs="宋体"/>
          <w:sz w:val="24"/>
          <w:szCs w:val="32"/>
        </w:rPr>
        <w:t>直接供应，不得转让他人供应。</w:t>
      </w:r>
    </w:p>
    <w:p w14:paraId="5FAC6A01">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lang w:val="en-US" w:eastAsia="zh-CN"/>
        </w:rPr>
        <w:t>6</w:t>
      </w:r>
      <w:r>
        <w:rPr>
          <w:rFonts w:hint="eastAsia" w:ascii="宋体" w:hAnsi="宋体" w:cs="宋体"/>
          <w:sz w:val="24"/>
          <w:szCs w:val="32"/>
        </w:rPr>
        <w:t>.2 除非得到需方的书面同意，</w:t>
      </w:r>
      <w:r>
        <w:rPr>
          <w:rFonts w:hint="eastAsia" w:ascii="宋体" w:hAnsi="宋体" w:cs="宋体"/>
          <w:sz w:val="24"/>
          <w:szCs w:val="32"/>
          <w:lang w:val="en-US" w:eastAsia="zh-CN"/>
        </w:rPr>
        <w:t>乙方</w:t>
      </w:r>
      <w:r>
        <w:rPr>
          <w:rFonts w:hint="eastAsia" w:ascii="宋体" w:hAnsi="宋体" w:cs="宋体"/>
          <w:sz w:val="24"/>
          <w:szCs w:val="32"/>
        </w:rPr>
        <w:t>不得部分分包给他人供应。</w:t>
      </w:r>
    </w:p>
    <w:p w14:paraId="6FDE01DA">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lang w:val="en-US" w:eastAsia="zh-CN"/>
        </w:rPr>
        <w:t>6</w:t>
      </w:r>
      <w:r>
        <w:rPr>
          <w:rFonts w:hint="eastAsia" w:ascii="宋体" w:hAnsi="宋体" w:cs="宋体"/>
          <w:sz w:val="24"/>
          <w:szCs w:val="32"/>
        </w:rPr>
        <w:t>.3如有转让和未经需方同意的分包行为，</w:t>
      </w:r>
      <w:r>
        <w:rPr>
          <w:rFonts w:hint="eastAsia" w:ascii="宋体" w:hAnsi="宋体" w:cs="宋体"/>
          <w:sz w:val="24"/>
          <w:szCs w:val="32"/>
          <w:lang w:val="en-US" w:eastAsia="zh-CN"/>
        </w:rPr>
        <w:t>甲方</w:t>
      </w:r>
      <w:r>
        <w:rPr>
          <w:rFonts w:hint="eastAsia" w:ascii="宋体" w:hAnsi="宋体" w:cs="宋体"/>
          <w:sz w:val="24"/>
          <w:szCs w:val="32"/>
        </w:rPr>
        <w:t xml:space="preserve">有权给予终止合同。 </w:t>
      </w:r>
    </w:p>
    <w:p w14:paraId="16817E73">
      <w:pPr>
        <w:pStyle w:val="7"/>
        <w:pageBreakBefore w:val="0"/>
        <w:widowControl w:val="0"/>
        <w:kinsoku/>
        <w:wordWrap/>
        <w:overflowPunct/>
        <w:topLinePunct w:val="0"/>
        <w:bidi w:val="0"/>
        <w:adjustRightInd w:val="0"/>
        <w:spacing w:before="0" w:after="0" w:line="360" w:lineRule="auto"/>
        <w:ind w:left="0" w:leftChars="0" w:firstLine="0" w:firstLineChars="0"/>
        <w:textAlignment w:val="auto"/>
        <w:rPr>
          <w:sz w:val="24"/>
          <w:szCs w:val="40"/>
        </w:rPr>
      </w:pPr>
      <w:r>
        <w:rPr>
          <w:rFonts w:hint="eastAsia"/>
          <w:sz w:val="24"/>
          <w:szCs w:val="40"/>
          <w:lang w:val="en-US" w:eastAsia="zh-CN"/>
        </w:rPr>
        <w:t>七</w:t>
      </w:r>
      <w:r>
        <w:rPr>
          <w:rFonts w:hint="eastAsia"/>
          <w:sz w:val="24"/>
          <w:szCs w:val="40"/>
        </w:rPr>
        <w:t>、</w:t>
      </w:r>
      <w:r>
        <w:rPr>
          <w:rFonts w:hint="eastAsia"/>
          <w:sz w:val="24"/>
          <w:szCs w:val="40"/>
          <w:lang w:val="en-US" w:eastAsia="zh-CN"/>
        </w:rPr>
        <w:t>合同期限</w:t>
      </w:r>
      <w:r>
        <w:rPr>
          <w:rFonts w:hint="eastAsia"/>
          <w:sz w:val="24"/>
          <w:szCs w:val="40"/>
        </w:rPr>
        <w:t xml:space="preserve">、交货方式及交货地点 </w:t>
      </w:r>
    </w:p>
    <w:p w14:paraId="4EAE2479">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lang w:val="en-US" w:eastAsia="zh-CN"/>
        </w:rPr>
        <w:t>7</w:t>
      </w:r>
      <w:r>
        <w:rPr>
          <w:rFonts w:hint="eastAsia" w:ascii="宋体" w:hAnsi="宋体" w:cs="宋体"/>
          <w:sz w:val="24"/>
          <w:szCs w:val="32"/>
        </w:rPr>
        <w:t xml:space="preserve">.1 </w:t>
      </w:r>
      <w:r>
        <w:rPr>
          <w:rFonts w:hint="eastAsia" w:ascii="宋体" w:hAnsi="宋体" w:cs="宋体"/>
          <w:sz w:val="24"/>
          <w:szCs w:val="32"/>
          <w:lang w:val="en-US" w:eastAsia="zh-CN"/>
        </w:rPr>
        <w:t>供货期</w:t>
      </w:r>
      <w:r>
        <w:rPr>
          <w:rFonts w:hint="eastAsia" w:ascii="宋体" w:hAnsi="宋体" w:cs="宋体"/>
          <w:sz w:val="24"/>
          <w:szCs w:val="32"/>
        </w:rPr>
        <w:t>：</w:t>
      </w:r>
      <w:r>
        <w:rPr>
          <w:rFonts w:hint="eastAsia" w:ascii="宋体" w:hAnsi="宋体" w:cs="宋体"/>
          <w:sz w:val="24"/>
          <w:szCs w:val="32"/>
          <w:lang w:val="en-US" w:eastAsia="zh-CN"/>
        </w:rPr>
        <w:t>合同签订后1个月内</w:t>
      </w:r>
      <w:r>
        <w:rPr>
          <w:rFonts w:hint="eastAsia" w:ascii="宋体" w:hAnsi="宋体" w:cs="宋体"/>
          <w:bCs/>
          <w:sz w:val="24"/>
          <w:highlight w:val="none"/>
          <w:lang w:val="en-US" w:eastAsia="zh-CN"/>
        </w:rPr>
        <w:t>。</w:t>
      </w:r>
      <w:r>
        <w:rPr>
          <w:rFonts w:hint="eastAsia" w:ascii="宋体" w:hAnsi="宋体" w:cs="宋体"/>
          <w:sz w:val="24"/>
          <w:szCs w:val="32"/>
        </w:rPr>
        <w:t xml:space="preserve"> </w:t>
      </w:r>
    </w:p>
    <w:p w14:paraId="3D01A5C1">
      <w:pPr>
        <w:pageBreakBefore w:val="0"/>
        <w:widowControl w:val="0"/>
        <w:kinsoku/>
        <w:wordWrap/>
        <w:overflowPunct/>
        <w:topLinePunct w:val="0"/>
        <w:bidi w:val="0"/>
        <w:adjustRightInd w:val="0"/>
        <w:spacing w:line="360" w:lineRule="auto"/>
        <w:ind w:left="0" w:leftChars="0" w:firstLine="480"/>
        <w:textAlignment w:val="auto"/>
        <w:rPr>
          <w:rFonts w:hint="default" w:ascii="宋体" w:hAnsi="宋体" w:eastAsia="宋体" w:cs="宋体"/>
          <w:sz w:val="24"/>
          <w:szCs w:val="32"/>
          <w:lang w:val="en-US" w:eastAsia="zh-CN"/>
        </w:rPr>
      </w:pPr>
      <w:r>
        <w:rPr>
          <w:rFonts w:hint="eastAsia" w:ascii="宋体" w:hAnsi="宋体" w:cs="宋体"/>
          <w:sz w:val="24"/>
          <w:szCs w:val="32"/>
          <w:lang w:val="en-US" w:eastAsia="zh-CN"/>
        </w:rPr>
        <w:t>7</w:t>
      </w:r>
      <w:r>
        <w:rPr>
          <w:rFonts w:hint="eastAsia" w:ascii="宋体" w:hAnsi="宋体" w:cs="宋体"/>
          <w:sz w:val="24"/>
          <w:szCs w:val="32"/>
        </w:rPr>
        <w:t>.2 交货地点：</w:t>
      </w:r>
      <w:r>
        <w:rPr>
          <w:rFonts w:hint="eastAsia" w:ascii="宋体" w:hAnsi="宋体" w:cs="宋体"/>
          <w:sz w:val="24"/>
          <w:szCs w:val="32"/>
          <w:lang w:val="en-US" w:eastAsia="zh-CN"/>
        </w:rPr>
        <w:t>乙方须将所有产品按照甲方的要求摆放到指定地点（包含各个楼宇消防栓等），并将本次更换下来的390只旧灭火器、185条水带放置校方指定仓库，并将仓库保存的约100只灭火器清运出校自行处置，费用均包含在报价内。</w:t>
      </w:r>
    </w:p>
    <w:p w14:paraId="370EA495">
      <w:pPr>
        <w:pStyle w:val="7"/>
        <w:pageBreakBefore w:val="0"/>
        <w:widowControl w:val="0"/>
        <w:kinsoku/>
        <w:wordWrap/>
        <w:overflowPunct/>
        <w:topLinePunct w:val="0"/>
        <w:bidi w:val="0"/>
        <w:adjustRightInd w:val="0"/>
        <w:spacing w:before="0" w:after="0" w:line="360" w:lineRule="auto"/>
        <w:ind w:left="0" w:leftChars="0" w:firstLine="0" w:firstLineChars="0"/>
        <w:textAlignment w:val="auto"/>
        <w:rPr>
          <w:sz w:val="24"/>
          <w:szCs w:val="40"/>
        </w:rPr>
      </w:pPr>
      <w:r>
        <w:rPr>
          <w:rFonts w:hint="eastAsia"/>
          <w:sz w:val="24"/>
          <w:szCs w:val="40"/>
          <w:lang w:val="en-US" w:eastAsia="zh-CN"/>
        </w:rPr>
        <w:t>八</w:t>
      </w:r>
      <w:r>
        <w:rPr>
          <w:rFonts w:hint="eastAsia"/>
          <w:sz w:val="24"/>
          <w:szCs w:val="40"/>
        </w:rPr>
        <w:t xml:space="preserve">、货款支付 </w:t>
      </w:r>
    </w:p>
    <w:p w14:paraId="4DE74CC1">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lang w:val="en-US" w:eastAsia="zh-CN"/>
        </w:rPr>
        <w:t>8</w:t>
      </w:r>
      <w:r>
        <w:rPr>
          <w:rFonts w:hint="eastAsia" w:ascii="宋体" w:hAnsi="宋体" w:cs="宋体"/>
          <w:sz w:val="24"/>
          <w:szCs w:val="32"/>
        </w:rPr>
        <w:t>.1 付款方式：</w:t>
      </w:r>
      <w:r>
        <w:rPr>
          <w:rFonts w:hint="eastAsia" w:ascii="宋体" w:hAnsi="宋体" w:cs="宋体"/>
          <w:sz w:val="24"/>
          <w:szCs w:val="32"/>
          <w:lang w:val="en-US" w:eastAsia="zh-CN"/>
        </w:rPr>
        <w:t>按实结算，项目全部交付完成并验收合格后10个工作日内支付实际结算金额的100%</w:t>
      </w:r>
      <w:r>
        <w:rPr>
          <w:rFonts w:hint="eastAsia" w:ascii="宋体" w:hAnsi="宋体" w:cs="宋体"/>
          <w:bCs/>
          <w:sz w:val="24"/>
          <w:lang w:val="en-US" w:eastAsia="zh-CN"/>
        </w:rPr>
        <w:t>。</w:t>
      </w:r>
    </w:p>
    <w:p w14:paraId="5A34784C">
      <w:pPr>
        <w:pageBreakBefore w:val="0"/>
        <w:widowControl w:val="0"/>
        <w:kinsoku/>
        <w:wordWrap/>
        <w:overflowPunct/>
        <w:topLinePunct w:val="0"/>
        <w:bidi w:val="0"/>
        <w:adjustRightInd w:val="0"/>
        <w:spacing w:line="360" w:lineRule="auto"/>
        <w:ind w:left="0" w:leftChars="0" w:firstLine="480"/>
        <w:textAlignment w:val="auto"/>
        <w:rPr>
          <w:rFonts w:hint="eastAsia" w:ascii="宋体" w:hAnsi="宋体" w:cs="宋体"/>
          <w:sz w:val="24"/>
          <w:szCs w:val="32"/>
          <w:lang w:val="en-US" w:eastAsia="zh-CN"/>
        </w:rPr>
      </w:pPr>
      <w:r>
        <w:rPr>
          <w:rFonts w:hint="eastAsia" w:ascii="宋体" w:hAnsi="宋体" w:cs="宋体"/>
          <w:sz w:val="24"/>
          <w:szCs w:val="32"/>
          <w:lang w:val="en-US" w:eastAsia="zh-CN"/>
        </w:rPr>
        <w:t>8</w:t>
      </w:r>
      <w:r>
        <w:rPr>
          <w:rFonts w:hint="eastAsia" w:ascii="宋体" w:hAnsi="宋体" w:cs="宋体"/>
          <w:sz w:val="24"/>
          <w:szCs w:val="32"/>
        </w:rPr>
        <w:t>.2 当采购数量与实际使用数量不一致时，</w:t>
      </w:r>
      <w:r>
        <w:rPr>
          <w:rFonts w:hint="eastAsia" w:ascii="宋体" w:hAnsi="宋体" w:cs="宋体"/>
          <w:sz w:val="24"/>
          <w:szCs w:val="32"/>
          <w:lang w:val="en-US" w:eastAsia="zh-CN"/>
        </w:rPr>
        <w:t>乙方</w:t>
      </w:r>
      <w:r>
        <w:rPr>
          <w:rFonts w:hint="eastAsia" w:ascii="宋体" w:hAnsi="宋体" w:cs="宋体"/>
          <w:sz w:val="24"/>
          <w:szCs w:val="32"/>
        </w:rPr>
        <w:t>应根据实际使用量，供货合同的最终结算金额按实际使用量进行计算。</w:t>
      </w:r>
      <w:r>
        <w:rPr>
          <w:rFonts w:hint="eastAsia" w:ascii="宋体" w:hAnsi="宋体" w:cs="宋体"/>
          <w:sz w:val="24"/>
          <w:szCs w:val="32"/>
        </w:rPr>
        <w:br w:type="textWrapping"/>
      </w:r>
      <w:r>
        <w:rPr>
          <w:rFonts w:hint="eastAsia" w:ascii="宋体" w:hAnsi="宋体" w:cs="宋体"/>
          <w:sz w:val="24"/>
          <w:szCs w:val="32"/>
          <w:lang w:val="en-US" w:eastAsia="zh-CN"/>
        </w:rPr>
        <w:t xml:space="preserve">    8.3 </w:t>
      </w:r>
      <w:r>
        <w:rPr>
          <w:rFonts w:hint="eastAsia" w:ascii="宋体" w:hAnsi="宋体" w:cs="宋体"/>
          <w:sz w:val="24"/>
          <w:szCs w:val="32"/>
        </w:rPr>
        <w:t>本合同执行中相关的一切税费均由</w:t>
      </w:r>
      <w:r>
        <w:rPr>
          <w:rFonts w:hint="eastAsia" w:ascii="宋体" w:hAnsi="宋体" w:cs="宋体"/>
          <w:sz w:val="24"/>
          <w:szCs w:val="32"/>
          <w:lang w:val="en-US" w:eastAsia="zh-CN"/>
        </w:rPr>
        <w:t>乙方</w:t>
      </w:r>
      <w:r>
        <w:rPr>
          <w:rFonts w:hint="eastAsia" w:ascii="宋体" w:hAnsi="宋体" w:cs="宋体"/>
          <w:sz w:val="24"/>
          <w:szCs w:val="32"/>
        </w:rPr>
        <w:t>负担</w:t>
      </w:r>
      <w:r>
        <w:rPr>
          <w:rFonts w:hint="eastAsia" w:ascii="宋体" w:hAnsi="宋体" w:cs="宋体"/>
          <w:sz w:val="24"/>
          <w:szCs w:val="32"/>
          <w:lang w:eastAsia="zh-CN"/>
        </w:rPr>
        <w:t>。</w:t>
      </w:r>
      <w:r>
        <w:rPr>
          <w:rFonts w:hint="eastAsia" w:ascii="宋体" w:hAnsi="宋体" w:cs="宋体"/>
          <w:sz w:val="24"/>
          <w:szCs w:val="32"/>
        </w:rPr>
        <w:t xml:space="preserve"> </w:t>
      </w:r>
      <w:r>
        <w:rPr>
          <w:rFonts w:hint="eastAsia" w:ascii="宋体" w:hAnsi="宋体" w:cs="宋体"/>
          <w:sz w:val="24"/>
          <w:szCs w:val="32"/>
        </w:rPr>
        <w:br w:type="textWrapping"/>
      </w:r>
      <w:r>
        <w:rPr>
          <w:rFonts w:hint="eastAsia" w:ascii="Times New Roman" w:hAnsi="Times New Roman" w:eastAsia="宋体" w:cs="Times New Roman"/>
          <w:b/>
          <w:bCs/>
          <w:kern w:val="2"/>
          <w:sz w:val="24"/>
          <w:szCs w:val="40"/>
          <w:lang w:val="en-US" w:eastAsia="zh-CN" w:bidi="ar-SA"/>
        </w:rPr>
        <w:t>九、质保期</w:t>
      </w:r>
      <w:r>
        <w:rPr>
          <w:rFonts w:hint="eastAsia" w:ascii="Times New Roman" w:hAnsi="Times New Roman" w:eastAsia="宋体" w:cs="Times New Roman"/>
          <w:b/>
          <w:bCs/>
          <w:kern w:val="2"/>
          <w:sz w:val="24"/>
          <w:szCs w:val="40"/>
          <w:lang w:val="en-US" w:eastAsia="zh-CN" w:bidi="ar-SA"/>
        </w:rPr>
        <w:br w:type="textWrapping"/>
      </w:r>
      <w:r>
        <w:rPr>
          <w:rFonts w:hint="eastAsia" w:cs="Times New Roman"/>
          <w:b/>
          <w:bCs/>
          <w:kern w:val="2"/>
          <w:sz w:val="24"/>
          <w:szCs w:val="40"/>
          <w:lang w:val="en-US" w:eastAsia="zh-CN" w:bidi="ar-SA"/>
        </w:rPr>
        <w:t xml:space="preserve">    </w:t>
      </w:r>
      <w:r>
        <w:rPr>
          <w:rFonts w:hint="eastAsia" w:ascii="宋体" w:hAnsi="宋体" w:cs="宋体"/>
          <w:sz w:val="24"/>
          <w:szCs w:val="32"/>
          <w:lang w:val="en-US" w:eastAsia="zh-CN"/>
        </w:rPr>
        <w:t>乙方提供产品质保期不少于3年，在质保期内货物本身的质量问题，由乙方负责免费更换。</w:t>
      </w:r>
    </w:p>
    <w:p w14:paraId="79485FFB">
      <w:pPr>
        <w:pStyle w:val="7"/>
        <w:pageBreakBefore w:val="0"/>
        <w:widowControl w:val="0"/>
        <w:kinsoku/>
        <w:wordWrap/>
        <w:overflowPunct/>
        <w:topLinePunct w:val="0"/>
        <w:bidi w:val="0"/>
        <w:adjustRightInd w:val="0"/>
        <w:spacing w:before="0" w:after="0" w:line="360" w:lineRule="auto"/>
        <w:ind w:left="0" w:leftChars="0" w:firstLine="0" w:firstLineChars="0"/>
        <w:textAlignment w:val="auto"/>
        <w:rPr>
          <w:sz w:val="24"/>
          <w:szCs w:val="40"/>
        </w:rPr>
      </w:pPr>
      <w:r>
        <w:rPr>
          <w:rFonts w:hint="eastAsia"/>
          <w:sz w:val="24"/>
          <w:szCs w:val="40"/>
        </w:rPr>
        <w:t xml:space="preserve">十、质量保证及售后服务 </w:t>
      </w:r>
    </w:p>
    <w:p w14:paraId="56BC08E4">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0</w:t>
      </w:r>
      <w:r>
        <w:rPr>
          <w:rFonts w:hint="eastAsia" w:ascii="宋体" w:hAnsi="宋体" w:cs="宋体"/>
          <w:sz w:val="24"/>
          <w:szCs w:val="32"/>
        </w:rPr>
        <w:t>.1 乙方应按采购文件规定的货物性能、技术要求、质量标准向甲方提供未经使用的全新</w:t>
      </w:r>
      <w:r>
        <w:rPr>
          <w:rFonts w:hint="eastAsia" w:ascii="宋体" w:hAnsi="宋体" w:cs="宋体"/>
          <w:sz w:val="24"/>
          <w:szCs w:val="32"/>
          <w:lang w:val="en-US" w:eastAsia="zh-CN"/>
        </w:rPr>
        <w:t>产品</w:t>
      </w:r>
      <w:r>
        <w:rPr>
          <w:rFonts w:hint="eastAsia" w:ascii="宋体" w:hAnsi="宋体" w:cs="宋体"/>
          <w:sz w:val="24"/>
          <w:szCs w:val="32"/>
        </w:rPr>
        <w:t>。</w:t>
      </w:r>
      <w:r>
        <w:rPr>
          <w:rFonts w:hint="eastAsia" w:ascii="宋体" w:hAnsi="宋体" w:cs="宋体"/>
          <w:sz w:val="24"/>
          <w:szCs w:val="32"/>
        </w:rPr>
        <w:br w:type="textWrapping"/>
      </w:r>
      <w:r>
        <w:rPr>
          <w:rFonts w:hint="eastAsia" w:ascii="宋体" w:hAnsi="宋体" w:cs="宋体"/>
          <w:sz w:val="24"/>
          <w:szCs w:val="32"/>
          <w:lang w:val="en-US" w:eastAsia="zh-CN"/>
        </w:rPr>
        <w:t xml:space="preserve">    </w:t>
      </w:r>
      <w:r>
        <w:rPr>
          <w:rFonts w:hint="eastAsia" w:ascii="宋体" w:hAnsi="宋体" w:cs="宋体"/>
          <w:sz w:val="24"/>
          <w:szCs w:val="32"/>
        </w:rPr>
        <w:t>1</w:t>
      </w:r>
      <w:r>
        <w:rPr>
          <w:rFonts w:hint="eastAsia" w:ascii="宋体" w:hAnsi="宋体" w:cs="宋体"/>
          <w:sz w:val="24"/>
          <w:szCs w:val="32"/>
          <w:lang w:val="en-US" w:eastAsia="zh-CN"/>
        </w:rPr>
        <w:t>0</w:t>
      </w:r>
      <w:r>
        <w:rPr>
          <w:rFonts w:hint="eastAsia" w:ascii="宋体" w:hAnsi="宋体" w:cs="宋体"/>
          <w:sz w:val="24"/>
          <w:szCs w:val="32"/>
        </w:rPr>
        <w:t>.2 乙方提供的货物在</w:t>
      </w:r>
      <w:r>
        <w:rPr>
          <w:rFonts w:hint="eastAsia" w:ascii="宋体" w:hAnsi="宋体" w:cs="宋体"/>
          <w:sz w:val="24"/>
          <w:szCs w:val="32"/>
          <w:lang w:val="en-US" w:eastAsia="zh-CN"/>
        </w:rPr>
        <w:t>质保期</w:t>
      </w:r>
      <w:r>
        <w:rPr>
          <w:rFonts w:hint="eastAsia" w:ascii="宋体" w:hAnsi="宋体" w:cs="宋体"/>
          <w:sz w:val="24"/>
          <w:szCs w:val="32"/>
        </w:rPr>
        <w:t>内</w:t>
      </w:r>
      <w:r>
        <w:rPr>
          <w:rFonts w:hint="eastAsia" w:ascii="宋体" w:hAnsi="宋体" w:cs="宋体"/>
          <w:sz w:val="24"/>
          <w:szCs w:val="32"/>
          <w:lang w:val="en-US" w:eastAsia="zh-CN"/>
        </w:rPr>
        <w:t>出现</w:t>
      </w:r>
      <w:r>
        <w:rPr>
          <w:rFonts w:hint="eastAsia" w:ascii="宋体" w:hAnsi="宋体" w:cs="宋体"/>
          <w:sz w:val="24"/>
          <w:szCs w:val="32"/>
        </w:rPr>
        <w:t>质量问题，乙方应负责免费更换。对达不到技术要求者，根据实际情况，经双方协商，可按以下办法处理：</w:t>
      </w:r>
    </w:p>
    <w:p w14:paraId="1F654376">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lang w:val="en-US" w:eastAsia="zh-CN"/>
        </w:rPr>
        <w:t>（1）</w:t>
      </w:r>
      <w:r>
        <w:rPr>
          <w:rFonts w:hint="eastAsia" w:ascii="宋体" w:hAnsi="宋体" w:cs="宋体"/>
          <w:sz w:val="24"/>
          <w:szCs w:val="32"/>
        </w:rPr>
        <w:t>更换。由乙方承担所发生的全部费用。</w:t>
      </w:r>
    </w:p>
    <w:p w14:paraId="375521BF">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lang w:val="en-US" w:eastAsia="zh-CN"/>
        </w:rPr>
        <w:t>（2）</w:t>
      </w:r>
      <w:r>
        <w:rPr>
          <w:rFonts w:hint="eastAsia" w:ascii="宋体" w:hAnsi="宋体" w:cs="宋体"/>
          <w:sz w:val="24"/>
          <w:szCs w:val="32"/>
        </w:rPr>
        <w:t>退货处理。乙方应退还甲方支付的合同款，同时应承担该货物的直接费用、运输、保险、检验、货款利息及银行手续费等。</w:t>
      </w:r>
    </w:p>
    <w:p w14:paraId="4D8C9728">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0</w:t>
      </w:r>
      <w:r>
        <w:rPr>
          <w:rFonts w:hint="eastAsia" w:ascii="宋体" w:hAnsi="宋体" w:cs="宋体"/>
          <w:sz w:val="24"/>
          <w:szCs w:val="32"/>
        </w:rPr>
        <w:t xml:space="preserve">.3 </w:t>
      </w:r>
      <w:r>
        <w:rPr>
          <w:rFonts w:hint="eastAsia" w:ascii="宋体" w:hAnsi="宋体" w:cs="宋体"/>
          <w:sz w:val="24"/>
          <w:szCs w:val="32"/>
          <w:lang w:val="en-US" w:eastAsia="zh-CN"/>
        </w:rPr>
        <w:t>乙方承诺</w:t>
      </w:r>
      <w:r>
        <w:rPr>
          <w:rFonts w:hint="eastAsia" w:ascii="宋体" w:hAnsi="宋体" w:cs="宋体"/>
          <w:sz w:val="24"/>
          <w:szCs w:val="32"/>
        </w:rPr>
        <w:t>接到</w:t>
      </w:r>
      <w:r>
        <w:rPr>
          <w:rFonts w:hint="eastAsia" w:ascii="宋体" w:hAnsi="宋体" w:cs="宋体"/>
          <w:sz w:val="24"/>
          <w:szCs w:val="32"/>
          <w:lang w:val="en-US" w:eastAsia="zh-CN"/>
        </w:rPr>
        <w:t>甲方</w:t>
      </w:r>
      <w:r>
        <w:rPr>
          <w:rFonts w:hint="eastAsia" w:ascii="宋体" w:hAnsi="宋体" w:cs="宋体"/>
          <w:sz w:val="24"/>
          <w:szCs w:val="32"/>
        </w:rPr>
        <w:t>质量问题</w:t>
      </w:r>
      <w:r>
        <w:rPr>
          <w:rFonts w:hint="eastAsia" w:ascii="宋体" w:hAnsi="宋体" w:cs="宋体"/>
          <w:sz w:val="24"/>
          <w:szCs w:val="32"/>
          <w:lang w:val="en-US" w:eastAsia="zh-CN"/>
        </w:rPr>
        <w:t>反馈</w:t>
      </w:r>
      <w:r>
        <w:rPr>
          <w:rFonts w:hint="eastAsia" w:ascii="宋体" w:hAnsi="宋体" w:cs="宋体"/>
          <w:sz w:val="24"/>
          <w:szCs w:val="32"/>
        </w:rPr>
        <w:t>时在0.5小时内响应，并在2小时内到达现场解决问题。</w:t>
      </w:r>
    </w:p>
    <w:p w14:paraId="1B60C54E">
      <w:pPr>
        <w:pageBreakBefore w:val="0"/>
        <w:widowControl w:val="0"/>
        <w:kinsoku/>
        <w:wordWrap/>
        <w:overflowPunct/>
        <w:topLinePunct w:val="0"/>
        <w:bidi w:val="0"/>
        <w:adjustRightInd w:val="0"/>
        <w:spacing w:line="360" w:lineRule="auto"/>
        <w:ind w:left="0" w:leftChars="0" w:firstLine="480"/>
        <w:textAlignment w:val="auto"/>
        <w:rPr>
          <w:rFonts w:hint="eastAsia" w:ascii="宋体" w:hAnsi="宋体" w:eastAsia="宋体" w:cs="宋体"/>
          <w:sz w:val="24"/>
          <w:szCs w:val="32"/>
          <w:lang w:eastAsia="zh-CN"/>
        </w:rPr>
      </w:pPr>
      <w:r>
        <w:rPr>
          <w:rFonts w:hint="eastAsia" w:ascii="宋体" w:hAnsi="宋体" w:cs="宋体"/>
          <w:sz w:val="24"/>
          <w:szCs w:val="32"/>
        </w:rPr>
        <w:t>1</w:t>
      </w:r>
      <w:r>
        <w:rPr>
          <w:rFonts w:hint="eastAsia" w:ascii="宋体" w:hAnsi="宋体" w:cs="宋体"/>
          <w:sz w:val="24"/>
          <w:szCs w:val="32"/>
          <w:lang w:val="en-US" w:eastAsia="zh-CN"/>
        </w:rPr>
        <w:t>0</w:t>
      </w:r>
      <w:r>
        <w:rPr>
          <w:rFonts w:hint="eastAsia" w:ascii="宋体" w:hAnsi="宋体" w:cs="宋体"/>
          <w:sz w:val="24"/>
          <w:szCs w:val="32"/>
        </w:rPr>
        <w:t>.4 在质保期内，乙方应对</w:t>
      </w:r>
      <w:r>
        <w:rPr>
          <w:rFonts w:hint="eastAsia" w:ascii="宋体" w:hAnsi="宋体" w:cs="宋体"/>
          <w:sz w:val="24"/>
          <w:szCs w:val="32"/>
          <w:lang w:val="en-US" w:eastAsia="zh-CN"/>
        </w:rPr>
        <w:t>产品</w:t>
      </w:r>
      <w:r>
        <w:rPr>
          <w:rFonts w:hint="eastAsia" w:ascii="宋体" w:hAnsi="宋体" w:cs="宋体"/>
          <w:sz w:val="24"/>
          <w:szCs w:val="32"/>
        </w:rPr>
        <w:t>出现的质量及安全问题负责处理解决并承担一切费用</w:t>
      </w:r>
      <w:r>
        <w:rPr>
          <w:rFonts w:hint="eastAsia" w:ascii="宋体" w:hAnsi="宋体" w:cs="宋体"/>
          <w:bCs/>
          <w:sz w:val="24"/>
          <w:lang w:eastAsia="zh-CN"/>
        </w:rPr>
        <w:t>。</w:t>
      </w:r>
    </w:p>
    <w:p w14:paraId="28868482">
      <w:pPr>
        <w:pStyle w:val="7"/>
        <w:pageBreakBefore w:val="0"/>
        <w:widowControl w:val="0"/>
        <w:kinsoku/>
        <w:wordWrap/>
        <w:overflowPunct/>
        <w:topLinePunct w:val="0"/>
        <w:bidi w:val="0"/>
        <w:adjustRightInd w:val="0"/>
        <w:spacing w:before="0" w:after="0" w:line="360" w:lineRule="auto"/>
        <w:ind w:left="0" w:leftChars="0" w:firstLine="0" w:firstLineChars="0"/>
        <w:textAlignment w:val="auto"/>
        <w:rPr>
          <w:sz w:val="24"/>
          <w:szCs w:val="40"/>
        </w:rPr>
      </w:pPr>
      <w:r>
        <w:rPr>
          <w:rFonts w:hint="eastAsia"/>
          <w:sz w:val="24"/>
          <w:szCs w:val="40"/>
        </w:rPr>
        <w:t>十</w:t>
      </w:r>
      <w:r>
        <w:rPr>
          <w:rFonts w:hint="eastAsia"/>
          <w:sz w:val="24"/>
          <w:szCs w:val="40"/>
          <w:lang w:val="en-US" w:eastAsia="zh-CN"/>
        </w:rPr>
        <w:t>一</w:t>
      </w:r>
      <w:r>
        <w:rPr>
          <w:rFonts w:hint="eastAsia"/>
          <w:sz w:val="24"/>
          <w:szCs w:val="40"/>
        </w:rPr>
        <w:t xml:space="preserve">、调试和验收 </w:t>
      </w:r>
    </w:p>
    <w:p w14:paraId="10D870D1">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1</w:t>
      </w:r>
      <w:r>
        <w:rPr>
          <w:rFonts w:hint="eastAsia" w:ascii="宋体" w:hAnsi="宋体" w:cs="宋体"/>
          <w:sz w:val="24"/>
          <w:szCs w:val="32"/>
        </w:rPr>
        <w:t>.1 甲方对乙方提交的货物依据采购文件上的技术规格要求和国家有关质量标准进行现场初步验收。外观、说明书符合采购文件技术要求的，给予签收；初步验收不合格的不予签收。</w:t>
      </w:r>
    </w:p>
    <w:p w14:paraId="298C71A5">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1</w:t>
      </w:r>
      <w:r>
        <w:rPr>
          <w:rFonts w:hint="eastAsia" w:ascii="宋体" w:hAnsi="宋体" w:cs="宋体"/>
          <w:sz w:val="24"/>
          <w:szCs w:val="32"/>
        </w:rPr>
        <w:t>.2 乙方交货前应对产品作出全面检查和对验收文件进行整理并列出清单作为甲方收货验收和使用的技术条件依据，检验的结果应随货物交甲方。</w:t>
      </w:r>
    </w:p>
    <w:p w14:paraId="704AA6DA">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1</w:t>
      </w:r>
      <w:r>
        <w:rPr>
          <w:rFonts w:hint="eastAsia" w:ascii="宋体" w:hAnsi="宋体" w:cs="宋体"/>
          <w:sz w:val="24"/>
          <w:szCs w:val="32"/>
        </w:rPr>
        <w:t>.3 验收时乙方必须在现场，验收完毕后作出验收结果报告。</w:t>
      </w:r>
    </w:p>
    <w:p w14:paraId="0B845AC7">
      <w:pPr>
        <w:pStyle w:val="7"/>
        <w:pageBreakBefore w:val="0"/>
        <w:widowControl w:val="0"/>
        <w:kinsoku/>
        <w:wordWrap/>
        <w:overflowPunct/>
        <w:topLinePunct w:val="0"/>
        <w:bidi w:val="0"/>
        <w:adjustRightInd w:val="0"/>
        <w:spacing w:before="0" w:after="0" w:line="360" w:lineRule="auto"/>
        <w:ind w:left="0" w:leftChars="0" w:firstLine="0" w:firstLineChars="0"/>
        <w:textAlignment w:val="auto"/>
        <w:rPr>
          <w:sz w:val="24"/>
          <w:szCs w:val="40"/>
        </w:rPr>
      </w:pPr>
      <w:r>
        <w:rPr>
          <w:rFonts w:hint="eastAsia"/>
          <w:sz w:val="24"/>
          <w:szCs w:val="40"/>
        </w:rPr>
        <w:t>十</w:t>
      </w:r>
      <w:r>
        <w:rPr>
          <w:rFonts w:hint="eastAsia"/>
          <w:sz w:val="24"/>
          <w:szCs w:val="40"/>
          <w:lang w:val="en-US" w:eastAsia="zh-CN"/>
        </w:rPr>
        <w:t>二</w:t>
      </w:r>
      <w:r>
        <w:rPr>
          <w:rFonts w:hint="eastAsia"/>
          <w:sz w:val="24"/>
          <w:szCs w:val="40"/>
        </w:rPr>
        <w:t xml:space="preserve">、货物包装、发运及运输 </w:t>
      </w:r>
    </w:p>
    <w:p w14:paraId="5AA0F4E2">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2</w:t>
      </w:r>
      <w:r>
        <w:rPr>
          <w:rFonts w:hint="eastAsia" w:ascii="宋体" w:hAnsi="宋体" w:cs="宋体"/>
          <w:sz w:val="24"/>
          <w:szCs w:val="32"/>
        </w:rPr>
        <w:t>.1 乙方应在货物发运前对其进行满足运输距离、防潮、防震和防破损装卸等要求包装</w:t>
      </w:r>
      <w:r>
        <w:rPr>
          <w:rFonts w:hint="eastAsia" w:ascii="宋体" w:hAnsi="宋体" w:cs="宋体"/>
          <w:sz w:val="24"/>
          <w:szCs w:val="32"/>
          <w:lang w:eastAsia="zh-CN"/>
        </w:rPr>
        <w:t>，</w:t>
      </w:r>
      <w:r>
        <w:rPr>
          <w:rFonts w:hint="eastAsia" w:ascii="宋体" w:hAnsi="宋体" w:cs="宋体"/>
          <w:sz w:val="24"/>
          <w:szCs w:val="32"/>
        </w:rPr>
        <w:t>以保证货物安全运达甲方指定地点。</w:t>
      </w:r>
    </w:p>
    <w:p w14:paraId="7CB1FBD4">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2</w:t>
      </w:r>
      <w:r>
        <w:rPr>
          <w:rFonts w:hint="eastAsia" w:ascii="宋体" w:hAnsi="宋体" w:cs="宋体"/>
          <w:sz w:val="24"/>
          <w:szCs w:val="32"/>
        </w:rPr>
        <w:t xml:space="preserve">.2 </w:t>
      </w:r>
      <w:r>
        <w:rPr>
          <w:rFonts w:hint="eastAsia" w:ascii="宋体" w:hAnsi="宋体" w:cs="宋体"/>
          <w:sz w:val="24"/>
          <w:szCs w:val="32"/>
          <w:lang w:val="en-US" w:eastAsia="zh-CN"/>
        </w:rPr>
        <w:t>合格证等证件</w:t>
      </w:r>
      <w:r>
        <w:rPr>
          <w:rFonts w:hint="eastAsia" w:ascii="宋体" w:hAnsi="宋体" w:cs="宋体"/>
          <w:sz w:val="24"/>
          <w:szCs w:val="32"/>
        </w:rPr>
        <w:t>以及清单一并附于货物内。</w:t>
      </w:r>
    </w:p>
    <w:p w14:paraId="6637E65F">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2</w:t>
      </w:r>
      <w:r>
        <w:rPr>
          <w:rFonts w:hint="eastAsia" w:ascii="宋体" w:hAnsi="宋体" w:cs="宋体"/>
          <w:sz w:val="24"/>
          <w:szCs w:val="32"/>
        </w:rPr>
        <w:t xml:space="preserve">.3 乙方在货物发运手续办理完毕后24小时内或货到甲方48小时前通知甲方，并告知甲方其进度安排。 </w:t>
      </w:r>
    </w:p>
    <w:p w14:paraId="2E0D3A08">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2</w:t>
      </w:r>
      <w:r>
        <w:rPr>
          <w:rFonts w:hint="eastAsia" w:ascii="宋体" w:hAnsi="宋体" w:cs="宋体"/>
          <w:sz w:val="24"/>
          <w:szCs w:val="32"/>
        </w:rPr>
        <w:t>.</w:t>
      </w:r>
      <w:r>
        <w:rPr>
          <w:rFonts w:hint="eastAsia" w:ascii="宋体" w:hAnsi="宋体" w:cs="宋体"/>
          <w:sz w:val="24"/>
          <w:szCs w:val="32"/>
          <w:lang w:val="en-US" w:eastAsia="zh-CN"/>
        </w:rPr>
        <w:t>4</w:t>
      </w:r>
      <w:r>
        <w:rPr>
          <w:rFonts w:hint="eastAsia" w:ascii="宋体" w:hAnsi="宋体" w:cs="宋体"/>
          <w:sz w:val="24"/>
          <w:szCs w:val="32"/>
        </w:rPr>
        <w:t xml:space="preserve"> 货物在交付甲方前发生的风险均由乙方负责。</w:t>
      </w:r>
    </w:p>
    <w:p w14:paraId="4D3B81AA">
      <w:pPr>
        <w:pStyle w:val="7"/>
        <w:pageBreakBefore w:val="0"/>
        <w:widowControl w:val="0"/>
        <w:kinsoku/>
        <w:wordWrap/>
        <w:overflowPunct/>
        <w:topLinePunct w:val="0"/>
        <w:bidi w:val="0"/>
        <w:adjustRightInd w:val="0"/>
        <w:spacing w:before="0" w:after="0" w:line="360" w:lineRule="auto"/>
        <w:ind w:left="0" w:leftChars="0" w:firstLine="0" w:firstLineChars="0"/>
        <w:textAlignment w:val="auto"/>
        <w:rPr>
          <w:sz w:val="24"/>
          <w:szCs w:val="40"/>
        </w:rPr>
      </w:pPr>
      <w:r>
        <w:rPr>
          <w:rFonts w:hint="eastAsia"/>
          <w:sz w:val="24"/>
          <w:szCs w:val="40"/>
        </w:rPr>
        <w:t>十</w:t>
      </w:r>
      <w:r>
        <w:rPr>
          <w:rFonts w:hint="eastAsia"/>
          <w:sz w:val="24"/>
          <w:szCs w:val="40"/>
          <w:lang w:val="en-US" w:eastAsia="zh-CN"/>
        </w:rPr>
        <w:t>三</w:t>
      </w:r>
      <w:r>
        <w:rPr>
          <w:rFonts w:hint="eastAsia"/>
          <w:sz w:val="24"/>
          <w:szCs w:val="40"/>
        </w:rPr>
        <w:t xml:space="preserve">、违约责任 </w:t>
      </w:r>
    </w:p>
    <w:p w14:paraId="7D37E714">
      <w:pPr>
        <w:pStyle w:val="8"/>
        <w:pageBreakBefore w:val="0"/>
        <w:widowControl w:val="0"/>
        <w:kinsoku/>
        <w:wordWrap/>
        <w:overflowPunct/>
        <w:topLinePunct w:val="0"/>
        <w:bidi w:val="0"/>
        <w:adjustRightInd w:val="0"/>
        <w:snapToGrid w:val="0"/>
        <w:spacing w:line="360" w:lineRule="auto"/>
        <w:ind w:left="0" w:leftChars="0" w:firstLine="511" w:firstLineChars="213"/>
        <w:textAlignment w:val="auto"/>
        <w:rPr>
          <w:rFonts w:hAnsi="宋体" w:cs="宋体"/>
          <w:sz w:val="24"/>
          <w:szCs w:val="32"/>
        </w:rPr>
      </w:pPr>
      <w:r>
        <w:rPr>
          <w:rFonts w:hint="eastAsia" w:hAnsi="宋体" w:cs="宋体"/>
          <w:sz w:val="24"/>
          <w:szCs w:val="32"/>
        </w:rPr>
        <w:t>1</w:t>
      </w:r>
      <w:r>
        <w:rPr>
          <w:rFonts w:hint="eastAsia" w:hAnsi="宋体" w:cs="宋体"/>
          <w:sz w:val="24"/>
          <w:szCs w:val="32"/>
          <w:lang w:val="en-US" w:eastAsia="zh-CN"/>
        </w:rPr>
        <w:t>3</w:t>
      </w:r>
      <w:r>
        <w:rPr>
          <w:rFonts w:hint="eastAsia" w:hAnsi="宋体" w:cs="宋体"/>
          <w:sz w:val="24"/>
          <w:szCs w:val="32"/>
        </w:rPr>
        <w:t>.</w:t>
      </w:r>
      <w:r>
        <w:rPr>
          <w:rFonts w:hint="eastAsia" w:hAnsi="宋体" w:cs="宋体"/>
          <w:sz w:val="24"/>
          <w:szCs w:val="32"/>
          <w:lang w:val="en-US" w:eastAsia="zh-CN"/>
        </w:rPr>
        <w:t>1</w:t>
      </w:r>
      <w:r>
        <w:rPr>
          <w:rFonts w:hint="eastAsia" w:hAnsi="宋体" w:cs="宋体"/>
          <w:sz w:val="24"/>
          <w:szCs w:val="32"/>
        </w:rPr>
        <w:t xml:space="preserve"> 乙方单方面表示不履行合同的，或可以预见乙方不履行合同的，甲方可以单方解除合同</w:t>
      </w:r>
      <w:r>
        <w:rPr>
          <w:rFonts w:hint="eastAsia" w:hAnsi="宋体" w:cs="宋体"/>
          <w:sz w:val="24"/>
          <w:szCs w:val="32"/>
          <w:lang w:val="en-US" w:eastAsia="zh-CN"/>
        </w:rPr>
        <w:t>并没收全额履约保证金</w:t>
      </w:r>
      <w:r>
        <w:rPr>
          <w:rFonts w:hint="eastAsia" w:hAnsi="宋体" w:cs="宋体"/>
          <w:sz w:val="24"/>
          <w:szCs w:val="32"/>
        </w:rPr>
        <w:t>，乙方应另外向甲方支付合同总值10%的违约金，如造成甲方损失超过违约金的，超出部分由乙方继续承担赔偿责任。</w:t>
      </w:r>
    </w:p>
    <w:p w14:paraId="3B43A26C">
      <w:pPr>
        <w:pStyle w:val="8"/>
        <w:pageBreakBefore w:val="0"/>
        <w:widowControl w:val="0"/>
        <w:kinsoku/>
        <w:wordWrap/>
        <w:overflowPunct/>
        <w:topLinePunct w:val="0"/>
        <w:bidi w:val="0"/>
        <w:adjustRightInd w:val="0"/>
        <w:snapToGrid w:val="0"/>
        <w:spacing w:line="360" w:lineRule="auto"/>
        <w:ind w:left="0" w:leftChars="0" w:firstLine="511" w:firstLineChars="213"/>
        <w:textAlignment w:val="auto"/>
        <w:rPr>
          <w:rFonts w:hAnsi="宋体" w:cs="宋体"/>
          <w:sz w:val="24"/>
          <w:szCs w:val="32"/>
        </w:rPr>
      </w:pPr>
      <w:r>
        <w:rPr>
          <w:rFonts w:hint="eastAsia" w:hAnsi="宋体" w:cs="宋体"/>
          <w:sz w:val="24"/>
          <w:szCs w:val="32"/>
        </w:rPr>
        <w:t>1</w:t>
      </w:r>
      <w:r>
        <w:rPr>
          <w:rFonts w:hint="eastAsia" w:hAnsi="宋体" w:cs="宋体"/>
          <w:sz w:val="24"/>
          <w:szCs w:val="32"/>
          <w:lang w:val="en-US" w:eastAsia="zh-CN"/>
        </w:rPr>
        <w:t>3</w:t>
      </w:r>
      <w:r>
        <w:rPr>
          <w:rFonts w:hint="eastAsia" w:hAnsi="宋体" w:cs="宋体"/>
          <w:sz w:val="24"/>
          <w:szCs w:val="32"/>
        </w:rPr>
        <w:t>.</w:t>
      </w:r>
      <w:r>
        <w:rPr>
          <w:rFonts w:hint="eastAsia" w:hAnsi="宋体" w:cs="宋体"/>
          <w:sz w:val="24"/>
          <w:szCs w:val="32"/>
          <w:lang w:val="en-US" w:eastAsia="zh-CN"/>
        </w:rPr>
        <w:t>2</w:t>
      </w:r>
      <w:r>
        <w:rPr>
          <w:rFonts w:hint="eastAsia" w:hAnsi="宋体" w:cs="宋体"/>
          <w:sz w:val="24"/>
          <w:szCs w:val="32"/>
        </w:rPr>
        <w:t xml:space="preserve"> 乙方逾期交付项目的，乙方应按逾期交付项目总额每日</w:t>
      </w:r>
      <w:r>
        <w:rPr>
          <w:rFonts w:hint="eastAsia" w:hAnsi="宋体" w:cs="宋体"/>
          <w:sz w:val="24"/>
          <w:szCs w:val="32"/>
          <w:lang w:val="en-US" w:eastAsia="zh-CN"/>
        </w:rPr>
        <w:t>2</w:t>
      </w:r>
      <w:r>
        <w:rPr>
          <w:rFonts w:hint="eastAsia" w:hAnsi="宋体" w:cs="宋体"/>
          <w:sz w:val="24"/>
          <w:szCs w:val="32"/>
        </w:rPr>
        <w:t>‱向甲方支付违约金，由甲方从合同款项中扣除。逾期超过10个工作日不能交付的，甲方可单方面解除本合同</w:t>
      </w:r>
      <w:r>
        <w:rPr>
          <w:rFonts w:hint="eastAsia" w:hAnsi="宋体" w:cs="宋体"/>
          <w:sz w:val="24"/>
          <w:szCs w:val="32"/>
          <w:lang w:val="en-US" w:eastAsia="zh-CN"/>
        </w:rPr>
        <w:t>并没收全额履约保证金</w:t>
      </w:r>
      <w:r>
        <w:rPr>
          <w:rFonts w:hint="eastAsia" w:hAnsi="宋体" w:cs="宋体"/>
          <w:sz w:val="24"/>
          <w:szCs w:val="32"/>
        </w:rPr>
        <w:t>，乙方应另外向甲方支付合同总值10%的违约金，如造成甲方损失超过违约金的，超出部分由乙方继续承担赔偿责任。</w:t>
      </w:r>
    </w:p>
    <w:p w14:paraId="7D534F9F">
      <w:pPr>
        <w:pStyle w:val="8"/>
        <w:pageBreakBefore w:val="0"/>
        <w:widowControl w:val="0"/>
        <w:kinsoku/>
        <w:wordWrap/>
        <w:overflowPunct/>
        <w:topLinePunct w:val="0"/>
        <w:bidi w:val="0"/>
        <w:adjustRightInd w:val="0"/>
        <w:snapToGrid w:val="0"/>
        <w:spacing w:line="360" w:lineRule="auto"/>
        <w:ind w:left="0" w:leftChars="0" w:firstLine="511" w:firstLineChars="213"/>
        <w:textAlignment w:val="auto"/>
        <w:rPr>
          <w:rFonts w:hAnsi="宋体" w:cs="宋体"/>
          <w:sz w:val="24"/>
          <w:szCs w:val="32"/>
        </w:rPr>
      </w:pPr>
      <w:r>
        <w:rPr>
          <w:rFonts w:hint="eastAsia" w:hAnsi="宋体" w:cs="宋体"/>
          <w:sz w:val="24"/>
          <w:szCs w:val="32"/>
        </w:rPr>
        <w:t>1</w:t>
      </w:r>
      <w:r>
        <w:rPr>
          <w:rFonts w:hint="eastAsia" w:hAnsi="宋体" w:cs="宋体"/>
          <w:sz w:val="24"/>
          <w:szCs w:val="32"/>
          <w:lang w:val="en-US" w:eastAsia="zh-CN"/>
        </w:rPr>
        <w:t>3</w:t>
      </w:r>
      <w:r>
        <w:rPr>
          <w:rFonts w:hint="eastAsia" w:hAnsi="宋体" w:cs="宋体"/>
          <w:sz w:val="24"/>
          <w:szCs w:val="32"/>
        </w:rPr>
        <w:t>.</w:t>
      </w:r>
      <w:r>
        <w:rPr>
          <w:rFonts w:hint="eastAsia" w:hAnsi="宋体" w:cs="宋体"/>
          <w:sz w:val="24"/>
          <w:szCs w:val="32"/>
          <w:lang w:val="en-US" w:eastAsia="zh-CN"/>
        </w:rPr>
        <w:t>3</w:t>
      </w:r>
      <w:r>
        <w:rPr>
          <w:rFonts w:hint="eastAsia" w:hAnsi="宋体" w:cs="宋体"/>
          <w:sz w:val="24"/>
          <w:szCs w:val="32"/>
        </w:rPr>
        <w:t xml:space="preserve"> 乙方所交的货物品种、规格、技术参数、质量不符合合同规定及采购文件规定标准的，甲方有权拒收该货物，乙方愿意更换货物但逾期交货的，按乙方逾期交货处理。乙方拒绝更换货物的，甲方可单方面解除合同</w:t>
      </w:r>
      <w:r>
        <w:rPr>
          <w:rFonts w:hint="eastAsia" w:hAnsi="宋体" w:cs="宋体"/>
          <w:sz w:val="24"/>
          <w:szCs w:val="32"/>
          <w:lang w:val="en-US" w:eastAsia="zh-CN"/>
        </w:rPr>
        <w:t>并没收全额履约保证金</w:t>
      </w:r>
      <w:r>
        <w:rPr>
          <w:rFonts w:hint="eastAsia" w:hAnsi="宋体" w:cs="宋体"/>
          <w:sz w:val="24"/>
          <w:szCs w:val="32"/>
        </w:rPr>
        <w:t>，乙方应向甲方支付合同总值10%的违约金，如造成甲方损失超过违约金的，超出部分由乙方继续承担赔偿责任。</w:t>
      </w:r>
    </w:p>
    <w:p w14:paraId="07B33365">
      <w:pPr>
        <w:pStyle w:val="8"/>
        <w:pageBreakBefore w:val="0"/>
        <w:widowControl w:val="0"/>
        <w:kinsoku/>
        <w:wordWrap/>
        <w:overflowPunct/>
        <w:topLinePunct w:val="0"/>
        <w:bidi w:val="0"/>
        <w:adjustRightInd w:val="0"/>
        <w:snapToGrid w:val="0"/>
        <w:spacing w:line="360" w:lineRule="auto"/>
        <w:ind w:left="0" w:leftChars="0" w:firstLine="600"/>
        <w:textAlignment w:val="auto"/>
        <w:rPr>
          <w:rFonts w:hAnsi="宋体" w:cs="宋体"/>
          <w:sz w:val="24"/>
          <w:szCs w:val="32"/>
        </w:rPr>
      </w:pPr>
      <w:r>
        <w:rPr>
          <w:rFonts w:hint="eastAsia" w:hAnsi="宋体" w:cs="宋体"/>
          <w:sz w:val="24"/>
          <w:szCs w:val="32"/>
        </w:rPr>
        <w:t>1</w:t>
      </w:r>
      <w:r>
        <w:rPr>
          <w:rFonts w:hint="eastAsia" w:hAnsi="宋体" w:cs="宋体"/>
          <w:sz w:val="24"/>
          <w:szCs w:val="32"/>
          <w:lang w:val="en-US" w:eastAsia="zh-CN"/>
        </w:rPr>
        <w:t>3</w:t>
      </w:r>
      <w:r>
        <w:rPr>
          <w:rFonts w:hint="eastAsia" w:hAnsi="宋体" w:cs="宋体"/>
          <w:sz w:val="24"/>
          <w:szCs w:val="32"/>
        </w:rPr>
        <w:t>.</w:t>
      </w:r>
      <w:r>
        <w:rPr>
          <w:rFonts w:hint="eastAsia" w:hAnsi="宋体" w:cs="宋体"/>
          <w:sz w:val="24"/>
          <w:szCs w:val="32"/>
          <w:lang w:val="en-US" w:eastAsia="zh-CN"/>
        </w:rPr>
        <w:t>4</w:t>
      </w:r>
      <w:r>
        <w:rPr>
          <w:rFonts w:hint="eastAsia" w:hAnsi="宋体" w:cs="宋体"/>
          <w:sz w:val="24"/>
          <w:szCs w:val="32"/>
        </w:rPr>
        <w:t xml:space="preserve"> 乙方所提交的货物，在约定的有效期内违反本合同有关质量保证及售后服务的，甲方可要求乙方按照合同规定的标准退换合格货物，对已造成的损失从合同款项中扣除。若乙方退换后的货物仍不符合合同标准，甲方可单方面解除合同</w:t>
      </w:r>
      <w:r>
        <w:rPr>
          <w:rFonts w:hint="eastAsia" w:hAnsi="宋体" w:cs="宋体"/>
          <w:sz w:val="24"/>
          <w:szCs w:val="32"/>
          <w:lang w:val="en-US" w:eastAsia="zh-CN"/>
        </w:rPr>
        <w:t>并没收全额履约保证金</w:t>
      </w:r>
      <w:r>
        <w:rPr>
          <w:rFonts w:hint="eastAsia" w:hAnsi="宋体" w:cs="宋体"/>
          <w:sz w:val="24"/>
          <w:szCs w:val="32"/>
        </w:rPr>
        <w:t>，乙方应全额返还甲方已付价款，并支付总价款10%的违约金。</w:t>
      </w:r>
    </w:p>
    <w:p w14:paraId="113904DA">
      <w:pPr>
        <w:pStyle w:val="8"/>
        <w:pageBreakBefore w:val="0"/>
        <w:widowControl w:val="0"/>
        <w:kinsoku/>
        <w:wordWrap/>
        <w:overflowPunct/>
        <w:topLinePunct w:val="0"/>
        <w:bidi w:val="0"/>
        <w:adjustRightInd w:val="0"/>
        <w:snapToGrid w:val="0"/>
        <w:spacing w:line="360" w:lineRule="auto"/>
        <w:ind w:left="0" w:leftChars="0" w:firstLine="511" w:firstLineChars="213"/>
        <w:textAlignment w:val="auto"/>
        <w:rPr>
          <w:rFonts w:hAnsi="宋体" w:cs="宋体"/>
          <w:sz w:val="24"/>
          <w:szCs w:val="32"/>
        </w:rPr>
      </w:pPr>
      <w:r>
        <w:rPr>
          <w:rFonts w:hint="eastAsia" w:hAnsi="宋体" w:cs="宋体"/>
          <w:sz w:val="24"/>
          <w:szCs w:val="32"/>
        </w:rPr>
        <w:t>1</w:t>
      </w:r>
      <w:r>
        <w:rPr>
          <w:rFonts w:hint="eastAsia" w:hAnsi="宋体" w:cs="宋体"/>
          <w:sz w:val="24"/>
          <w:szCs w:val="32"/>
          <w:lang w:val="en-US" w:eastAsia="zh-CN"/>
        </w:rPr>
        <w:t>3</w:t>
      </w:r>
      <w:r>
        <w:rPr>
          <w:rFonts w:hint="eastAsia" w:hAnsi="宋体" w:cs="宋体"/>
          <w:sz w:val="24"/>
          <w:szCs w:val="32"/>
        </w:rPr>
        <w:t>.</w:t>
      </w:r>
      <w:r>
        <w:rPr>
          <w:rFonts w:hint="eastAsia" w:hAnsi="宋体" w:cs="宋体"/>
          <w:sz w:val="24"/>
          <w:szCs w:val="32"/>
          <w:lang w:val="en-US" w:eastAsia="zh-CN"/>
        </w:rPr>
        <w:t>5</w:t>
      </w:r>
      <w:r>
        <w:rPr>
          <w:rFonts w:hint="eastAsia" w:hAnsi="宋体" w:cs="宋体"/>
          <w:sz w:val="24"/>
          <w:szCs w:val="32"/>
        </w:rPr>
        <w:t xml:space="preserve"> 出现合同中未曾约定的其他违约情形，则双方严格执行《中华人民共和国民法典》的有关违约责任规定。</w:t>
      </w:r>
    </w:p>
    <w:p w14:paraId="0B8C6ABC">
      <w:pPr>
        <w:pStyle w:val="7"/>
        <w:pageBreakBefore w:val="0"/>
        <w:widowControl w:val="0"/>
        <w:kinsoku/>
        <w:wordWrap/>
        <w:overflowPunct/>
        <w:topLinePunct w:val="0"/>
        <w:bidi w:val="0"/>
        <w:adjustRightInd w:val="0"/>
        <w:spacing w:before="0" w:after="0" w:line="360" w:lineRule="auto"/>
        <w:ind w:left="0" w:leftChars="0" w:firstLine="0" w:firstLineChars="0"/>
        <w:textAlignment w:val="auto"/>
        <w:rPr>
          <w:sz w:val="24"/>
          <w:szCs w:val="40"/>
        </w:rPr>
      </w:pPr>
      <w:r>
        <w:rPr>
          <w:rFonts w:hint="eastAsia"/>
          <w:sz w:val="24"/>
          <w:szCs w:val="40"/>
        </w:rPr>
        <w:t>十</w:t>
      </w:r>
      <w:r>
        <w:rPr>
          <w:rFonts w:hint="eastAsia"/>
          <w:sz w:val="24"/>
          <w:szCs w:val="40"/>
          <w:lang w:val="en-US" w:eastAsia="zh-CN"/>
        </w:rPr>
        <w:t>四</w:t>
      </w:r>
      <w:r>
        <w:rPr>
          <w:rFonts w:hint="eastAsia"/>
          <w:sz w:val="24"/>
          <w:szCs w:val="40"/>
        </w:rPr>
        <w:t xml:space="preserve">、不可抗力事件处理 </w:t>
      </w:r>
    </w:p>
    <w:p w14:paraId="2CFF2107">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4</w:t>
      </w:r>
      <w:r>
        <w:rPr>
          <w:rFonts w:hint="eastAsia" w:ascii="宋体" w:hAnsi="宋体" w:cs="宋体"/>
          <w:sz w:val="24"/>
          <w:szCs w:val="32"/>
        </w:rPr>
        <w:t>.1 在合同有效期内，任何一方因不可抗力事件导致不能履行合同，则合同履行期可延长</w:t>
      </w:r>
      <w:r>
        <w:rPr>
          <w:rFonts w:hint="eastAsia" w:ascii="宋体" w:hAnsi="宋体" w:cs="宋体"/>
          <w:sz w:val="24"/>
          <w:szCs w:val="32"/>
          <w:lang w:eastAsia="zh-CN"/>
        </w:rPr>
        <w:t>，</w:t>
      </w:r>
      <w:r>
        <w:rPr>
          <w:rFonts w:hint="eastAsia" w:ascii="宋体" w:hAnsi="宋体" w:cs="宋体"/>
          <w:sz w:val="24"/>
          <w:szCs w:val="32"/>
        </w:rPr>
        <w:t>其延长期与不可抗力影响期相同。</w:t>
      </w:r>
    </w:p>
    <w:p w14:paraId="694A9BE5">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4</w:t>
      </w:r>
      <w:r>
        <w:rPr>
          <w:rFonts w:hint="eastAsia" w:ascii="宋体" w:hAnsi="宋体" w:cs="宋体"/>
          <w:sz w:val="24"/>
          <w:szCs w:val="32"/>
        </w:rPr>
        <w:t>.2 不可抗力事件发生后，应立即通知对方，并寄送有关权威机构出具的证明。</w:t>
      </w:r>
    </w:p>
    <w:p w14:paraId="2729232B">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4</w:t>
      </w:r>
      <w:r>
        <w:rPr>
          <w:rFonts w:hint="eastAsia" w:ascii="宋体" w:hAnsi="宋体" w:cs="宋体"/>
          <w:sz w:val="24"/>
          <w:szCs w:val="32"/>
        </w:rPr>
        <w:t>.3 不可抗力事件延续120天以上，双方应通过友好协商，确定是否继续履行合同。</w:t>
      </w:r>
      <w:r>
        <w:rPr>
          <w:rFonts w:hint="eastAsia" w:ascii="宋体" w:hAnsi="宋体" w:cs="宋体"/>
          <w:sz w:val="24"/>
          <w:szCs w:val="32"/>
        </w:rPr>
        <w:br w:type="textWrapping"/>
      </w:r>
      <w:r>
        <w:rPr>
          <w:rFonts w:hint="eastAsia" w:ascii="宋体" w:hAnsi="宋体" w:cs="宋体"/>
          <w:sz w:val="24"/>
          <w:szCs w:val="32"/>
          <w:lang w:val="en-US" w:eastAsia="zh-CN"/>
        </w:rPr>
        <w:t xml:space="preserve">    14.4 合同服务期间因国家政策或上级主管部门要求（含独立学院转设），导致甲方需求变更，甲方有权就协议服务时间段进行调整，甲方需书面向乙方提出并附上相关文件说明，且不承担由此产生的后续费用。</w:t>
      </w:r>
      <w:r>
        <w:rPr>
          <w:rFonts w:hint="eastAsia" w:ascii="宋体" w:hAnsi="宋体" w:cs="宋体"/>
          <w:sz w:val="24"/>
          <w:szCs w:val="32"/>
        </w:rPr>
        <w:t xml:space="preserve"> </w:t>
      </w:r>
    </w:p>
    <w:p w14:paraId="7C1C0511">
      <w:pPr>
        <w:pStyle w:val="7"/>
        <w:pageBreakBefore w:val="0"/>
        <w:widowControl w:val="0"/>
        <w:kinsoku/>
        <w:wordWrap/>
        <w:overflowPunct/>
        <w:topLinePunct w:val="0"/>
        <w:bidi w:val="0"/>
        <w:adjustRightInd w:val="0"/>
        <w:spacing w:before="0" w:after="0" w:line="360" w:lineRule="auto"/>
        <w:ind w:left="0" w:leftChars="0" w:firstLine="0" w:firstLineChars="0"/>
        <w:textAlignment w:val="auto"/>
        <w:rPr>
          <w:sz w:val="24"/>
          <w:szCs w:val="40"/>
        </w:rPr>
      </w:pPr>
      <w:r>
        <w:rPr>
          <w:rFonts w:hint="eastAsia"/>
          <w:sz w:val="24"/>
          <w:szCs w:val="40"/>
        </w:rPr>
        <w:t>十</w:t>
      </w:r>
      <w:r>
        <w:rPr>
          <w:rFonts w:hint="eastAsia"/>
          <w:sz w:val="24"/>
          <w:szCs w:val="40"/>
          <w:lang w:val="en-US" w:eastAsia="zh-CN"/>
        </w:rPr>
        <w:t>五</w:t>
      </w:r>
      <w:r>
        <w:rPr>
          <w:rFonts w:hint="eastAsia"/>
          <w:sz w:val="24"/>
          <w:szCs w:val="40"/>
        </w:rPr>
        <w:t xml:space="preserve">、诉讼 </w:t>
      </w:r>
    </w:p>
    <w:p w14:paraId="2EE0AA99">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双方在执行合同中所发生的一切争议，应通过协商解决。如协商不成，可向</w:t>
      </w:r>
      <w:r>
        <w:rPr>
          <w:rFonts w:hint="eastAsia" w:ascii="宋体" w:hAnsi="宋体" w:cs="宋体"/>
          <w:sz w:val="24"/>
          <w:szCs w:val="32"/>
          <w:lang w:val="en-US" w:eastAsia="zh-CN"/>
        </w:rPr>
        <w:t>甲方所在</w:t>
      </w:r>
      <w:r>
        <w:rPr>
          <w:rFonts w:hint="eastAsia" w:ascii="宋体" w:hAnsi="宋体" w:cs="宋体"/>
          <w:sz w:val="24"/>
          <w:szCs w:val="32"/>
        </w:rPr>
        <w:t xml:space="preserve">地法院起诉。 </w:t>
      </w:r>
    </w:p>
    <w:p w14:paraId="561BF623">
      <w:pPr>
        <w:pStyle w:val="7"/>
        <w:pageBreakBefore w:val="0"/>
        <w:widowControl w:val="0"/>
        <w:kinsoku/>
        <w:wordWrap/>
        <w:overflowPunct/>
        <w:topLinePunct w:val="0"/>
        <w:bidi w:val="0"/>
        <w:adjustRightInd w:val="0"/>
        <w:spacing w:before="0" w:after="0" w:line="360" w:lineRule="auto"/>
        <w:ind w:left="0" w:leftChars="0" w:firstLine="0" w:firstLineChars="0"/>
        <w:textAlignment w:val="auto"/>
        <w:rPr>
          <w:sz w:val="24"/>
          <w:szCs w:val="40"/>
        </w:rPr>
      </w:pPr>
      <w:r>
        <w:rPr>
          <w:rFonts w:hint="eastAsia"/>
          <w:sz w:val="24"/>
          <w:szCs w:val="40"/>
        </w:rPr>
        <w:t>十</w:t>
      </w:r>
      <w:r>
        <w:rPr>
          <w:rFonts w:hint="eastAsia"/>
          <w:sz w:val="24"/>
          <w:szCs w:val="40"/>
          <w:lang w:val="en-US" w:eastAsia="zh-CN"/>
        </w:rPr>
        <w:t>六</w:t>
      </w:r>
      <w:r>
        <w:rPr>
          <w:rFonts w:hint="eastAsia"/>
          <w:sz w:val="24"/>
          <w:szCs w:val="40"/>
        </w:rPr>
        <w:t xml:space="preserve">、合同生效及其它 </w:t>
      </w:r>
    </w:p>
    <w:p w14:paraId="7A0F0D5D">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6</w:t>
      </w:r>
      <w:r>
        <w:rPr>
          <w:rFonts w:hint="eastAsia" w:ascii="宋体" w:hAnsi="宋体" w:cs="宋体"/>
          <w:sz w:val="24"/>
          <w:szCs w:val="32"/>
        </w:rPr>
        <w:t xml:space="preserve">.1 合同经双方法定代表人或授权委托代理人签字并加盖单位公章后生效。 </w:t>
      </w:r>
    </w:p>
    <w:p w14:paraId="6424C0BA">
      <w:pPr>
        <w:pageBreakBefore w:val="0"/>
        <w:widowControl w:val="0"/>
        <w:kinsoku/>
        <w:wordWrap/>
        <w:overflowPunct/>
        <w:topLinePunct w:val="0"/>
        <w:bidi w:val="0"/>
        <w:adjustRightInd w:val="0"/>
        <w:spacing w:line="360" w:lineRule="auto"/>
        <w:ind w:left="0" w:leftChars="0" w:firstLine="480"/>
        <w:textAlignment w:val="auto"/>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en-US" w:eastAsia="zh-CN"/>
        </w:rPr>
        <w:t>6</w:t>
      </w:r>
      <w:r>
        <w:rPr>
          <w:rFonts w:hint="eastAsia" w:ascii="宋体" w:hAnsi="宋体" w:cs="宋体"/>
          <w:sz w:val="24"/>
          <w:szCs w:val="32"/>
        </w:rPr>
        <w:t xml:space="preserve">.2本合同未尽事宜，遵照《民法典》有关条文执行。 </w:t>
      </w:r>
    </w:p>
    <w:p w14:paraId="10C3BA7D">
      <w:pPr>
        <w:pageBreakBefore w:val="0"/>
        <w:widowControl w:val="0"/>
        <w:kinsoku/>
        <w:wordWrap/>
        <w:overflowPunct/>
        <w:topLinePunct w:val="0"/>
        <w:bidi w:val="0"/>
        <w:adjustRightInd w:val="0"/>
        <w:spacing w:line="360" w:lineRule="auto"/>
        <w:ind w:left="0" w:leftChars="0" w:firstLine="480"/>
        <w:textAlignment w:val="auto"/>
        <w:rPr>
          <w:rFonts w:hint="eastAsia" w:ascii="宋体" w:hAnsi="宋体" w:eastAsia="宋体" w:cs="宋体"/>
          <w:sz w:val="24"/>
          <w:szCs w:val="32"/>
          <w:lang w:val="en-US" w:eastAsia="zh-CN"/>
        </w:rPr>
      </w:pPr>
      <w:r>
        <w:rPr>
          <w:rFonts w:hint="eastAsia" w:ascii="宋体" w:hAnsi="宋体" w:cs="宋体"/>
          <w:sz w:val="24"/>
          <w:szCs w:val="32"/>
        </w:rPr>
        <w:t>1</w:t>
      </w:r>
      <w:r>
        <w:rPr>
          <w:rFonts w:hint="eastAsia" w:ascii="宋体" w:hAnsi="宋体" w:cs="宋体"/>
          <w:sz w:val="24"/>
          <w:szCs w:val="32"/>
          <w:lang w:val="en-US" w:eastAsia="zh-CN"/>
        </w:rPr>
        <w:t>6</w:t>
      </w:r>
      <w:r>
        <w:rPr>
          <w:rFonts w:hint="eastAsia" w:ascii="宋体" w:hAnsi="宋体" w:cs="宋体"/>
          <w:sz w:val="24"/>
          <w:szCs w:val="32"/>
        </w:rPr>
        <w:t>.3 本合同正本一式四份，具有同等法律效力，甲乙双方各执二份。</w:t>
      </w:r>
      <w:r>
        <w:rPr>
          <w:rFonts w:hint="eastAsia" w:ascii="宋体" w:hAnsi="宋体" w:cs="宋体"/>
          <w:sz w:val="24"/>
          <w:szCs w:val="32"/>
        </w:rPr>
        <w:br w:type="textWrapping"/>
      </w:r>
      <w:r>
        <w:rPr>
          <w:rFonts w:hint="eastAsia" w:ascii="宋体" w:hAnsi="宋体" w:cs="宋体"/>
          <w:sz w:val="24"/>
          <w:szCs w:val="32"/>
        </w:rPr>
        <w:t xml:space="preserve"> </w:t>
      </w:r>
      <w:r>
        <w:rPr>
          <w:rFonts w:hint="eastAsia" w:ascii="宋体" w:hAnsi="宋体" w:cs="宋体"/>
          <w:sz w:val="24"/>
          <w:szCs w:val="32"/>
          <w:lang w:val="en-US" w:eastAsia="zh-CN"/>
        </w:rPr>
        <w:t xml:space="preserve">   16.4 </w:t>
      </w:r>
      <w:r>
        <w:rPr>
          <w:rFonts w:hint="eastAsia" w:hAnsi="宋体" w:cs="宋体"/>
          <w:sz w:val="24"/>
          <w:szCs w:val="24"/>
        </w:rPr>
        <w:t>相关</w:t>
      </w:r>
      <w:r>
        <w:rPr>
          <w:rFonts w:hint="eastAsia" w:hAnsi="宋体" w:cs="宋体"/>
          <w:sz w:val="24"/>
          <w:szCs w:val="24"/>
          <w:lang w:val="en-US" w:eastAsia="zh-CN"/>
        </w:rPr>
        <w:t>采购</w:t>
      </w:r>
      <w:r>
        <w:rPr>
          <w:rFonts w:hint="eastAsia" w:hAnsi="宋体" w:cs="宋体"/>
          <w:sz w:val="24"/>
          <w:szCs w:val="24"/>
        </w:rPr>
        <w:t>文件、投标文件及乙方的有关承诺作为本合同的组成部分，用以补充或解释本合同</w:t>
      </w:r>
      <w:r>
        <w:rPr>
          <w:rFonts w:hint="eastAsia" w:hAnsi="宋体" w:cs="宋体"/>
          <w:sz w:val="24"/>
          <w:szCs w:val="24"/>
          <w:lang w:eastAsia="zh-CN"/>
        </w:rPr>
        <w:t>。</w:t>
      </w:r>
    </w:p>
    <w:bookmarkEnd w:id="0"/>
    <w:bookmarkEnd w:id="1"/>
    <w:bookmarkEnd w:id="2"/>
    <w:bookmarkEnd w:id="3"/>
    <w:p w14:paraId="748EA79E">
      <w:pPr>
        <w:pStyle w:val="8"/>
        <w:pageBreakBefore w:val="0"/>
        <w:widowControl w:val="0"/>
        <w:kinsoku/>
        <w:wordWrap/>
        <w:overflowPunct/>
        <w:topLinePunct w:val="0"/>
        <w:bidi w:val="0"/>
        <w:adjustRightInd w:val="0"/>
        <w:snapToGrid w:val="0"/>
        <w:spacing w:line="360" w:lineRule="auto"/>
        <w:ind w:left="0" w:leftChars="0"/>
        <w:textAlignment w:val="auto"/>
        <w:rPr>
          <w:rFonts w:hAnsi="宋体" w:cs="宋体"/>
          <w:sz w:val="24"/>
          <w:szCs w:val="24"/>
        </w:rPr>
      </w:pPr>
      <w:r>
        <w:rPr>
          <w:rFonts w:hint="eastAsia" w:hAnsi="宋体" w:cs="宋体"/>
          <w:sz w:val="24"/>
          <w:szCs w:val="24"/>
        </w:rPr>
        <w:t>（以下无正文）</w:t>
      </w:r>
    </w:p>
    <w:p w14:paraId="3A5DEE28">
      <w:pPr>
        <w:pStyle w:val="8"/>
        <w:pageBreakBefore w:val="0"/>
        <w:widowControl w:val="0"/>
        <w:kinsoku/>
        <w:wordWrap/>
        <w:overflowPunct/>
        <w:topLinePunct w:val="0"/>
        <w:bidi w:val="0"/>
        <w:adjustRightInd w:val="0"/>
        <w:snapToGrid w:val="0"/>
        <w:spacing w:line="360" w:lineRule="auto"/>
        <w:ind w:left="0" w:leftChars="0"/>
        <w:textAlignment w:val="auto"/>
        <w:rPr>
          <w:rFonts w:hAnsi="宋体" w:cs="宋体"/>
          <w:sz w:val="24"/>
          <w:szCs w:val="24"/>
        </w:rPr>
      </w:pPr>
      <w:r>
        <w:rPr>
          <w:rFonts w:hint="eastAsia" w:hAnsi="宋体" w:cs="宋体"/>
          <w:sz w:val="24"/>
          <w:szCs w:val="24"/>
        </w:rPr>
        <w:t>（以下为签署页）</w:t>
      </w:r>
    </w:p>
    <w:tbl>
      <w:tblPr>
        <w:tblStyle w:val="12"/>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4684"/>
      </w:tblGrid>
      <w:tr w14:paraId="2742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2D602646">
            <w:pPr>
              <w:pageBreakBefore w:val="0"/>
              <w:widowControl w:val="0"/>
              <w:kinsoku/>
              <w:wordWrap/>
              <w:overflowPunct/>
              <w:topLinePunct w:val="0"/>
              <w:bidi w:val="0"/>
              <w:adjustRightInd w:val="0"/>
              <w:snapToGrid w:val="0"/>
              <w:spacing w:line="360" w:lineRule="auto"/>
              <w:ind w:left="0" w:leftChars="0"/>
              <w:textAlignment w:val="auto"/>
              <w:rPr>
                <w:rFonts w:ascii="宋体" w:hAnsi="宋体" w:cs="宋体"/>
                <w:sz w:val="24"/>
              </w:rPr>
            </w:pPr>
            <w:r>
              <w:rPr>
                <w:rFonts w:hint="eastAsia" w:ascii="宋体" w:hAnsi="宋体" w:cs="宋体"/>
                <w:sz w:val="24"/>
              </w:rPr>
              <w:t>甲方：浙江工商大学杭州商学院（章）</w:t>
            </w:r>
          </w:p>
        </w:tc>
        <w:tc>
          <w:tcPr>
            <w:tcW w:w="4684" w:type="dxa"/>
            <w:noWrap/>
            <w:vAlign w:val="center"/>
          </w:tcPr>
          <w:p w14:paraId="7F128FF7">
            <w:pPr>
              <w:pageBreakBefore w:val="0"/>
              <w:widowControl w:val="0"/>
              <w:kinsoku/>
              <w:wordWrap/>
              <w:overflowPunct/>
              <w:topLinePunct w:val="0"/>
              <w:bidi w:val="0"/>
              <w:adjustRightInd w:val="0"/>
              <w:snapToGrid w:val="0"/>
              <w:spacing w:line="360" w:lineRule="auto"/>
              <w:ind w:left="0" w:leftChars="0"/>
              <w:textAlignment w:val="auto"/>
              <w:rPr>
                <w:rFonts w:ascii="宋体" w:hAnsi="宋体" w:cs="宋体"/>
                <w:sz w:val="24"/>
              </w:rPr>
            </w:pPr>
            <w:r>
              <w:rPr>
                <w:rFonts w:hint="eastAsia" w:ascii="宋体" w:hAnsi="宋体" w:cs="宋体"/>
                <w:sz w:val="24"/>
              </w:rPr>
              <w:t>乙方：（章）</w:t>
            </w:r>
          </w:p>
        </w:tc>
      </w:tr>
      <w:tr w14:paraId="1EC3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27E09020">
            <w:pPr>
              <w:pageBreakBefore w:val="0"/>
              <w:widowControl w:val="0"/>
              <w:kinsoku/>
              <w:wordWrap/>
              <w:overflowPunct/>
              <w:topLinePunct w:val="0"/>
              <w:bidi w:val="0"/>
              <w:adjustRightInd w:val="0"/>
              <w:snapToGrid w:val="0"/>
              <w:spacing w:line="360" w:lineRule="auto"/>
              <w:ind w:left="0" w:leftChars="0"/>
              <w:textAlignment w:val="auto"/>
              <w:rPr>
                <w:rFonts w:ascii="宋体" w:hAnsi="宋体" w:cs="宋体"/>
                <w:sz w:val="24"/>
              </w:rPr>
            </w:pPr>
            <w:r>
              <w:rPr>
                <w:rFonts w:hint="eastAsia" w:ascii="宋体" w:hAnsi="宋体" w:cs="宋体"/>
                <w:sz w:val="24"/>
              </w:rPr>
              <w:t>税号：123300006605737360</w:t>
            </w:r>
          </w:p>
        </w:tc>
        <w:tc>
          <w:tcPr>
            <w:tcW w:w="4684" w:type="dxa"/>
            <w:noWrap/>
            <w:vAlign w:val="center"/>
          </w:tcPr>
          <w:p w14:paraId="388E03E4">
            <w:pPr>
              <w:pageBreakBefore w:val="0"/>
              <w:widowControl w:val="0"/>
              <w:kinsoku/>
              <w:wordWrap/>
              <w:overflowPunct/>
              <w:topLinePunct w:val="0"/>
              <w:bidi w:val="0"/>
              <w:adjustRightInd w:val="0"/>
              <w:snapToGrid w:val="0"/>
              <w:spacing w:line="360" w:lineRule="auto"/>
              <w:ind w:left="0" w:leftChars="0"/>
              <w:textAlignment w:val="auto"/>
              <w:rPr>
                <w:rFonts w:ascii="宋体" w:hAnsi="宋体" w:cs="宋体"/>
                <w:sz w:val="24"/>
              </w:rPr>
            </w:pPr>
            <w:r>
              <w:rPr>
                <w:rFonts w:hint="eastAsia" w:ascii="宋体" w:hAnsi="宋体" w:cs="宋体"/>
                <w:sz w:val="24"/>
              </w:rPr>
              <w:t>税号：</w:t>
            </w:r>
          </w:p>
        </w:tc>
      </w:tr>
      <w:tr w14:paraId="0E8C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58B7A98E">
            <w:pPr>
              <w:pageBreakBefore w:val="0"/>
              <w:widowControl w:val="0"/>
              <w:kinsoku/>
              <w:wordWrap/>
              <w:overflowPunct/>
              <w:topLinePunct w:val="0"/>
              <w:bidi w:val="0"/>
              <w:adjustRightInd w:val="0"/>
              <w:snapToGrid w:val="0"/>
              <w:spacing w:line="360" w:lineRule="auto"/>
              <w:ind w:left="0" w:leftChars="0"/>
              <w:textAlignment w:val="auto"/>
              <w:rPr>
                <w:rFonts w:ascii="宋体" w:hAnsi="宋体" w:cs="宋体"/>
                <w:sz w:val="24"/>
              </w:rPr>
            </w:pPr>
            <w:r>
              <w:rPr>
                <w:rFonts w:hint="eastAsia" w:ascii="宋体" w:hAnsi="宋体" w:cs="宋体"/>
                <w:sz w:val="24"/>
              </w:rPr>
              <w:t>地址：杭州桐庐环城南路66号</w:t>
            </w:r>
          </w:p>
        </w:tc>
        <w:tc>
          <w:tcPr>
            <w:tcW w:w="4684" w:type="dxa"/>
            <w:noWrap/>
            <w:vAlign w:val="center"/>
          </w:tcPr>
          <w:p w14:paraId="2F1B1445">
            <w:pPr>
              <w:pageBreakBefore w:val="0"/>
              <w:widowControl w:val="0"/>
              <w:kinsoku/>
              <w:wordWrap/>
              <w:overflowPunct/>
              <w:topLinePunct w:val="0"/>
              <w:bidi w:val="0"/>
              <w:adjustRightInd w:val="0"/>
              <w:snapToGrid w:val="0"/>
              <w:spacing w:line="360" w:lineRule="auto"/>
              <w:ind w:left="0" w:leftChars="0"/>
              <w:textAlignment w:val="auto"/>
              <w:rPr>
                <w:rFonts w:ascii="宋体" w:hAnsi="宋体" w:cs="宋体"/>
                <w:sz w:val="24"/>
              </w:rPr>
            </w:pPr>
            <w:r>
              <w:rPr>
                <w:rFonts w:hint="eastAsia" w:ascii="宋体" w:hAnsi="宋体" w:cs="宋体"/>
                <w:sz w:val="24"/>
              </w:rPr>
              <w:t xml:space="preserve">地址： </w:t>
            </w:r>
          </w:p>
        </w:tc>
      </w:tr>
      <w:tr w14:paraId="5ECC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3FA24CAE">
            <w:pPr>
              <w:pageBreakBefore w:val="0"/>
              <w:widowControl w:val="0"/>
              <w:kinsoku/>
              <w:wordWrap/>
              <w:overflowPunct/>
              <w:topLinePunct w:val="0"/>
              <w:bidi w:val="0"/>
              <w:adjustRightInd w:val="0"/>
              <w:snapToGrid w:val="0"/>
              <w:spacing w:line="360" w:lineRule="auto"/>
              <w:ind w:left="0" w:leftChars="0"/>
              <w:textAlignment w:val="auto"/>
              <w:rPr>
                <w:rFonts w:ascii="宋体" w:hAnsi="宋体" w:cs="宋体"/>
                <w:sz w:val="24"/>
              </w:rPr>
            </w:pPr>
            <w:r>
              <w:rPr>
                <w:rFonts w:hint="eastAsia" w:ascii="宋体" w:hAnsi="宋体" w:cs="宋体"/>
                <w:sz w:val="24"/>
              </w:rPr>
              <w:t>法定（授权）代表人：</w:t>
            </w:r>
          </w:p>
        </w:tc>
        <w:tc>
          <w:tcPr>
            <w:tcW w:w="4684" w:type="dxa"/>
            <w:noWrap/>
            <w:vAlign w:val="center"/>
          </w:tcPr>
          <w:p w14:paraId="2F53C435">
            <w:pPr>
              <w:pageBreakBefore w:val="0"/>
              <w:widowControl w:val="0"/>
              <w:kinsoku/>
              <w:wordWrap/>
              <w:overflowPunct/>
              <w:topLinePunct w:val="0"/>
              <w:bidi w:val="0"/>
              <w:adjustRightInd w:val="0"/>
              <w:snapToGrid w:val="0"/>
              <w:spacing w:line="360" w:lineRule="auto"/>
              <w:ind w:left="0" w:leftChars="0"/>
              <w:textAlignment w:val="auto"/>
              <w:rPr>
                <w:rFonts w:ascii="宋体" w:hAnsi="宋体" w:cs="宋体"/>
                <w:sz w:val="24"/>
              </w:rPr>
            </w:pPr>
            <w:r>
              <w:rPr>
                <w:rFonts w:hint="eastAsia" w:ascii="宋体" w:hAnsi="宋体" w:cs="宋体"/>
                <w:sz w:val="24"/>
              </w:rPr>
              <w:t>法定（授权）代表人：</w:t>
            </w:r>
          </w:p>
        </w:tc>
      </w:tr>
      <w:tr w14:paraId="2DD9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71E01E2F">
            <w:pPr>
              <w:pageBreakBefore w:val="0"/>
              <w:widowControl w:val="0"/>
              <w:kinsoku/>
              <w:wordWrap/>
              <w:overflowPunct/>
              <w:topLinePunct w:val="0"/>
              <w:bidi w:val="0"/>
              <w:adjustRightInd w:val="0"/>
              <w:snapToGrid w:val="0"/>
              <w:spacing w:line="360" w:lineRule="auto"/>
              <w:ind w:left="0" w:leftChars="0"/>
              <w:textAlignment w:val="auto"/>
              <w:rPr>
                <w:rFonts w:ascii="宋体" w:hAnsi="宋体" w:cs="宋体"/>
                <w:sz w:val="24"/>
              </w:rPr>
            </w:pPr>
            <w:r>
              <w:rPr>
                <w:rFonts w:hint="eastAsia" w:ascii="宋体" w:hAnsi="宋体" w:cs="宋体"/>
                <w:sz w:val="24"/>
              </w:rPr>
              <w:t>开户银行：工行桐庐支行</w:t>
            </w:r>
          </w:p>
        </w:tc>
        <w:tc>
          <w:tcPr>
            <w:tcW w:w="4684" w:type="dxa"/>
            <w:noWrap/>
            <w:vAlign w:val="center"/>
          </w:tcPr>
          <w:p w14:paraId="18E48AA8">
            <w:pPr>
              <w:pageBreakBefore w:val="0"/>
              <w:widowControl w:val="0"/>
              <w:kinsoku/>
              <w:wordWrap/>
              <w:overflowPunct/>
              <w:topLinePunct w:val="0"/>
              <w:bidi w:val="0"/>
              <w:adjustRightInd w:val="0"/>
              <w:snapToGrid w:val="0"/>
              <w:spacing w:line="360" w:lineRule="auto"/>
              <w:ind w:left="0" w:leftChars="0"/>
              <w:textAlignment w:val="auto"/>
              <w:rPr>
                <w:rFonts w:ascii="宋体" w:hAnsi="宋体" w:cs="宋体"/>
                <w:sz w:val="24"/>
              </w:rPr>
            </w:pPr>
            <w:r>
              <w:rPr>
                <w:rFonts w:hint="eastAsia" w:ascii="宋体" w:hAnsi="宋体" w:cs="宋体"/>
                <w:sz w:val="24"/>
              </w:rPr>
              <w:t>银行：</w:t>
            </w:r>
          </w:p>
        </w:tc>
      </w:tr>
      <w:tr w14:paraId="099D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186AE6A9">
            <w:pPr>
              <w:pageBreakBefore w:val="0"/>
              <w:widowControl w:val="0"/>
              <w:kinsoku/>
              <w:wordWrap/>
              <w:overflowPunct/>
              <w:topLinePunct w:val="0"/>
              <w:bidi w:val="0"/>
              <w:adjustRightInd w:val="0"/>
              <w:snapToGrid w:val="0"/>
              <w:spacing w:line="360" w:lineRule="auto"/>
              <w:ind w:left="0" w:leftChars="0"/>
              <w:textAlignment w:val="auto"/>
              <w:rPr>
                <w:rFonts w:ascii="宋体" w:hAnsi="宋体" w:cs="宋体"/>
                <w:sz w:val="24"/>
              </w:rPr>
            </w:pPr>
            <w:r>
              <w:rPr>
                <w:rFonts w:hint="eastAsia" w:ascii="宋体" w:hAnsi="宋体" w:cs="宋体"/>
                <w:sz w:val="24"/>
              </w:rPr>
              <w:t>账号：1202089119900104396</w:t>
            </w:r>
          </w:p>
        </w:tc>
        <w:tc>
          <w:tcPr>
            <w:tcW w:w="4684" w:type="dxa"/>
            <w:noWrap/>
            <w:vAlign w:val="center"/>
          </w:tcPr>
          <w:p w14:paraId="2BBBEC5C">
            <w:pPr>
              <w:pageBreakBefore w:val="0"/>
              <w:widowControl w:val="0"/>
              <w:kinsoku/>
              <w:wordWrap/>
              <w:overflowPunct/>
              <w:topLinePunct w:val="0"/>
              <w:bidi w:val="0"/>
              <w:adjustRightInd w:val="0"/>
              <w:snapToGrid w:val="0"/>
              <w:spacing w:line="360" w:lineRule="auto"/>
              <w:ind w:left="0" w:leftChars="0"/>
              <w:textAlignment w:val="auto"/>
              <w:rPr>
                <w:rFonts w:ascii="宋体" w:hAnsi="宋体" w:cs="宋体"/>
                <w:sz w:val="24"/>
              </w:rPr>
            </w:pPr>
            <w:r>
              <w:rPr>
                <w:rFonts w:hint="eastAsia" w:ascii="宋体" w:hAnsi="宋体" w:cs="宋体"/>
                <w:sz w:val="24"/>
              </w:rPr>
              <w:t>账号：</w:t>
            </w:r>
          </w:p>
        </w:tc>
      </w:tr>
      <w:tr w14:paraId="08AA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341" w:type="dxa"/>
            <w:noWrap/>
            <w:vAlign w:val="center"/>
          </w:tcPr>
          <w:p w14:paraId="27B338D2">
            <w:pPr>
              <w:pageBreakBefore w:val="0"/>
              <w:widowControl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4"/>
                <w:lang w:val="en-US" w:eastAsia="zh-CN"/>
              </w:rPr>
            </w:pPr>
            <w:r>
              <w:rPr>
                <w:rFonts w:hint="eastAsia" w:ascii="宋体" w:hAnsi="宋体" w:cs="宋体"/>
                <w:sz w:val="24"/>
                <w:lang w:val="en-US" w:eastAsia="zh-CN"/>
              </w:rPr>
              <w:t>联络人：</w:t>
            </w:r>
          </w:p>
        </w:tc>
        <w:tc>
          <w:tcPr>
            <w:tcW w:w="4684" w:type="dxa"/>
            <w:noWrap/>
            <w:vAlign w:val="center"/>
          </w:tcPr>
          <w:p w14:paraId="6162AD48">
            <w:pPr>
              <w:pageBreakBefore w:val="0"/>
              <w:widowControl w:val="0"/>
              <w:kinsoku/>
              <w:wordWrap/>
              <w:overflowPunct/>
              <w:topLinePunct w:val="0"/>
              <w:bidi w:val="0"/>
              <w:adjustRightInd w:val="0"/>
              <w:snapToGrid w:val="0"/>
              <w:spacing w:line="360" w:lineRule="auto"/>
              <w:ind w:left="0" w:leftChars="0"/>
              <w:textAlignment w:val="auto"/>
              <w:rPr>
                <w:rFonts w:hint="eastAsia" w:ascii="宋体" w:hAnsi="宋体" w:eastAsia="宋体" w:cs="宋体"/>
                <w:sz w:val="24"/>
                <w:lang w:val="en-US" w:eastAsia="zh-CN"/>
              </w:rPr>
            </w:pPr>
            <w:r>
              <w:rPr>
                <w:rFonts w:hint="eastAsia" w:ascii="宋体" w:hAnsi="宋体" w:cs="宋体"/>
                <w:sz w:val="24"/>
                <w:lang w:val="en-US" w:eastAsia="zh-CN"/>
              </w:rPr>
              <w:t>联络人：</w:t>
            </w:r>
          </w:p>
        </w:tc>
      </w:tr>
      <w:tr w14:paraId="2A55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025" w:type="dxa"/>
            <w:gridSpan w:val="2"/>
            <w:noWrap/>
            <w:vAlign w:val="center"/>
          </w:tcPr>
          <w:p w14:paraId="3A917E36">
            <w:pPr>
              <w:pageBreakBefore w:val="0"/>
              <w:widowControl w:val="0"/>
              <w:kinsoku/>
              <w:wordWrap/>
              <w:overflowPunct/>
              <w:topLinePunct w:val="0"/>
              <w:bidi w:val="0"/>
              <w:adjustRightInd w:val="0"/>
              <w:snapToGrid w:val="0"/>
              <w:spacing w:line="360" w:lineRule="auto"/>
              <w:ind w:left="0" w:leftChars="0"/>
              <w:jc w:val="right"/>
              <w:textAlignment w:val="auto"/>
              <w:rPr>
                <w:rFonts w:ascii="宋体" w:hAnsi="宋体" w:cs="宋体"/>
                <w:sz w:val="24"/>
              </w:rPr>
            </w:pPr>
            <w:r>
              <w:rPr>
                <w:rFonts w:hint="eastAsia" w:ascii="宋体" w:hAnsi="宋体" w:cs="宋体"/>
                <w:sz w:val="24"/>
              </w:rPr>
              <w:t>签约日期：20</w:t>
            </w:r>
            <w:bookmarkStart w:id="4" w:name="_GoBack"/>
            <w:bookmarkEnd w:id="4"/>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年  月   日</w:t>
            </w:r>
          </w:p>
        </w:tc>
      </w:tr>
    </w:tbl>
    <w:p w14:paraId="31F70C1A">
      <w:pPr>
        <w:pageBreakBefore w:val="0"/>
        <w:widowControl w:val="0"/>
        <w:kinsoku/>
        <w:wordWrap/>
        <w:overflowPunct/>
        <w:topLinePunct w:val="0"/>
        <w:bidi w:val="0"/>
        <w:adjustRightInd w:val="0"/>
        <w:spacing w:line="360" w:lineRule="auto"/>
        <w:ind w:left="0" w:leftChars="0" w:firstLine="42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365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EE88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3EE88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jQ5MDlhNjY1YWMxZDAxMmRiYWE4ZmM4ZjEyODgifQ=="/>
  </w:docVars>
  <w:rsids>
    <w:rsidRoot w:val="6A96417A"/>
    <w:rsid w:val="006F56A1"/>
    <w:rsid w:val="014F6463"/>
    <w:rsid w:val="015D0D5E"/>
    <w:rsid w:val="01A544B3"/>
    <w:rsid w:val="02331ABF"/>
    <w:rsid w:val="023D46EC"/>
    <w:rsid w:val="02C170CB"/>
    <w:rsid w:val="05C72C4A"/>
    <w:rsid w:val="06AE5BB8"/>
    <w:rsid w:val="07035F04"/>
    <w:rsid w:val="07126147"/>
    <w:rsid w:val="07697D31"/>
    <w:rsid w:val="084F5179"/>
    <w:rsid w:val="09524819"/>
    <w:rsid w:val="09674DC2"/>
    <w:rsid w:val="09CA2D09"/>
    <w:rsid w:val="0A53228F"/>
    <w:rsid w:val="0B163D2C"/>
    <w:rsid w:val="0B635AD8"/>
    <w:rsid w:val="0BBC48D3"/>
    <w:rsid w:val="0BD37491"/>
    <w:rsid w:val="0C1666D9"/>
    <w:rsid w:val="0C3923C8"/>
    <w:rsid w:val="0C9F4ECC"/>
    <w:rsid w:val="0E2D1AB8"/>
    <w:rsid w:val="0E9733D5"/>
    <w:rsid w:val="0F072309"/>
    <w:rsid w:val="0F3B1FB3"/>
    <w:rsid w:val="0F543018"/>
    <w:rsid w:val="1065378B"/>
    <w:rsid w:val="107240FA"/>
    <w:rsid w:val="10991687"/>
    <w:rsid w:val="11B76268"/>
    <w:rsid w:val="11E93F48"/>
    <w:rsid w:val="122B4561"/>
    <w:rsid w:val="127E0B34"/>
    <w:rsid w:val="13086650"/>
    <w:rsid w:val="1360023A"/>
    <w:rsid w:val="1376180B"/>
    <w:rsid w:val="149C7E3A"/>
    <w:rsid w:val="15325C06"/>
    <w:rsid w:val="15C50828"/>
    <w:rsid w:val="15C56A7A"/>
    <w:rsid w:val="163D2AB4"/>
    <w:rsid w:val="17CC40F0"/>
    <w:rsid w:val="197B5DCD"/>
    <w:rsid w:val="19CA28B1"/>
    <w:rsid w:val="1A2F1077"/>
    <w:rsid w:val="1B5B3360"/>
    <w:rsid w:val="1BAA4748"/>
    <w:rsid w:val="1BC25F36"/>
    <w:rsid w:val="1BCC2910"/>
    <w:rsid w:val="1E3B5B2B"/>
    <w:rsid w:val="1F645556"/>
    <w:rsid w:val="1FBE6A14"/>
    <w:rsid w:val="2077515E"/>
    <w:rsid w:val="21240AF9"/>
    <w:rsid w:val="21522886"/>
    <w:rsid w:val="217C26E3"/>
    <w:rsid w:val="219F4623"/>
    <w:rsid w:val="22160D89"/>
    <w:rsid w:val="24015121"/>
    <w:rsid w:val="24D42836"/>
    <w:rsid w:val="24EC5DD1"/>
    <w:rsid w:val="25E20F82"/>
    <w:rsid w:val="26A1499A"/>
    <w:rsid w:val="27135897"/>
    <w:rsid w:val="27CC3C98"/>
    <w:rsid w:val="27EB411E"/>
    <w:rsid w:val="283755B5"/>
    <w:rsid w:val="28506677"/>
    <w:rsid w:val="288C5D8F"/>
    <w:rsid w:val="29361D11"/>
    <w:rsid w:val="2996630C"/>
    <w:rsid w:val="2B434271"/>
    <w:rsid w:val="2C2916B9"/>
    <w:rsid w:val="2C815051"/>
    <w:rsid w:val="2C884632"/>
    <w:rsid w:val="2E1D6FFC"/>
    <w:rsid w:val="2E254102"/>
    <w:rsid w:val="2E3B6665"/>
    <w:rsid w:val="2F5051AF"/>
    <w:rsid w:val="30586A11"/>
    <w:rsid w:val="30A9101A"/>
    <w:rsid w:val="30FD4EC2"/>
    <w:rsid w:val="31124E12"/>
    <w:rsid w:val="313844C5"/>
    <w:rsid w:val="319A0963"/>
    <w:rsid w:val="31E85B72"/>
    <w:rsid w:val="320F75A3"/>
    <w:rsid w:val="32BF68D3"/>
    <w:rsid w:val="336F3E16"/>
    <w:rsid w:val="349104A0"/>
    <w:rsid w:val="34CA155F"/>
    <w:rsid w:val="35FA7C22"/>
    <w:rsid w:val="36CA5764"/>
    <w:rsid w:val="36F34D9D"/>
    <w:rsid w:val="379A16BD"/>
    <w:rsid w:val="37E4226A"/>
    <w:rsid w:val="380134EA"/>
    <w:rsid w:val="38B92F5D"/>
    <w:rsid w:val="38C70290"/>
    <w:rsid w:val="39875C71"/>
    <w:rsid w:val="3A8521B0"/>
    <w:rsid w:val="3AC16F61"/>
    <w:rsid w:val="3ACC4283"/>
    <w:rsid w:val="3ADD3BE1"/>
    <w:rsid w:val="3B295232"/>
    <w:rsid w:val="3BC146AF"/>
    <w:rsid w:val="3CDC62D4"/>
    <w:rsid w:val="3D073351"/>
    <w:rsid w:val="3D6C3AFB"/>
    <w:rsid w:val="3DFA7772"/>
    <w:rsid w:val="3E0F7557"/>
    <w:rsid w:val="3E952BDE"/>
    <w:rsid w:val="3ED43706"/>
    <w:rsid w:val="3F116709"/>
    <w:rsid w:val="3F740A45"/>
    <w:rsid w:val="3F9410E8"/>
    <w:rsid w:val="40094AB4"/>
    <w:rsid w:val="40140033"/>
    <w:rsid w:val="406665E0"/>
    <w:rsid w:val="40AB66E9"/>
    <w:rsid w:val="40B437EF"/>
    <w:rsid w:val="41654AEA"/>
    <w:rsid w:val="43266256"/>
    <w:rsid w:val="43584181"/>
    <w:rsid w:val="43672D9B"/>
    <w:rsid w:val="43B43B06"/>
    <w:rsid w:val="463F1DAD"/>
    <w:rsid w:val="47841A42"/>
    <w:rsid w:val="47C562E2"/>
    <w:rsid w:val="485D651B"/>
    <w:rsid w:val="490270C2"/>
    <w:rsid w:val="49395CF5"/>
    <w:rsid w:val="49A168DB"/>
    <w:rsid w:val="4AF56EDE"/>
    <w:rsid w:val="4B2B0B52"/>
    <w:rsid w:val="4C465518"/>
    <w:rsid w:val="4C912C37"/>
    <w:rsid w:val="4E263853"/>
    <w:rsid w:val="4F4A36BE"/>
    <w:rsid w:val="504F7091"/>
    <w:rsid w:val="50504BB7"/>
    <w:rsid w:val="51DC4954"/>
    <w:rsid w:val="522C1C33"/>
    <w:rsid w:val="52884ADC"/>
    <w:rsid w:val="52A66D10"/>
    <w:rsid w:val="52DC0984"/>
    <w:rsid w:val="530C1269"/>
    <w:rsid w:val="539354E6"/>
    <w:rsid w:val="53E144A4"/>
    <w:rsid w:val="53E45D42"/>
    <w:rsid w:val="53EE6BC1"/>
    <w:rsid w:val="54170856"/>
    <w:rsid w:val="55572544"/>
    <w:rsid w:val="568E6439"/>
    <w:rsid w:val="57C9597B"/>
    <w:rsid w:val="5895585D"/>
    <w:rsid w:val="58C919AA"/>
    <w:rsid w:val="596671F9"/>
    <w:rsid w:val="59814033"/>
    <w:rsid w:val="599B6EA3"/>
    <w:rsid w:val="59E3084A"/>
    <w:rsid w:val="5AA71877"/>
    <w:rsid w:val="5B800A46"/>
    <w:rsid w:val="5C645C72"/>
    <w:rsid w:val="5CF60894"/>
    <w:rsid w:val="5D011713"/>
    <w:rsid w:val="5D5A7075"/>
    <w:rsid w:val="5E5F2663"/>
    <w:rsid w:val="5E982424"/>
    <w:rsid w:val="5ED30E8D"/>
    <w:rsid w:val="5ED60F3A"/>
    <w:rsid w:val="5EDB5F93"/>
    <w:rsid w:val="5EF832E0"/>
    <w:rsid w:val="5EF86B45"/>
    <w:rsid w:val="5F014493"/>
    <w:rsid w:val="5F611296"/>
    <w:rsid w:val="5F88611B"/>
    <w:rsid w:val="60044FB7"/>
    <w:rsid w:val="61307B15"/>
    <w:rsid w:val="61A82AA5"/>
    <w:rsid w:val="62353C0D"/>
    <w:rsid w:val="62976675"/>
    <w:rsid w:val="62EE62C9"/>
    <w:rsid w:val="632779F9"/>
    <w:rsid w:val="63A31776"/>
    <w:rsid w:val="63E8362C"/>
    <w:rsid w:val="646908EC"/>
    <w:rsid w:val="64DE058B"/>
    <w:rsid w:val="65A13A93"/>
    <w:rsid w:val="65CE15D6"/>
    <w:rsid w:val="65DF45BB"/>
    <w:rsid w:val="66FB71D3"/>
    <w:rsid w:val="67A52879"/>
    <w:rsid w:val="683A1F7D"/>
    <w:rsid w:val="68923B67"/>
    <w:rsid w:val="690031C6"/>
    <w:rsid w:val="69036813"/>
    <w:rsid w:val="6A86594D"/>
    <w:rsid w:val="6A96417A"/>
    <w:rsid w:val="6AC51274"/>
    <w:rsid w:val="6D21370B"/>
    <w:rsid w:val="6DDD7632"/>
    <w:rsid w:val="6DFD1A82"/>
    <w:rsid w:val="6EAE7A60"/>
    <w:rsid w:val="6EC9405A"/>
    <w:rsid w:val="7012558D"/>
    <w:rsid w:val="70A73F27"/>
    <w:rsid w:val="70F80E05"/>
    <w:rsid w:val="712814CC"/>
    <w:rsid w:val="71754026"/>
    <w:rsid w:val="71A072F4"/>
    <w:rsid w:val="72127AC6"/>
    <w:rsid w:val="724C532B"/>
    <w:rsid w:val="72BB3CBA"/>
    <w:rsid w:val="73441F01"/>
    <w:rsid w:val="73566CAF"/>
    <w:rsid w:val="7399224D"/>
    <w:rsid w:val="74D13C69"/>
    <w:rsid w:val="75864A53"/>
    <w:rsid w:val="75A4312B"/>
    <w:rsid w:val="75AA6994"/>
    <w:rsid w:val="77402E22"/>
    <w:rsid w:val="79022643"/>
    <w:rsid w:val="795F7683"/>
    <w:rsid w:val="7B630C70"/>
    <w:rsid w:val="7B6969A9"/>
    <w:rsid w:val="7C8810B1"/>
    <w:rsid w:val="7D07647A"/>
    <w:rsid w:val="7D9762EF"/>
    <w:rsid w:val="7E62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3"/>
    <w:basedOn w:val="1"/>
    <w:next w:val="1"/>
    <w:link w:val="15"/>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spacing w:before="100" w:beforeAutospacing="1"/>
      <w:ind w:firstLine="420" w:firstLineChars="100"/>
    </w:pPr>
  </w:style>
  <w:style w:type="paragraph" w:styleId="3">
    <w:name w:val="Body Text"/>
    <w:basedOn w:val="1"/>
    <w:next w:val="4"/>
    <w:qFormat/>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next w:val="5"/>
    <w:qFormat/>
    <w:uiPriority w:val="99"/>
    <w:pPr>
      <w:ind w:firstLine="420"/>
    </w:pPr>
    <w:rPr>
      <w:rFonts w:hAnsi="Calibri" w:cs="Times New Roman"/>
      <w:snapToGrid/>
      <w:szCs w:val="20"/>
    </w:rPr>
  </w:style>
  <w:style w:type="paragraph" w:styleId="5">
    <w:name w:val="toc 6"/>
    <w:basedOn w:val="1"/>
    <w:next w:val="1"/>
    <w:qFormat/>
    <w:uiPriority w:val="0"/>
    <w:pPr>
      <w:ind w:left="2100" w:leftChars="1000"/>
    </w:pPr>
  </w:style>
  <w:style w:type="paragraph" w:styleId="8">
    <w:name w:val="Plain Text"/>
    <w:basedOn w:val="1"/>
    <w:next w:val="9"/>
    <w:qFormat/>
    <w:uiPriority w:val="99"/>
    <w:rPr>
      <w:rFonts w:ascii="宋体" w:hAnsi="Courier New" w:cs="Arial"/>
      <w:snapToGrid w:val="0"/>
      <w:szCs w:val="21"/>
    </w:rPr>
  </w:style>
  <w:style w:type="paragraph" w:styleId="9">
    <w:name w:val="toc 2"/>
    <w:basedOn w:val="1"/>
    <w:next w:val="1"/>
    <w:qFormat/>
    <w:uiPriority w:val="0"/>
    <w:pPr>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字符"/>
    <w:link w:val="7"/>
    <w:qFormat/>
    <w:uiPriority w:val="9"/>
    <w:rPr>
      <w:b/>
      <w:bCs/>
      <w:sz w:val="32"/>
      <w:szCs w:val="32"/>
    </w:rPr>
  </w:style>
  <w:style w:type="paragraph" w:customStyle="1" w:styleId="16">
    <w:name w:val="无间隔2"/>
    <w:basedOn w:val="1"/>
    <w:qFormat/>
    <w:uiPriority w:val="99"/>
    <w:rPr>
      <w:szCs w:val="22"/>
    </w:rPr>
  </w:style>
  <w:style w:type="paragraph" w:customStyle="1" w:styleId="1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2569</Words>
  <Characters>2727</Characters>
  <Lines>0</Lines>
  <Paragraphs>0</Paragraphs>
  <TotalTime>19</TotalTime>
  <ScaleCrop>false</ScaleCrop>
  <LinksUpToDate>false</LinksUpToDate>
  <CharactersWithSpaces>2816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2023-02-08T02:18:00Z</dcterms:created>
  <dc:creator>黄小洁</dc:creator>
  <cp:lastModifiedBy>黄小洁</cp:lastModifiedBy>
  <dcterms:modified xsi:type="dcterms:W3CDTF">2024-09-24T07:46:08Z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FAB5894C07B74F42AEDDCA50B5DC8B35</vt:lpwstr>
  </property>
</Properties>
</file>