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67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56"/>
        <w:gridCol w:w="578"/>
        <w:gridCol w:w="927"/>
        <w:gridCol w:w="1073"/>
        <w:gridCol w:w="1231"/>
        <w:gridCol w:w="983"/>
        <w:gridCol w:w="1390"/>
        <w:gridCol w:w="435"/>
        <w:gridCol w:w="525"/>
        <w:gridCol w:w="104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杭州市闲林职高科研楼土壤背景调查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采购内容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采购要求</w:t>
            </w:r>
          </w:p>
        </w:tc>
        <w:tc>
          <w:tcPr>
            <w:tcW w:w="4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质量要求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计价依据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土壤类型鉴定、砷区域背景值调查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完成土壤类型鉴定土壤背景调查工作，根据初步采样结果，开展必要的土壤类型鉴定及背景调查工作，通过专家评审及相关部门审查。</w:t>
            </w:r>
          </w:p>
        </w:tc>
        <w:tc>
          <w:tcPr>
            <w:tcW w:w="4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按照《建设用地土壤污染状况调查技术导则(HJ25.1—2019)、《建设用地土壤污染风险管控和修复检测技术导则》(HJ25.2—2019)、《建设用地土壤污染风险评估技术导则》（DB33/T 892-2022）等技术规范要求，完成文本编制并通过专家评审。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浙江省物价局浙价费[2000]147号《关于调整浙江省环境监测专业服务收费标准的通知》；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2、浙财采确临[2022]55416号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6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内容详细项目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工作阶段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预算标准（万元）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土壤类型鉴定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土壤类型鉴定剖面测制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南北、东西方向不少于5条，含剖面挖掘、快检及采样备检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土壤类型鉴定报告编制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含专家评审、报告打印装订等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0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土壤背景调查、调查报告及专家评审费(至少一次地质或环保方面专家审核)以及与本项目有关的其他所有费用(根据地块实际需要开展 )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环境地质调查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bidi="ar"/>
              </w:rPr>
              <w:t>km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按1:2000调查，类别为Ⅱ类；含资料搜集、分析、现场踏勘调研、快筛等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钻探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80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钻探采样（不少于10个孔，每孔不高于1m等间距采样），含测量放样、钻机施工费、人员差费等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采样及样品检测分析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采样检测费用，含采样、分样、流转、编录、快筛等费用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地球化学背景专题报告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含专家评审、报告打印装订等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90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iMjgyMWNhOWIxMGY0NjRmMDM0NTY1ZDMyYmI3YWQifQ=="/>
  </w:docVars>
  <w:rsids>
    <w:rsidRoot w:val="00000000"/>
    <w:rsid w:val="36624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2024-02-22T21:59:00Z</dcterms:created>
  <dc:creator>Jenny</dc:creator>
  <cp:lastModifiedBy>zm-降了柒调</cp:lastModifiedBy>
  <dcterms:modified xsi:type="dcterms:W3CDTF">2024-03-20T06:08:17Z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BFC3A32F7DF24AB0AEBDE547A2FE5168_11</vt:lpwstr>
  </property>
</Properties>
</file>