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1320E">
      <w:pPr>
        <w:autoSpaceDE w:val="0"/>
        <w:autoSpaceDN w:val="0"/>
        <w:adjustRightInd w:val="0"/>
        <w:spacing w:line="480" w:lineRule="auto"/>
        <w:rPr>
          <w:rFonts w:cs="宋体" w:asciiTheme="minorEastAsia" w:hAnsiTheme="minorEastAsia" w:eastAsiaTheme="minorEastAsia"/>
          <w:bCs/>
          <w:sz w:val="32"/>
          <w:szCs w:val="32"/>
        </w:rPr>
      </w:pPr>
    </w:p>
    <w:p w14:paraId="59C2C84C">
      <w:pPr>
        <w:autoSpaceDE w:val="0"/>
        <w:autoSpaceDN w:val="0"/>
        <w:adjustRightInd w:val="0"/>
        <w:spacing w:line="480" w:lineRule="auto"/>
        <w:jc w:val="center"/>
        <w:rPr>
          <w:rFonts w:hint="eastAsia" w:ascii="宋体" w:hAnsi="宋体" w:eastAsia="宋体" w:cs="宋体"/>
          <w:bCs/>
          <w:sz w:val="28"/>
          <w:szCs w:val="28"/>
          <w:u w:val="none"/>
        </w:rPr>
      </w:pPr>
      <w:r>
        <w:rPr>
          <w:rFonts w:hint="eastAsia" w:ascii="宋体" w:hAnsi="宋体" w:eastAsia="宋体" w:cs="宋体"/>
          <w:bCs/>
          <w:sz w:val="28"/>
          <w:szCs w:val="28"/>
        </w:rPr>
        <w:t>海安高新区</w:t>
      </w:r>
      <w:r>
        <w:rPr>
          <w:rFonts w:hint="eastAsia" w:ascii="宋体" w:hAnsi="宋体" w:cs="宋体"/>
          <w:bCs/>
          <w:sz w:val="28"/>
          <w:szCs w:val="28"/>
          <w:lang w:val="en-US" w:eastAsia="zh-CN"/>
        </w:rPr>
        <w:t>实验</w:t>
      </w:r>
      <w:r>
        <w:rPr>
          <w:rFonts w:hint="eastAsia" w:ascii="宋体" w:hAnsi="宋体" w:eastAsia="宋体" w:cs="宋体"/>
          <w:spacing w:val="9"/>
          <w:sz w:val="28"/>
          <w:szCs w:val="28"/>
          <w:u w:val="none"/>
        </w:rPr>
        <w:t>幼儿园</w:t>
      </w:r>
      <w:r>
        <w:rPr>
          <w:rFonts w:hint="eastAsia" w:ascii="宋体" w:hAnsi="宋体" w:cs="宋体"/>
          <w:spacing w:val="9"/>
          <w:sz w:val="28"/>
          <w:szCs w:val="28"/>
          <w:u w:val="none"/>
          <w:lang w:val="en-US" w:eastAsia="zh-CN"/>
        </w:rPr>
        <w:t>钢化玻璃采购</w:t>
      </w:r>
      <w:r>
        <w:rPr>
          <w:rFonts w:hint="eastAsia" w:ascii="宋体" w:hAnsi="宋体" w:eastAsia="宋体" w:cs="宋体"/>
          <w:spacing w:val="9"/>
          <w:sz w:val="28"/>
          <w:szCs w:val="28"/>
          <w:u w:val="none"/>
        </w:rPr>
        <w:t>项目</w:t>
      </w:r>
    </w:p>
    <w:p w14:paraId="601CE404">
      <w:pPr>
        <w:autoSpaceDE w:val="0"/>
        <w:autoSpaceDN w:val="0"/>
        <w:adjustRightInd w:val="0"/>
        <w:spacing w:line="480" w:lineRule="auto"/>
        <w:ind w:firstLine="2380" w:firstLineChars="850"/>
        <w:rPr>
          <w:rFonts w:hint="eastAsia"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lang w:val="en-US" w:eastAsia="zh-CN"/>
        </w:rPr>
        <w:t xml:space="preserve"> </w:t>
      </w:r>
    </w:p>
    <w:p w14:paraId="7EDA0413">
      <w:pPr>
        <w:autoSpaceDE w:val="0"/>
        <w:autoSpaceDN w:val="0"/>
        <w:adjustRightInd w:val="0"/>
        <w:spacing w:line="480" w:lineRule="auto"/>
        <w:rPr>
          <w:rFonts w:cs="宋体" w:asciiTheme="minorEastAsia" w:hAnsiTheme="minorEastAsia" w:eastAsiaTheme="minorEastAsia"/>
          <w:bCs/>
          <w:sz w:val="28"/>
          <w:szCs w:val="28"/>
        </w:rPr>
      </w:pPr>
    </w:p>
    <w:p w14:paraId="2F92405A">
      <w:pPr>
        <w:rPr>
          <w:rFonts w:asciiTheme="minorEastAsia" w:hAnsiTheme="minorEastAsia" w:eastAsiaTheme="minorEastAsia"/>
          <w:sz w:val="28"/>
          <w:szCs w:val="28"/>
        </w:rPr>
      </w:pPr>
    </w:p>
    <w:p w14:paraId="365851E9">
      <w:pPr>
        <w:rPr>
          <w:rFonts w:asciiTheme="minorEastAsia" w:hAnsiTheme="minorEastAsia" w:eastAsiaTheme="minorEastAsia"/>
          <w:sz w:val="28"/>
          <w:szCs w:val="28"/>
        </w:rPr>
      </w:pPr>
    </w:p>
    <w:p w14:paraId="69A05DD2">
      <w:pPr>
        <w:rPr>
          <w:rFonts w:asciiTheme="minorEastAsia" w:hAnsiTheme="minorEastAsia" w:eastAsiaTheme="minorEastAsia"/>
          <w:sz w:val="28"/>
          <w:szCs w:val="28"/>
        </w:rPr>
      </w:pPr>
    </w:p>
    <w:p w14:paraId="423A4634">
      <w:pPr>
        <w:jc w:val="center"/>
        <w:rPr>
          <w:rFonts w:asciiTheme="minorEastAsia" w:hAnsiTheme="minorEastAsia" w:eastAsiaTheme="minorEastAsia"/>
          <w:sz w:val="28"/>
          <w:szCs w:val="28"/>
        </w:rPr>
      </w:pPr>
      <w:r>
        <w:rPr>
          <w:rFonts w:hint="eastAsia" w:cs="方正行楷简体" w:asciiTheme="minorEastAsia" w:hAnsiTheme="minorEastAsia" w:eastAsiaTheme="minorEastAsia"/>
          <w:b/>
          <w:sz w:val="72"/>
          <w:szCs w:val="72"/>
        </w:rPr>
        <w:t>竞</w:t>
      </w:r>
      <w:r>
        <w:rPr>
          <w:rFonts w:hint="eastAsia" w:cs="方正行楷简体" w:asciiTheme="minorEastAsia" w:hAnsiTheme="minorEastAsia" w:eastAsiaTheme="minorEastAsia"/>
          <w:b/>
          <w:sz w:val="72"/>
          <w:szCs w:val="72"/>
          <w:lang w:val="en-US" w:eastAsia="zh-CN"/>
        </w:rPr>
        <w:t>价</w:t>
      </w:r>
      <w:r>
        <w:rPr>
          <w:rFonts w:hint="eastAsia" w:cs="方正行楷简体" w:asciiTheme="minorEastAsia" w:hAnsiTheme="minorEastAsia" w:eastAsiaTheme="minorEastAsia"/>
          <w:b/>
          <w:sz w:val="72"/>
          <w:szCs w:val="72"/>
        </w:rPr>
        <w:t>文件</w:t>
      </w:r>
    </w:p>
    <w:p w14:paraId="4506E06A">
      <w:pPr>
        <w:rPr>
          <w:rFonts w:asciiTheme="minorEastAsia" w:hAnsiTheme="minorEastAsia" w:eastAsiaTheme="minorEastAsia"/>
          <w:sz w:val="28"/>
          <w:szCs w:val="28"/>
        </w:rPr>
      </w:pPr>
    </w:p>
    <w:p w14:paraId="03B49D23">
      <w:pPr>
        <w:rPr>
          <w:rFonts w:asciiTheme="minorEastAsia" w:hAnsiTheme="minorEastAsia" w:eastAsiaTheme="minorEastAsia"/>
          <w:sz w:val="28"/>
          <w:szCs w:val="28"/>
        </w:rPr>
      </w:pPr>
    </w:p>
    <w:p w14:paraId="7296988E">
      <w:pPr>
        <w:rPr>
          <w:rFonts w:asciiTheme="minorEastAsia" w:hAnsiTheme="minorEastAsia" w:eastAsiaTheme="minorEastAsia"/>
          <w:sz w:val="28"/>
          <w:szCs w:val="28"/>
        </w:rPr>
      </w:pPr>
    </w:p>
    <w:p w14:paraId="28B0C607">
      <w:pPr>
        <w:rPr>
          <w:rFonts w:asciiTheme="minorEastAsia" w:hAnsiTheme="minorEastAsia" w:eastAsiaTheme="minorEastAsia"/>
          <w:sz w:val="28"/>
          <w:szCs w:val="28"/>
        </w:rPr>
      </w:pPr>
    </w:p>
    <w:p w14:paraId="2E2A212C">
      <w:pPr>
        <w:rPr>
          <w:rFonts w:asciiTheme="minorEastAsia" w:hAnsiTheme="minorEastAsia" w:eastAsiaTheme="minorEastAsia"/>
          <w:sz w:val="28"/>
          <w:szCs w:val="28"/>
        </w:rPr>
      </w:pPr>
    </w:p>
    <w:p w14:paraId="7D988EE9">
      <w:pPr>
        <w:ind w:right="1120" w:firstLine="2240" w:firstLineChars="800"/>
        <w:jc w:val="both"/>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 xml:space="preserve">  交易发起人：</w:t>
      </w:r>
      <w:r>
        <w:rPr>
          <w:rFonts w:hint="eastAsia" w:ascii="宋体" w:hAnsi="宋体" w:eastAsia="宋体" w:cs="宋体"/>
          <w:bCs/>
          <w:sz w:val="28"/>
          <w:szCs w:val="28"/>
        </w:rPr>
        <w:t>海安高新区</w:t>
      </w:r>
      <w:r>
        <w:rPr>
          <w:rFonts w:hint="eastAsia" w:ascii="宋体" w:hAnsi="宋体" w:cs="宋体"/>
          <w:bCs/>
          <w:sz w:val="28"/>
          <w:szCs w:val="28"/>
          <w:lang w:val="en-US" w:eastAsia="zh-CN"/>
        </w:rPr>
        <w:t>实验</w:t>
      </w:r>
      <w:r>
        <w:rPr>
          <w:rFonts w:hint="eastAsia" w:ascii="宋体" w:hAnsi="宋体" w:eastAsia="宋体" w:cs="宋体"/>
          <w:spacing w:val="9"/>
          <w:sz w:val="28"/>
          <w:szCs w:val="28"/>
          <w:u w:val="none"/>
        </w:rPr>
        <w:t>幼儿园</w:t>
      </w:r>
    </w:p>
    <w:p w14:paraId="3ECCEEDA">
      <w:pPr>
        <w:jc w:val="cente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202</w:t>
      </w:r>
      <w:r>
        <w:rPr>
          <w:rFonts w:hint="eastAsia" w:cs="Arial" w:asciiTheme="minorEastAsia" w:hAnsiTheme="minorEastAsia" w:eastAsiaTheme="minorEastAsia"/>
          <w:sz w:val="28"/>
          <w:szCs w:val="28"/>
          <w:lang w:val="en-US" w:eastAsia="zh-CN"/>
        </w:rPr>
        <w:t>5</w:t>
      </w:r>
      <w:r>
        <w:rPr>
          <w:rFonts w:hint="eastAsia" w:cs="Arial" w:asciiTheme="minorEastAsia" w:hAnsiTheme="minorEastAsia" w:eastAsiaTheme="minorEastAsia"/>
          <w:sz w:val="28"/>
          <w:szCs w:val="28"/>
        </w:rPr>
        <w:t>年</w:t>
      </w:r>
      <w:r>
        <w:rPr>
          <w:rFonts w:hint="eastAsia" w:cs="Arial" w:asciiTheme="minorEastAsia" w:hAnsiTheme="minorEastAsia" w:eastAsiaTheme="minorEastAsia"/>
          <w:sz w:val="28"/>
          <w:szCs w:val="28"/>
          <w:lang w:val="en-US" w:eastAsia="zh-CN"/>
        </w:rPr>
        <w:t>5</w:t>
      </w:r>
      <w:r>
        <w:rPr>
          <w:rFonts w:hint="eastAsia" w:cs="Arial" w:asciiTheme="minorEastAsia" w:hAnsiTheme="minorEastAsia" w:eastAsiaTheme="minorEastAsia"/>
          <w:sz w:val="28"/>
          <w:szCs w:val="28"/>
        </w:rPr>
        <w:t>月</w:t>
      </w:r>
      <w:r>
        <w:rPr>
          <w:rFonts w:hint="eastAsia" w:cs="Arial" w:asciiTheme="minorEastAsia" w:hAnsiTheme="minorEastAsia" w:eastAsiaTheme="minorEastAsia"/>
          <w:sz w:val="28"/>
          <w:szCs w:val="28"/>
          <w:lang w:val="en-US" w:eastAsia="zh-CN"/>
        </w:rPr>
        <w:t>12</w:t>
      </w:r>
      <w:r>
        <w:rPr>
          <w:rFonts w:hint="eastAsia" w:cs="Arial" w:asciiTheme="minorEastAsia" w:hAnsiTheme="minorEastAsia" w:eastAsiaTheme="minorEastAsia"/>
          <w:sz w:val="28"/>
          <w:szCs w:val="28"/>
        </w:rPr>
        <w:t>日</w:t>
      </w:r>
    </w:p>
    <w:p w14:paraId="6A8193F6">
      <w:pPr>
        <w:jc w:val="center"/>
        <w:rPr>
          <w:rFonts w:cs="Arial" w:asciiTheme="minorEastAsia" w:hAnsiTheme="minorEastAsia" w:eastAsiaTheme="minorEastAsia"/>
          <w:sz w:val="28"/>
          <w:szCs w:val="28"/>
        </w:rPr>
      </w:pPr>
    </w:p>
    <w:p w14:paraId="0178D9C1">
      <w:pPr>
        <w:jc w:val="center"/>
        <w:rPr>
          <w:rFonts w:cs="Arial" w:asciiTheme="minorEastAsia" w:hAnsiTheme="minorEastAsia" w:eastAsiaTheme="minorEastAsia"/>
          <w:sz w:val="28"/>
          <w:szCs w:val="28"/>
        </w:rPr>
      </w:pPr>
    </w:p>
    <w:p w14:paraId="34370155">
      <w:pPr>
        <w:spacing w:line="360" w:lineRule="auto"/>
        <w:jc w:val="center"/>
        <w:rPr>
          <w:rFonts w:hint="eastAsia" w:asciiTheme="minorEastAsia" w:hAnsiTheme="minorEastAsia" w:eastAsiaTheme="minorEastAsia"/>
          <w:b/>
          <w:bCs/>
          <w:sz w:val="52"/>
          <w:szCs w:val="52"/>
        </w:rPr>
      </w:pPr>
    </w:p>
    <w:p w14:paraId="36EB31FC">
      <w:pPr>
        <w:spacing w:line="360" w:lineRule="auto"/>
        <w:jc w:val="center"/>
        <w:rPr>
          <w:rFonts w:hint="eastAsia" w:asciiTheme="minorEastAsia" w:hAnsiTheme="minorEastAsia" w:eastAsiaTheme="minorEastAsia"/>
          <w:b/>
          <w:bCs/>
          <w:sz w:val="52"/>
          <w:szCs w:val="52"/>
        </w:rPr>
      </w:pPr>
    </w:p>
    <w:p w14:paraId="3FC65DBC">
      <w:pPr>
        <w:spacing w:line="360" w:lineRule="auto"/>
        <w:jc w:val="center"/>
        <w:rPr>
          <w:rFonts w:hint="eastAsia" w:asciiTheme="minorEastAsia" w:hAnsiTheme="minorEastAsia" w:eastAsiaTheme="minorEastAsia"/>
          <w:b/>
          <w:bCs/>
          <w:sz w:val="52"/>
          <w:szCs w:val="52"/>
        </w:rPr>
      </w:pPr>
    </w:p>
    <w:p w14:paraId="2BA64443">
      <w:pPr>
        <w:spacing w:line="360" w:lineRule="auto"/>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目    录</w:t>
      </w:r>
    </w:p>
    <w:p w14:paraId="61401551">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w:t>
      </w:r>
      <w:r>
        <w:rPr>
          <w:rFonts w:hint="eastAsia" w:asciiTheme="minorEastAsia" w:hAnsiTheme="minorEastAsia" w:eastAsiaTheme="minorEastAsia"/>
          <w:b/>
          <w:sz w:val="28"/>
          <w:szCs w:val="28"/>
          <w:lang w:val="en-US" w:eastAsia="zh-CN"/>
        </w:rPr>
        <w:t>一</w:t>
      </w:r>
      <w:r>
        <w:rPr>
          <w:rFonts w:hint="eastAsia" w:asciiTheme="minorEastAsia" w:hAnsiTheme="minorEastAsia" w:eastAsiaTheme="minorEastAsia"/>
          <w:b/>
          <w:sz w:val="28"/>
          <w:szCs w:val="28"/>
        </w:rPr>
        <w:t>部分：项目需求</w:t>
      </w:r>
    </w:p>
    <w:p w14:paraId="13D5E6BE">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第</w:t>
      </w:r>
      <w:r>
        <w:rPr>
          <w:rFonts w:hint="eastAsia" w:asciiTheme="minorEastAsia" w:hAnsiTheme="minorEastAsia" w:eastAsiaTheme="minorEastAsia"/>
          <w:b/>
          <w:sz w:val="28"/>
          <w:szCs w:val="28"/>
          <w:lang w:val="en-US" w:eastAsia="zh-CN"/>
        </w:rPr>
        <w:t>二</w:t>
      </w:r>
      <w:r>
        <w:rPr>
          <w:rFonts w:hint="eastAsia" w:asciiTheme="minorEastAsia" w:hAnsiTheme="minorEastAsia" w:eastAsiaTheme="minorEastAsia"/>
          <w:b/>
          <w:sz w:val="28"/>
          <w:szCs w:val="28"/>
        </w:rPr>
        <w:t>部分：合同签订与验收付款</w:t>
      </w:r>
    </w:p>
    <w:p w14:paraId="32A440D1">
      <w:pPr>
        <w:spacing w:line="360" w:lineRule="auto"/>
        <w:rPr>
          <w:rFonts w:asciiTheme="minorEastAsia" w:hAnsiTheme="minorEastAsia" w:eastAsiaTheme="minorEastAsia"/>
          <w:sz w:val="32"/>
          <w:szCs w:val="32"/>
        </w:rPr>
      </w:pPr>
      <w:r>
        <w:rPr>
          <w:rFonts w:hint="eastAsia" w:asciiTheme="minorEastAsia" w:hAnsiTheme="minorEastAsia" w:eastAsiaTheme="minorEastAsia"/>
          <w:b/>
          <w:sz w:val="28"/>
          <w:szCs w:val="28"/>
        </w:rPr>
        <w:t>第</w:t>
      </w:r>
      <w:r>
        <w:rPr>
          <w:rFonts w:hint="eastAsia" w:asciiTheme="minorEastAsia" w:hAnsiTheme="minorEastAsia" w:eastAsiaTheme="minorEastAsia"/>
          <w:b/>
          <w:sz w:val="28"/>
          <w:szCs w:val="28"/>
          <w:lang w:val="en-US" w:eastAsia="zh-CN"/>
        </w:rPr>
        <w:t>三</w:t>
      </w:r>
      <w:r>
        <w:rPr>
          <w:rFonts w:hint="eastAsia" w:asciiTheme="minorEastAsia" w:hAnsiTheme="minorEastAsia" w:eastAsiaTheme="minorEastAsia"/>
          <w:b/>
          <w:sz w:val="28"/>
          <w:szCs w:val="28"/>
        </w:rPr>
        <w:t>部分：响应文件组成</w:t>
      </w:r>
    </w:p>
    <w:p w14:paraId="73D2A515">
      <w:pPr>
        <w:spacing w:line="360" w:lineRule="auto"/>
        <w:jc w:val="center"/>
        <w:rPr>
          <w:rFonts w:asciiTheme="minorEastAsia" w:hAnsiTheme="minorEastAsia" w:eastAsiaTheme="minorEastAsia"/>
          <w:sz w:val="32"/>
          <w:szCs w:val="32"/>
        </w:rPr>
      </w:pPr>
    </w:p>
    <w:p w14:paraId="2EE8F2DD">
      <w:pPr>
        <w:spacing w:line="360" w:lineRule="auto"/>
        <w:jc w:val="center"/>
        <w:rPr>
          <w:rFonts w:asciiTheme="minorEastAsia" w:hAnsiTheme="minorEastAsia" w:eastAsiaTheme="minorEastAsia"/>
          <w:sz w:val="32"/>
          <w:szCs w:val="32"/>
        </w:rPr>
      </w:pPr>
    </w:p>
    <w:p w14:paraId="4CDB099C">
      <w:pPr>
        <w:spacing w:line="360" w:lineRule="auto"/>
        <w:jc w:val="center"/>
        <w:rPr>
          <w:rFonts w:asciiTheme="minorEastAsia" w:hAnsiTheme="minorEastAsia" w:eastAsiaTheme="minorEastAsia"/>
          <w:sz w:val="32"/>
          <w:szCs w:val="32"/>
        </w:rPr>
      </w:pPr>
    </w:p>
    <w:p w14:paraId="67A0505F">
      <w:pPr>
        <w:spacing w:line="360" w:lineRule="auto"/>
        <w:jc w:val="cente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w:t>
      </w:r>
    </w:p>
    <w:p w14:paraId="6BEAC302">
      <w:pPr>
        <w:pStyle w:val="2"/>
        <w:rPr>
          <w:rFonts w:hint="eastAsia" w:asciiTheme="minorEastAsia" w:hAnsiTheme="minorEastAsia" w:eastAsiaTheme="minorEastAsia"/>
          <w:sz w:val="32"/>
          <w:szCs w:val="32"/>
          <w:lang w:val="en-US" w:eastAsia="zh-CN"/>
        </w:rPr>
      </w:pPr>
    </w:p>
    <w:p w14:paraId="5E32B421">
      <w:pPr>
        <w:rPr>
          <w:rFonts w:hint="eastAsia" w:asciiTheme="minorEastAsia" w:hAnsiTheme="minorEastAsia" w:eastAsiaTheme="minorEastAsia"/>
          <w:sz w:val="32"/>
          <w:szCs w:val="32"/>
          <w:lang w:val="en-US" w:eastAsia="zh-CN"/>
        </w:rPr>
      </w:pPr>
    </w:p>
    <w:p w14:paraId="35AD9877">
      <w:pPr>
        <w:pStyle w:val="2"/>
        <w:rPr>
          <w:rFonts w:hint="eastAsia"/>
          <w:lang w:eastAsia="zh-CN"/>
        </w:rPr>
      </w:pPr>
    </w:p>
    <w:p w14:paraId="7D516849">
      <w:pPr>
        <w:spacing w:line="360" w:lineRule="auto"/>
        <w:jc w:val="center"/>
        <w:rPr>
          <w:rFonts w:asciiTheme="minorEastAsia" w:hAnsiTheme="minorEastAsia" w:eastAsiaTheme="minorEastAsia"/>
          <w:sz w:val="32"/>
          <w:szCs w:val="32"/>
        </w:rPr>
      </w:pPr>
    </w:p>
    <w:p w14:paraId="11A0EE36">
      <w:pPr>
        <w:spacing w:line="360" w:lineRule="auto"/>
        <w:jc w:val="center"/>
        <w:rPr>
          <w:rFonts w:asciiTheme="minorEastAsia" w:hAnsiTheme="minorEastAsia" w:eastAsiaTheme="minorEastAsia"/>
          <w:sz w:val="32"/>
          <w:szCs w:val="32"/>
        </w:rPr>
      </w:pPr>
    </w:p>
    <w:p w14:paraId="58A2E1F1">
      <w:pPr>
        <w:spacing w:line="360" w:lineRule="auto"/>
        <w:jc w:val="center"/>
        <w:rPr>
          <w:rFonts w:asciiTheme="minorEastAsia" w:hAnsiTheme="minorEastAsia" w:eastAsiaTheme="minorEastAsia"/>
          <w:sz w:val="32"/>
          <w:szCs w:val="32"/>
        </w:rPr>
      </w:pPr>
    </w:p>
    <w:p w14:paraId="13D172C0">
      <w:pPr>
        <w:spacing w:line="360" w:lineRule="auto"/>
        <w:jc w:val="center"/>
        <w:rPr>
          <w:rFonts w:asciiTheme="minorEastAsia" w:hAnsiTheme="minorEastAsia" w:eastAsiaTheme="minorEastAsia"/>
          <w:sz w:val="32"/>
          <w:szCs w:val="32"/>
        </w:rPr>
      </w:pPr>
    </w:p>
    <w:p w14:paraId="67DB41CB">
      <w:pPr>
        <w:spacing w:line="360" w:lineRule="auto"/>
        <w:jc w:val="center"/>
        <w:rPr>
          <w:rFonts w:asciiTheme="minorEastAsia" w:hAnsiTheme="minorEastAsia" w:eastAsiaTheme="minorEastAsia"/>
          <w:sz w:val="32"/>
          <w:szCs w:val="32"/>
        </w:rPr>
      </w:pPr>
    </w:p>
    <w:p w14:paraId="2FC817A4">
      <w:pPr>
        <w:rPr>
          <w:rFonts w:hint="eastAsia" w:cs="仿宋" w:asciiTheme="minorEastAsia" w:hAnsiTheme="minorEastAsia" w:eastAsiaTheme="minorEastAsia"/>
          <w:b/>
          <w:kern w:val="0"/>
          <w:sz w:val="28"/>
          <w:szCs w:val="28"/>
        </w:rPr>
      </w:pPr>
      <w:r>
        <w:rPr>
          <w:rFonts w:hint="eastAsia" w:cs="仿宋" w:asciiTheme="minorEastAsia" w:hAnsiTheme="minorEastAsia" w:eastAsiaTheme="minorEastAsia"/>
          <w:b/>
          <w:kern w:val="0"/>
          <w:sz w:val="28"/>
          <w:szCs w:val="28"/>
        </w:rPr>
        <w:br w:type="page"/>
      </w:r>
    </w:p>
    <w:p w14:paraId="25EDDEE7">
      <w:pPr>
        <w:spacing w:line="440" w:lineRule="exact"/>
        <w:ind w:firstLine="3373" w:firstLineChars="1200"/>
        <w:jc w:val="both"/>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第</w:t>
      </w:r>
      <w:r>
        <w:rPr>
          <w:rFonts w:hint="eastAsia" w:cs="仿宋" w:asciiTheme="minorEastAsia" w:hAnsiTheme="minorEastAsia" w:eastAsiaTheme="minorEastAsia"/>
          <w:b/>
          <w:sz w:val="28"/>
          <w:szCs w:val="28"/>
          <w:lang w:val="en-US" w:eastAsia="zh-CN"/>
        </w:rPr>
        <w:t>一</w:t>
      </w:r>
      <w:r>
        <w:rPr>
          <w:rFonts w:hint="eastAsia" w:cs="仿宋" w:asciiTheme="minorEastAsia" w:hAnsiTheme="minorEastAsia" w:eastAsiaTheme="minorEastAsia"/>
          <w:b/>
          <w:sz w:val="28"/>
          <w:szCs w:val="28"/>
        </w:rPr>
        <w:t>部分  项目需求</w:t>
      </w:r>
    </w:p>
    <w:p w14:paraId="6B3858FE">
      <w:pPr>
        <w:spacing w:line="440" w:lineRule="exact"/>
        <w:jc w:val="center"/>
        <w:rPr>
          <w:rFonts w:cs="仿宋" w:asciiTheme="minorEastAsia" w:hAnsiTheme="minorEastAsia" w:eastAsiaTheme="minorEastAsia"/>
          <w:b/>
          <w:szCs w:val="21"/>
        </w:rPr>
      </w:pPr>
    </w:p>
    <w:p w14:paraId="60E95615">
      <w:pPr>
        <w:numPr>
          <w:ilvl w:val="0"/>
          <w:numId w:val="1"/>
        </w:numPr>
        <w:autoSpaceDE w:val="0"/>
        <w:autoSpaceDN w:val="0"/>
        <w:adjustRightInd w:val="0"/>
        <w:snapToGrid w:val="0"/>
        <w:spacing w:line="440" w:lineRule="exact"/>
        <w:ind w:firstLine="422" w:firstLineChars="200"/>
        <w:jc w:val="left"/>
        <w:rPr>
          <w:rFonts w:hint="eastAsia" w:asciiTheme="minorEastAsia" w:hAnsiTheme="minorEastAsia" w:eastAsiaTheme="minorEastAsia"/>
          <w:b/>
          <w:color w:val="000000"/>
          <w:szCs w:val="21"/>
        </w:rPr>
      </w:pPr>
      <w:r>
        <w:rPr>
          <w:rFonts w:hint="eastAsia" w:cs="仿宋_GB2312" w:asciiTheme="minorEastAsia" w:hAnsiTheme="minorEastAsia" w:eastAsiaTheme="minorEastAsia"/>
          <w:b/>
          <w:szCs w:val="21"/>
        </w:rPr>
        <w:t>项目</w:t>
      </w:r>
      <w:r>
        <w:rPr>
          <w:rFonts w:hint="eastAsia" w:asciiTheme="minorEastAsia" w:hAnsiTheme="minorEastAsia" w:eastAsiaTheme="minorEastAsia"/>
          <w:b/>
          <w:color w:val="000000"/>
          <w:szCs w:val="21"/>
        </w:rPr>
        <w:t>具体需求说明：</w:t>
      </w:r>
      <w:bookmarkStart w:id="0" w:name="_Toc143060637"/>
      <w:bookmarkStart w:id="1" w:name="_Toc136997074"/>
      <w:bookmarkStart w:id="2" w:name="_Toc186524983"/>
      <w:bookmarkStart w:id="3" w:name="_Toc186528483"/>
      <w:bookmarkStart w:id="4" w:name="_Toc182886093"/>
      <w:bookmarkStart w:id="5" w:name="_Toc136997510"/>
      <w:bookmarkStart w:id="6" w:name="_Toc182884872"/>
      <w:bookmarkStart w:id="7" w:name="_Toc70754706"/>
      <w:bookmarkStart w:id="8" w:name="_Toc182886934"/>
      <w:bookmarkStart w:id="9" w:name="_Toc186461002"/>
      <w:bookmarkStart w:id="10" w:name="_Toc136997201"/>
      <w:bookmarkStart w:id="11" w:name="_Toc136997332"/>
      <w:bookmarkStart w:id="12" w:name="_Toc140466520"/>
      <w:bookmarkStart w:id="13" w:name="_Toc136997749"/>
      <w:bookmarkStart w:id="14" w:name="_Toc136996281"/>
      <w:bookmarkStart w:id="15" w:name="_Toc21425590"/>
    </w:p>
    <w:p w14:paraId="05441CCF">
      <w:pPr>
        <w:spacing w:line="440" w:lineRule="exact"/>
        <w:ind w:firstLine="420" w:firstLineChars="200"/>
        <w:rPr>
          <w:rFonts w:hint="default" w:eastAsia="宋体"/>
          <w:lang w:val="en-US" w:eastAsia="zh-CN"/>
        </w:rPr>
      </w:pPr>
      <w:r>
        <w:rPr>
          <w:rFonts w:hint="eastAsia"/>
          <w:lang w:val="en-US" w:eastAsia="zh-CN"/>
        </w:rPr>
        <w:t xml:space="preserve"> </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w:t>
      </w:r>
      <w:r>
        <w:rPr>
          <w:rFonts w:hint="eastAsia" w:cs="宋体" w:asciiTheme="minorEastAsia" w:hAnsiTheme="minorEastAsia" w:eastAsiaTheme="minorEastAsia"/>
          <w:szCs w:val="21"/>
        </w:rPr>
        <w:t>采购内容：</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tbl>
      <w:tblPr>
        <w:tblStyle w:val="14"/>
        <w:tblpPr w:leftFromText="180" w:rightFromText="180" w:vertAnchor="text" w:horzAnchor="page" w:tblpXSpec="center" w:tblpY="130"/>
        <w:tblOverlap w:val="never"/>
        <w:tblW w:w="9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884"/>
        <w:gridCol w:w="1600"/>
        <w:gridCol w:w="2416"/>
        <w:gridCol w:w="700"/>
        <w:gridCol w:w="717"/>
        <w:gridCol w:w="650"/>
        <w:gridCol w:w="678"/>
        <w:gridCol w:w="810"/>
      </w:tblGrid>
      <w:tr w14:paraId="1282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14:paraId="0A1585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1C04F5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91A5C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图片</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418072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D5B77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035875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255DA2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50B589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45D6D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3C1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890BA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847F9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钢化玻璃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2B00E9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INCLUDEPICTURE \d "C:\\Users\\ABC\\AppData\\Local\\Temp\\ksohtml\\clip_cell_image2.png" \* MERGEFORMATINET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drawing>
                <wp:inline distT="0" distB="0" distL="114300" distR="114300">
                  <wp:extent cx="752475" cy="619125"/>
                  <wp:effectExtent l="0" t="0" r="9525" b="9525"/>
                  <wp:docPr id="4"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7"/>
                          <pic:cNvPicPr>
                            <a:picLocks noChangeAspect="1"/>
                          </pic:cNvPicPr>
                        </pic:nvPicPr>
                        <pic:blipFill>
                          <a:blip r:embed="rId5"/>
                          <a:stretch>
                            <a:fillRect/>
                          </a:stretch>
                        </pic:blipFill>
                        <pic:spPr>
                          <a:xfrm>
                            <a:off x="0" y="0"/>
                            <a:ext cx="752475" cy="619125"/>
                          </a:xfrm>
                          <a:prstGeom prst="rect">
                            <a:avLst/>
                          </a:prstGeom>
                          <a:noFill/>
                          <a:ln>
                            <a:noFill/>
                          </a:ln>
                        </pic:spPr>
                      </pic:pic>
                    </a:graphicData>
                  </a:graphic>
                </wp:inline>
              </w:drawing>
            </w:r>
            <w:r>
              <w:rPr>
                <w:rFonts w:hint="eastAsia" w:ascii="宋体" w:hAnsi="宋体" w:eastAsia="宋体" w:cs="宋体"/>
                <w:i w:val="0"/>
                <w:iCs w:val="0"/>
                <w:color w:val="000000"/>
                <w:kern w:val="0"/>
                <w:sz w:val="16"/>
                <w:szCs w:val="16"/>
                <w:u w:val="none"/>
                <w:lang w:val="en-US" w:eastAsia="zh-CN" w:bidi="ar"/>
              </w:rPr>
              <w:fldChar w:fldCharType="end"/>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01A592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长1195*宽595mm，厚8mm，</w:t>
            </w:r>
          </w:p>
          <w:p w14:paraId="11DFE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规格偏差度0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3C认证，8mm普白钢化玻璃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直边圆角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抗弯、防爆、耐高温、耐寒</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8DD9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99567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71085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3B3F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908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托班</w:t>
            </w:r>
          </w:p>
        </w:tc>
      </w:tr>
      <w:tr w14:paraId="0CA5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55E7CF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0A619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钢化玻璃</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03D1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INCLUDEPICTURE \d "C:\\Users\\ABC\\AppData\\Local\\Temp\\ksohtml\\clip_cell_image2.png" \* MERGEFORMATINET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drawing>
                <wp:inline distT="0" distB="0" distL="114300" distR="114300">
                  <wp:extent cx="752475" cy="619125"/>
                  <wp:effectExtent l="0" t="0" r="9525" b="9525"/>
                  <wp:docPr id="5"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7"/>
                          <pic:cNvPicPr>
                            <a:picLocks noChangeAspect="1"/>
                          </pic:cNvPicPr>
                        </pic:nvPicPr>
                        <pic:blipFill>
                          <a:blip r:embed="rId5"/>
                          <a:stretch>
                            <a:fillRect/>
                          </a:stretch>
                        </pic:blipFill>
                        <pic:spPr>
                          <a:xfrm>
                            <a:off x="0" y="0"/>
                            <a:ext cx="752475" cy="619125"/>
                          </a:xfrm>
                          <a:prstGeom prst="rect">
                            <a:avLst/>
                          </a:prstGeom>
                          <a:noFill/>
                          <a:ln>
                            <a:noFill/>
                          </a:ln>
                        </pic:spPr>
                      </pic:pic>
                    </a:graphicData>
                  </a:graphic>
                </wp:inline>
              </w:drawing>
            </w:r>
            <w:r>
              <w:rPr>
                <w:rFonts w:hint="eastAsia" w:ascii="宋体" w:hAnsi="宋体" w:eastAsia="宋体" w:cs="宋体"/>
                <w:i w:val="0"/>
                <w:iCs w:val="0"/>
                <w:color w:val="000000"/>
                <w:kern w:val="0"/>
                <w:sz w:val="16"/>
                <w:szCs w:val="16"/>
                <w:u w:val="none"/>
                <w:lang w:val="en-US" w:eastAsia="zh-CN" w:bidi="ar"/>
              </w:rPr>
              <w:fldChar w:fldCharType="end"/>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1C12FA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长1200*宽600mm，厚8mm，</w:t>
            </w:r>
          </w:p>
          <w:p w14:paraId="48CAB0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规格偏差度0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3C认证，8mm普白钢化玻璃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直边圆角，边角抛光安全角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抗弯、防爆、耐高温、耐寒</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F3C6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29501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DB10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EF4AB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8C68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19个班</w:t>
            </w:r>
          </w:p>
        </w:tc>
      </w:tr>
      <w:tr w14:paraId="49A7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14:paraId="34ACE3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6192C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搬运费</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73CF3BF">
            <w:pPr>
              <w:jc w:val="center"/>
              <w:rPr>
                <w:rFonts w:hint="eastAsia" w:ascii="宋体" w:hAnsi="宋体" w:eastAsia="宋体" w:cs="宋体"/>
                <w:i w:val="0"/>
                <w:iCs w:val="0"/>
                <w:color w:val="000000"/>
                <w:sz w:val="16"/>
                <w:szCs w:val="16"/>
                <w:u w:val="none"/>
              </w:rPr>
            </w:pPr>
          </w:p>
        </w:tc>
        <w:tc>
          <w:tcPr>
            <w:tcW w:w="2416" w:type="dxa"/>
            <w:tcBorders>
              <w:top w:val="single" w:color="000000" w:sz="4" w:space="0"/>
              <w:left w:val="single" w:color="000000" w:sz="4" w:space="0"/>
              <w:bottom w:val="single" w:color="000000" w:sz="4" w:space="0"/>
              <w:right w:val="single" w:color="000000" w:sz="4" w:space="0"/>
            </w:tcBorders>
            <w:noWrap w:val="0"/>
            <w:vAlign w:val="center"/>
          </w:tcPr>
          <w:p w14:paraId="3D725A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人工搬运至指定地点（含上楼）</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D5D1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5BD9F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B0F5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347F5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0BB6568">
            <w:pPr>
              <w:jc w:val="center"/>
              <w:rPr>
                <w:rFonts w:hint="eastAsia" w:ascii="宋体" w:hAnsi="宋体" w:eastAsia="宋体" w:cs="宋体"/>
                <w:i w:val="0"/>
                <w:iCs w:val="0"/>
                <w:color w:val="000000"/>
                <w:sz w:val="16"/>
                <w:szCs w:val="16"/>
                <w:u w:val="none"/>
              </w:rPr>
            </w:pPr>
          </w:p>
        </w:tc>
      </w:tr>
      <w:tr w14:paraId="2601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605" w:type="dxa"/>
            <w:gridSpan w:val="7"/>
            <w:tcBorders>
              <w:top w:val="single" w:color="000000" w:sz="4" w:space="0"/>
              <w:left w:val="single" w:color="000000" w:sz="4" w:space="0"/>
              <w:bottom w:val="single" w:color="000000" w:sz="4" w:space="0"/>
              <w:right w:val="single" w:color="000000" w:sz="4" w:space="0"/>
            </w:tcBorders>
            <w:noWrap w:val="0"/>
            <w:vAlign w:val="center"/>
          </w:tcPr>
          <w:p w14:paraId="1E6118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93791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8952D7">
            <w:pPr>
              <w:jc w:val="center"/>
              <w:rPr>
                <w:rFonts w:hint="eastAsia" w:ascii="宋体" w:hAnsi="宋体" w:eastAsia="宋体" w:cs="宋体"/>
                <w:i w:val="0"/>
                <w:iCs w:val="0"/>
                <w:color w:val="000000"/>
                <w:sz w:val="16"/>
                <w:szCs w:val="16"/>
                <w:u w:val="none"/>
              </w:rPr>
            </w:pPr>
          </w:p>
        </w:tc>
      </w:tr>
    </w:tbl>
    <w:p w14:paraId="5332883C">
      <w:pPr>
        <w:spacing w:line="44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项目地址：海安高新区实验幼儿园</w:t>
      </w:r>
    </w:p>
    <w:p w14:paraId="28CC74EE">
      <w:pPr>
        <w:spacing w:line="44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联系人及联系方式：</w:t>
      </w:r>
      <w:r>
        <w:rPr>
          <w:rFonts w:hint="eastAsia" w:cs="宋体" w:asciiTheme="minorEastAsia" w:hAnsiTheme="minorEastAsia" w:eastAsiaTheme="minorEastAsia"/>
          <w:szCs w:val="21"/>
          <w:lang w:val="en-US" w:eastAsia="zh-CN"/>
        </w:rPr>
        <w:t>卢小玲</w:t>
      </w:r>
      <w:r>
        <w:rPr>
          <w:rFonts w:hint="eastAsia" w:cs="宋体" w:asciiTheme="minorEastAsia" w:hAnsiTheme="minorEastAsia" w:eastAsiaTheme="minorEastAsia"/>
          <w:szCs w:val="21"/>
        </w:rPr>
        <w:t xml:space="preserve">  13</w:t>
      </w:r>
      <w:r>
        <w:rPr>
          <w:rFonts w:hint="eastAsia" w:cs="宋体" w:asciiTheme="minorEastAsia" w:hAnsiTheme="minorEastAsia" w:eastAsiaTheme="minorEastAsia"/>
          <w:szCs w:val="21"/>
          <w:lang w:val="en-US" w:eastAsia="zh-CN"/>
        </w:rPr>
        <w:t>485152009</w:t>
      </w:r>
    </w:p>
    <w:p w14:paraId="3E32F3DF">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钢化玻璃尺寸长1195*宽595mm，厚8mm，3C认证，8mm普白钢化玻璃，直边圆角，抗弯、防爆、耐高温、耐寒。钢化玻璃尺寸长1200*宽600mm，厚8mm，3C认证，8mm普白钢化玻璃，直边圆角，抗弯、防爆、耐高温、耐寒。</w:t>
      </w:r>
    </w:p>
    <w:p w14:paraId="60085085">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钢化玻璃规格偏离度为0。</w:t>
      </w:r>
    </w:p>
    <w:p w14:paraId="3AC4FF17">
      <w:pPr>
        <w:spacing w:line="44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4.供货时间：按交易发起人要求，接到通知后15日历天内供货到位。交货地点为海安高新区实验幼儿园。中标单位承担包装、运输、装卸（运至指定地点，包含上楼）、售后服务等费用。</w:t>
      </w:r>
    </w:p>
    <w:p w14:paraId="125D9166">
      <w:pPr>
        <w:keepNext w:val="0"/>
        <w:keepLines w:val="0"/>
        <w:pageBreakBefore w:val="0"/>
        <w:tabs>
          <w:tab w:val="left" w:pos="5325"/>
        </w:tabs>
        <w:kinsoku/>
        <w:wordWrap/>
        <w:overflowPunct/>
        <w:topLinePunct w:val="0"/>
        <w:autoSpaceDE/>
        <w:autoSpaceDN/>
        <w:bidi w:val="0"/>
        <w:adjustRightInd/>
        <w:snapToGrid w:val="0"/>
        <w:spacing w:line="440" w:lineRule="exact"/>
        <w:ind w:firstLine="420" w:firstLineChars="200"/>
        <w:contextualSpacing/>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w:t>
      </w:r>
      <w:r>
        <w:rPr>
          <w:rFonts w:hint="eastAsia" w:cs="宋体" w:asciiTheme="minorEastAsia" w:hAnsiTheme="minorEastAsia" w:eastAsiaTheme="minorEastAsia"/>
          <w:kern w:val="2"/>
          <w:sz w:val="21"/>
          <w:szCs w:val="21"/>
          <w:lang w:val="en-US" w:eastAsia="zh-CN" w:bidi="ar-SA"/>
        </w:rPr>
        <w:t>.验收：</w:t>
      </w:r>
      <w:r>
        <w:rPr>
          <w:rFonts w:hint="default" w:cs="宋体" w:asciiTheme="minorEastAsia" w:hAnsiTheme="minorEastAsia" w:eastAsiaTheme="minorEastAsia"/>
          <w:kern w:val="2"/>
          <w:sz w:val="21"/>
          <w:szCs w:val="21"/>
          <w:lang w:val="en-US" w:eastAsia="zh-CN" w:bidi="ar-SA"/>
        </w:rPr>
        <w:t>货物到现场后，由交易发起人（或其授权代表）和成交单位组织相关人员共同对到货货物的数量、外观、包装质量、技术资料等进行检查</w:t>
      </w:r>
      <w:r>
        <w:rPr>
          <w:rFonts w:hint="eastAsia" w:cs="宋体" w:asciiTheme="minorEastAsia" w:hAnsiTheme="minorEastAsia" w:eastAsiaTheme="minorEastAsia"/>
          <w:kern w:val="2"/>
          <w:sz w:val="21"/>
          <w:szCs w:val="21"/>
          <w:lang w:val="en-US" w:eastAsia="zh-CN" w:bidi="ar-SA"/>
        </w:rPr>
        <w:t>；对照封样样品以及国家有关标准进行验收；验收时如发现货物质量、性能不符合采购文件规定标准的，本项目交易发起人有权在货物验收时拒绝签收并要求重新提供合格的货物，因此产生的一切损失由成交单位承担。</w:t>
      </w:r>
    </w:p>
    <w:p w14:paraId="692EEF35">
      <w:pPr>
        <w:pStyle w:val="2"/>
        <w:rPr>
          <w:rFonts w:hint="default"/>
          <w:lang w:val="en-US" w:eastAsia="zh-CN"/>
        </w:rPr>
      </w:pPr>
      <w:r>
        <w:rPr>
          <w:rFonts w:hint="eastAsia" w:cs="宋体" w:asciiTheme="minorEastAsia" w:hAnsiTheme="minorEastAsia" w:eastAsiaTheme="minorEastAsia"/>
          <w:kern w:val="2"/>
          <w:sz w:val="21"/>
          <w:szCs w:val="21"/>
          <w:lang w:val="en-US" w:eastAsia="zh-CN" w:bidi="ar-SA"/>
        </w:rPr>
        <w:t xml:space="preserve">    6.付款方式：待供货完成且验收合格后一次性付清。</w:t>
      </w:r>
    </w:p>
    <w:p w14:paraId="28C013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s="宋体" w:asciiTheme="minorEastAsia" w:hAnsiTheme="minorEastAsia" w:eastAsiaTheme="minorEastAsia"/>
          <w:bCs/>
          <w:color w:val="auto"/>
          <w:szCs w:val="21"/>
          <w:highlight w:val="yellow"/>
          <w:lang w:val="en-US" w:eastAsia="zh-CN"/>
        </w:rPr>
      </w:pPr>
      <w:bookmarkStart w:id="17" w:name="_GoBack"/>
      <w:bookmarkEnd w:id="17"/>
    </w:p>
    <w:p w14:paraId="4AFBF0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s="宋体" w:asciiTheme="minorEastAsia" w:hAnsiTheme="minorEastAsia" w:eastAsiaTheme="minorEastAsia"/>
          <w:bCs/>
          <w:color w:val="auto"/>
          <w:szCs w:val="21"/>
          <w:highlight w:val="yellow"/>
          <w:lang w:val="en-US" w:eastAsia="zh-CN"/>
        </w:rPr>
      </w:pPr>
      <w:r>
        <w:rPr>
          <w:rFonts w:hint="eastAsia" w:cs="宋体" w:asciiTheme="minorEastAsia" w:hAnsiTheme="minorEastAsia" w:eastAsiaTheme="minorEastAsia"/>
          <w:bCs/>
          <w:color w:val="auto"/>
          <w:szCs w:val="21"/>
          <w:highlight w:val="yellow"/>
          <w:lang w:val="en-US" w:eastAsia="zh-CN"/>
        </w:rPr>
        <w:t>注：</w:t>
      </w:r>
    </w:p>
    <w:p w14:paraId="57C95D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s="宋体" w:asciiTheme="minorEastAsia" w:hAnsiTheme="minorEastAsia" w:eastAsiaTheme="minorEastAsia"/>
          <w:bCs/>
          <w:color w:val="auto"/>
          <w:szCs w:val="21"/>
          <w:highlight w:val="yellow"/>
          <w:lang w:val="en-US" w:eastAsia="zh-CN"/>
        </w:rPr>
      </w:pPr>
      <w:r>
        <w:rPr>
          <w:rFonts w:hint="eastAsia" w:cs="宋体" w:asciiTheme="minorEastAsia" w:hAnsiTheme="minorEastAsia" w:eastAsiaTheme="minorEastAsia"/>
          <w:bCs/>
          <w:color w:val="auto"/>
          <w:szCs w:val="21"/>
          <w:highlight w:val="yellow"/>
          <w:lang w:val="en-US" w:eastAsia="zh-CN"/>
        </w:rPr>
        <w:t>1.中标后7日内需提供符合采购清单要求的国家强制性产品认证证书和检测报告，若未按要求提供的，视为放弃中标资格，由此产生的经济损失和法律责任均由中标单位承担。</w:t>
      </w:r>
    </w:p>
    <w:p w14:paraId="7B46AC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s="宋体" w:asciiTheme="minorEastAsia" w:hAnsiTheme="minorEastAsia" w:eastAsiaTheme="minorEastAsia"/>
          <w:bCs/>
          <w:color w:val="auto"/>
          <w:szCs w:val="21"/>
          <w:highlight w:val="yellow"/>
          <w:lang w:val="en-US" w:eastAsia="zh-CN"/>
        </w:rPr>
      </w:pPr>
      <w:r>
        <w:rPr>
          <w:rFonts w:hint="eastAsia" w:cs="宋体" w:asciiTheme="minorEastAsia" w:hAnsiTheme="minorEastAsia" w:eastAsiaTheme="minorEastAsia"/>
          <w:bCs/>
          <w:color w:val="auto"/>
          <w:szCs w:val="21"/>
          <w:highlight w:val="yellow"/>
          <w:lang w:val="en-US" w:eastAsia="zh-CN"/>
        </w:rPr>
        <w:t>2.签订合同时需提供采购清单中符合项目特征描述的产品合格证复印件（加盖投标单位公章）、原件备查，若未按要求提供的，视同违约，由此产生的经济损失和法律责任均由中标单位承担。</w:t>
      </w:r>
    </w:p>
    <w:p w14:paraId="5CE587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s="宋体" w:asciiTheme="minorEastAsia" w:hAnsiTheme="minorEastAsia" w:eastAsiaTheme="minorEastAsia"/>
          <w:bCs/>
          <w:color w:val="auto"/>
          <w:szCs w:val="21"/>
          <w:highlight w:val="yellow"/>
        </w:rPr>
      </w:pPr>
      <w:r>
        <w:rPr>
          <w:rFonts w:hint="eastAsia" w:cs="宋体" w:asciiTheme="minorEastAsia" w:hAnsiTheme="minorEastAsia" w:eastAsiaTheme="minorEastAsia"/>
          <w:bCs/>
          <w:color w:val="auto"/>
          <w:szCs w:val="21"/>
          <w:highlight w:val="yellow"/>
          <w:lang w:val="en-US" w:eastAsia="zh-CN"/>
        </w:rPr>
        <w:t>3.</w:t>
      </w:r>
      <w:r>
        <w:rPr>
          <w:rFonts w:hint="eastAsia" w:cs="宋体" w:asciiTheme="minorEastAsia" w:hAnsiTheme="minorEastAsia" w:eastAsiaTheme="minorEastAsia"/>
          <w:bCs/>
          <w:color w:val="auto"/>
          <w:szCs w:val="21"/>
          <w:highlight w:val="yellow"/>
        </w:rPr>
        <w:t>交付时应同时交付产品的产品合格证。使用单位会随机抽取其中的原材料送于第三方检测检测机构检测，如产品不符合本次采购清单所示要求，货款将不予结算，直至供货方提供符合要求的产品为止。验收前现场成品由成交单位自行保护，相关风险自行承担。</w:t>
      </w:r>
    </w:p>
    <w:p w14:paraId="30B72B9C">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4.质保期限：</w:t>
      </w:r>
      <w:r>
        <w:rPr>
          <w:rFonts w:hint="eastAsia" w:cs="宋体" w:asciiTheme="minorEastAsia" w:hAnsiTheme="minorEastAsia" w:eastAsiaTheme="minorEastAsia"/>
          <w:bCs/>
          <w:szCs w:val="21"/>
          <w:lang w:val="en-US" w:eastAsia="zh-CN"/>
        </w:rPr>
        <w:t>2</w:t>
      </w:r>
      <w:r>
        <w:rPr>
          <w:rFonts w:hint="eastAsia" w:cs="宋体" w:asciiTheme="minorEastAsia" w:hAnsiTheme="minorEastAsia" w:eastAsiaTheme="minorEastAsia"/>
          <w:bCs/>
          <w:szCs w:val="21"/>
        </w:rPr>
        <w:t>年。</w:t>
      </w:r>
    </w:p>
    <w:p w14:paraId="4B025735">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5.质量标准：符合国家和行业标准。</w:t>
      </w:r>
    </w:p>
    <w:p w14:paraId="2FF73D89">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6.采购标的的验收标准：</w:t>
      </w:r>
    </w:p>
    <w:p w14:paraId="6EF2CB15">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（1）成交单位在截至时间内交货、安装，有关运输和保险的一切费用、安全风险、责任由成交单位承担。所有货物运抵现场并安装、调试、验收合格后的日期为交货日期。</w:t>
      </w:r>
    </w:p>
    <w:p w14:paraId="654AE5B6">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（2）货物到现场后，由交易发起人（或其授权代表）和成交单位组织相关人员共同对到货货物的数量、外观、包装质量、技术资料等进行检查，双方书面确认后开始安装、调试。</w:t>
      </w:r>
    </w:p>
    <w:p w14:paraId="3E918DF7">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货物安装调试完成以后，由交易发起人（或其授权代表）组织人员对照封样样品以及国家有关标准进行验收；货物性能达到技术要求的，给予签收；验收合格后由交易发起人（或其授权代表）签署确认验收合格文件（一式四份）；验收时如发现货物质量、性能不符合采购文件规定标准的，本项目交易发起人有权在货物验收时拒绝签收并要求重新提供合格的货物，因此产生的一切损失由成交单位承担。</w:t>
      </w:r>
    </w:p>
    <w:p w14:paraId="322009DD">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（4）成交单位须为验收提供必需的设备、工具及其他便利条件；</w:t>
      </w:r>
    </w:p>
    <w:p w14:paraId="75FD47C8">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（5）在验收过程中发现数量不足或有质量、技术等问题，成交单位应负责按照交易发起人的要求采取补足、更换或退货等措施妥善处理， 并承担由此发生的一切费用和损失；</w:t>
      </w:r>
    </w:p>
    <w:p w14:paraId="077459C2">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（6）对于不合格的货物，成交单位必须在 3 个工作日里及时完成更换并重新对更换货物进行验收。如两次更换货物不合格，交易发起人有权解除合同，造成的相关损失均由成交单位承担。</w:t>
      </w:r>
    </w:p>
    <w:p w14:paraId="76321B85">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按照国家有关验收规范以及采购文件要求数量、质量进行验收，必要时邀请相关的专业人员或机构参与验收。因产品质量问题发生争议时，交易发起人有权请专业部门鉴定，货物符合质量技术标准的鉴定费由交易发起人承担，否则鉴定费由成交单位承担。</w:t>
      </w:r>
    </w:p>
    <w:p w14:paraId="560D53BF">
      <w:pPr>
        <w:spacing w:line="440" w:lineRule="exact"/>
        <w:ind w:firstLine="422" w:firstLineChars="200"/>
        <w:rPr>
          <w:rFonts w:cs="宋体" w:asciiTheme="minorEastAsia" w:hAnsiTheme="minorEastAsia" w:eastAsiaTheme="minorEastAsia"/>
          <w:b/>
          <w:bCs/>
          <w:color w:val="FF0000"/>
          <w:szCs w:val="21"/>
        </w:rPr>
      </w:pPr>
    </w:p>
    <w:p w14:paraId="146E5E57">
      <w:pPr>
        <w:autoSpaceDE w:val="0"/>
        <w:autoSpaceDN w:val="0"/>
        <w:adjustRightInd w:val="0"/>
        <w:snapToGrid w:val="0"/>
        <w:spacing w:line="300" w:lineRule="auto"/>
        <w:jc w:val="center"/>
        <w:rPr>
          <w:rFonts w:ascii="宋体" w:hAnsi="宋体"/>
          <w:b/>
          <w:bCs/>
          <w:sz w:val="28"/>
          <w:szCs w:val="28"/>
          <w:lang w:val="zh-CN"/>
        </w:rPr>
      </w:pPr>
    </w:p>
    <w:p w14:paraId="75E726EA">
      <w:pPr>
        <w:autoSpaceDE w:val="0"/>
        <w:autoSpaceDN w:val="0"/>
        <w:adjustRightInd w:val="0"/>
        <w:snapToGrid w:val="0"/>
        <w:spacing w:line="300" w:lineRule="auto"/>
        <w:jc w:val="center"/>
        <w:rPr>
          <w:rFonts w:ascii="宋体" w:hAnsi="宋体"/>
          <w:b/>
          <w:bCs/>
          <w:sz w:val="28"/>
          <w:szCs w:val="28"/>
          <w:lang w:val="zh-CN"/>
        </w:rPr>
      </w:pPr>
    </w:p>
    <w:p w14:paraId="1DCD4A10">
      <w:pPr>
        <w:autoSpaceDE w:val="0"/>
        <w:autoSpaceDN w:val="0"/>
        <w:adjustRightInd w:val="0"/>
        <w:snapToGrid w:val="0"/>
        <w:spacing w:line="300" w:lineRule="auto"/>
        <w:jc w:val="center"/>
        <w:rPr>
          <w:rFonts w:ascii="宋体" w:hAnsi="宋体"/>
          <w:b/>
          <w:bCs/>
          <w:sz w:val="28"/>
          <w:szCs w:val="28"/>
          <w:lang w:val="zh-CN"/>
        </w:rPr>
      </w:pPr>
    </w:p>
    <w:p w14:paraId="6017F241">
      <w:pPr>
        <w:autoSpaceDE w:val="0"/>
        <w:autoSpaceDN w:val="0"/>
        <w:adjustRightInd w:val="0"/>
        <w:snapToGrid w:val="0"/>
        <w:spacing w:line="300" w:lineRule="auto"/>
        <w:rPr>
          <w:rFonts w:ascii="宋体" w:hAnsi="宋体"/>
          <w:b/>
          <w:bCs/>
          <w:sz w:val="28"/>
          <w:szCs w:val="28"/>
          <w:lang w:val="zh-CN"/>
        </w:rPr>
        <w:sectPr>
          <w:footerReference r:id="rId3" w:type="default"/>
          <w:pgSz w:w="11850" w:h="16783"/>
          <w:pgMar w:top="1440" w:right="1080" w:bottom="1440" w:left="1080" w:header="851" w:footer="992" w:gutter="0"/>
          <w:cols w:space="0" w:num="1"/>
          <w:docGrid w:type="lines" w:linePitch="319" w:charSpace="0"/>
        </w:sectPr>
      </w:pPr>
    </w:p>
    <w:p w14:paraId="67D9428F">
      <w:pPr>
        <w:snapToGrid w:val="0"/>
        <w:spacing w:line="300" w:lineRule="auto"/>
        <w:jc w:val="center"/>
        <w:outlineLvl w:val="0"/>
        <w:rPr>
          <w:rFonts w:ascii="宋体" w:hAnsi="宋体"/>
          <w:b/>
          <w:sz w:val="28"/>
          <w:szCs w:val="28"/>
        </w:rPr>
      </w:pPr>
      <w:r>
        <w:rPr>
          <w:rFonts w:hint="eastAsia" w:ascii="宋体" w:hAnsi="宋体"/>
          <w:b/>
          <w:sz w:val="28"/>
          <w:szCs w:val="28"/>
        </w:rPr>
        <w:t>第</w:t>
      </w:r>
      <w:r>
        <w:rPr>
          <w:rFonts w:hint="eastAsia" w:ascii="宋体" w:hAnsi="宋体"/>
          <w:b/>
          <w:sz w:val="28"/>
          <w:szCs w:val="28"/>
          <w:lang w:val="en-US" w:eastAsia="zh-CN"/>
        </w:rPr>
        <w:t>二</w:t>
      </w:r>
      <w:r>
        <w:rPr>
          <w:rFonts w:hint="eastAsia" w:ascii="宋体" w:hAnsi="宋体"/>
          <w:b/>
          <w:sz w:val="28"/>
          <w:szCs w:val="28"/>
        </w:rPr>
        <w:t>部分  合同签订与验收付款</w:t>
      </w:r>
    </w:p>
    <w:p w14:paraId="16FCFE7B">
      <w:pPr>
        <w:spacing w:line="440" w:lineRule="exact"/>
        <w:jc w:val="center"/>
        <w:rPr>
          <w:rFonts w:asciiTheme="minorEastAsia" w:hAnsiTheme="minorEastAsia" w:eastAsiaTheme="minorEastAsia"/>
          <w:szCs w:val="21"/>
        </w:rPr>
      </w:pPr>
    </w:p>
    <w:p w14:paraId="4DFA23AB">
      <w:pPr>
        <w:snapToGrid w:val="0"/>
        <w:spacing w:line="440" w:lineRule="exact"/>
        <w:ind w:firstLine="422" w:firstLineChars="200"/>
        <w:rPr>
          <w:rFonts w:ascii="宋体" w:hAnsi="宋体"/>
          <w:szCs w:val="21"/>
        </w:rPr>
      </w:pPr>
      <w:r>
        <w:rPr>
          <w:rFonts w:hint="eastAsia" w:ascii="宋体" w:hAnsi="宋体"/>
          <w:b/>
          <w:szCs w:val="21"/>
        </w:rPr>
        <w:t>一</w:t>
      </w:r>
      <w:r>
        <w:rPr>
          <w:rFonts w:hint="eastAsia" w:ascii="宋体" w:hAnsi="宋体"/>
          <w:szCs w:val="21"/>
        </w:rPr>
        <w:t>、成交人与交易发起人在《成交通知书》发出之日起7日内签订合同。</w:t>
      </w:r>
      <w:r>
        <w:rPr>
          <w:rFonts w:hint="eastAsia" w:ascii="宋体" w:hAnsi="宋体"/>
          <w:szCs w:val="21"/>
          <w:lang w:val="zh-CN"/>
        </w:rPr>
        <w:t>所签合同不得对竞价文件作实质性修改</w:t>
      </w:r>
      <w:r>
        <w:rPr>
          <w:rFonts w:hint="eastAsia" w:ascii="宋体" w:hAnsi="宋体"/>
          <w:szCs w:val="21"/>
        </w:rPr>
        <w:t>。交易发起人不得向成交人提出不合理的要求作为签订合同的条件，不得与成交人私下订立背离竞</w:t>
      </w:r>
      <w:r>
        <w:rPr>
          <w:rFonts w:hint="eastAsia" w:ascii="宋体" w:hAnsi="宋体"/>
          <w:szCs w:val="21"/>
          <w:lang w:eastAsia="zh-CN"/>
        </w:rPr>
        <w:t>价</w:t>
      </w:r>
      <w:r>
        <w:rPr>
          <w:rFonts w:hint="eastAsia" w:ascii="宋体" w:hAnsi="宋体"/>
          <w:szCs w:val="21"/>
        </w:rPr>
        <w:t>文件实质性内容的协议。</w:t>
      </w:r>
    </w:p>
    <w:p w14:paraId="69FFE73E">
      <w:pPr>
        <w:snapToGrid w:val="0"/>
        <w:spacing w:line="440" w:lineRule="exact"/>
        <w:ind w:firstLine="422" w:firstLineChars="200"/>
        <w:rPr>
          <w:rFonts w:ascii="宋体" w:hAnsi="宋体"/>
          <w:szCs w:val="21"/>
        </w:rPr>
      </w:pPr>
      <w:r>
        <w:rPr>
          <w:rFonts w:hint="eastAsia" w:ascii="宋体" w:hAnsi="宋体"/>
          <w:b/>
          <w:szCs w:val="21"/>
        </w:rPr>
        <w:t>二</w:t>
      </w:r>
      <w:r>
        <w:rPr>
          <w:rFonts w:hint="eastAsia" w:ascii="宋体" w:hAnsi="宋体"/>
          <w:szCs w:val="21"/>
        </w:rPr>
        <w:t>、交易发起人按合同约定积极配合成交人履约，成交人履约到位后，请以书面形式向交易发起人提出验收申请，交易发起人接到申请后原则上在5个工作日内及时组织相关专业技术人员，必要时邀请质检等部门共同参与验收，并出具验收报告，验收合格后按照财务制度支付相应款项。</w:t>
      </w:r>
    </w:p>
    <w:p w14:paraId="657BE227">
      <w:pPr>
        <w:snapToGrid w:val="0"/>
        <w:spacing w:line="440" w:lineRule="exact"/>
        <w:ind w:firstLine="420" w:firstLineChars="200"/>
        <w:contextualSpacing/>
        <w:rPr>
          <w:rFonts w:ascii="宋体" w:hAnsi="宋体"/>
          <w:szCs w:val="21"/>
        </w:rPr>
      </w:pPr>
      <w:r>
        <w:rPr>
          <w:rFonts w:hint="eastAsia" w:ascii="宋体" w:hAnsi="宋体"/>
          <w:szCs w:val="21"/>
        </w:rPr>
        <w:t>三、交易发起人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7710922A">
      <w:pPr>
        <w:snapToGrid w:val="0"/>
        <w:spacing w:line="440" w:lineRule="exact"/>
        <w:ind w:firstLine="420" w:firstLineChars="200"/>
        <w:contextualSpacing/>
        <w:rPr>
          <w:rFonts w:ascii="宋体" w:hAnsi="宋体"/>
          <w:szCs w:val="21"/>
        </w:rPr>
      </w:pPr>
      <w:r>
        <w:rPr>
          <w:rFonts w:hint="eastAsia" w:ascii="宋体" w:hAnsi="宋体"/>
          <w:szCs w:val="21"/>
        </w:rPr>
        <w:t>四、成交人出现违约情形，应当及时纠正或补偿；造成损失的，按合同约定追究违约责任；发现有假冒、伪劣、走私产品、商业贿赂等违法情形的，应由交易发起人移交相关行政执法部门依法查处。</w:t>
      </w:r>
    </w:p>
    <w:p w14:paraId="35CB794D">
      <w:pPr>
        <w:kinsoku w:val="0"/>
        <w:topLinePunct/>
        <w:autoSpaceDE w:val="0"/>
        <w:autoSpaceDN w:val="0"/>
        <w:snapToGrid w:val="0"/>
        <w:spacing w:line="440" w:lineRule="exact"/>
        <w:ind w:right="210" w:firstLine="449" w:firstLineChars="214"/>
        <w:contextualSpacing/>
        <w:rPr>
          <w:rFonts w:ascii="宋体" w:hAnsi="宋体"/>
          <w:b/>
          <w:color w:val="000000"/>
          <w:szCs w:val="21"/>
        </w:rPr>
      </w:pPr>
      <w:r>
        <w:rPr>
          <w:rFonts w:hint="eastAsia" w:ascii="宋体" w:hAnsi="宋体"/>
          <w:color w:val="000000"/>
          <w:szCs w:val="21"/>
          <w:lang w:val="zh-CN"/>
        </w:rPr>
        <w:t>五、</w:t>
      </w:r>
      <w:r>
        <w:rPr>
          <w:rFonts w:hint="eastAsia" w:ascii="宋体" w:hAnsi="宋体"/>
          <w:b/>
          <w:color w:val="000000"/>
          <w:szCs w:val="21"/>
        </w:rPr>
        <w:t>不响应付款方式的，视同响应文件无效处理。</w:t>
      </w:r>
    </w:p>
    <w:p w14:paraId="22AE92E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支付方式：</w:t>
      </w:r>
      <w:r>
        <w:rPr>
          <w:rFonts w:hint="eastAsia" w:cs="宋体" w:asciiTheme="minorEastAsia" w:hAnsiTheme="minorEastAsia" w:eastAsiaTheme="minorEastAsia"/>
          <w:szCs w:val="21"/>
          <w:highlight w:val="yellow"/>
        </w:rPr>
        <w:t>待供货完成且验收合格，无质量问题后一次性付清。</w:t>
      </w:r>
    </w:p>
    <w:p w14:paraId="199034E8">
      <w:pPr>
        <w:kinsoku w:val="0"/>
        <w:topLinePunct/>
        <w:autoSpaceDE w:val="0"/>
        <w:autoSpaceDN w:val="0"/>
        <w:snapToGrid w:val="0"/>
        <w:spacing w:line="440" w:lineRule="exact"/>
        <w:ind w:right="210" w:firstLine="449" w:firstLineChars="214"/>
        <w:contextualSpacing/>
        <w:rPr>
          <w:rFonts w:ascii="宋体" w:hAnsi="宋体"/>
          <w:color w:val="000000"/>
          <w:szCs w:val="21"/>
        </w:rPr>
      </w:pPr>
      <w:r>
        <w:rPr>
          <w:rFonts w:hint="eastAsia" w:ascii="宋体" w:hAnsi="宋体"/>
          <w:color w:val="000000"/>
          <w:szCs w:val="21"/>
        </w:rPr>
        <w:t>款项由交易发起人按相关财务支付规定办理支付手续。不得故意拖延支付时间。</w:t>
      </w:r>
    </w:p>
    <w:p w14:paraId="27CB8233">
      <w:pPr>
        <w:kinsoku w:val="0"/>
        <w:topLinePunct/>
        <w:autoSpaceDE w:val="0"/>
        <w:autoSpaceDN w:val="0"/>
        <w:snapToGrid w:val="0"/>
        <w:spacing w:line="440" w:lineRule="exact"/>
        <w:ind w:right="210" w:firstLine="451" w:firstLineChars="214"/>
        <w:contextualSpacing/>
        <w:rPr>
          <w:rFonts w:ascii="宋体" w:hAnsi="宋体"/>
          <w:b/>
          <w:color w:val="000000"/>
          <w:szCs w:val="21"/>
        </w:rPr>
      </w:pPr>
      <w:r>
        <w:rPr>
          <w:rFonts w:hint="eastAsia" w:ascii="宋体" w:hAnsi="宋体"/>
          <w:b/>
          <w:color w:val="000000"/>
          <w:szCs w:val="21"/>
        </w:rPr>
        <w:t>六、交易响应人不按规定参与竞</w:t>
      </w:r>
      <w:r>
        <w:rPr>
          <w:rFonts w:hint="eastAsia" w:ascii="宋体" w:hAnsi="宋体"/>
          <w:b/>
          <w:color w:val="000000"/>
          <w:szCs w:val="21"/>
          <w:lang w:eastAsia="zh-CN"/>
        </w:rPr>
        <w:t>价</w:t>
      </w:r>
      <w:r>
        <w:rPr>
          <w:rFonts w:hint="eastAsia" w:ascii="宋体" w:hAnsi="宋体"/>
          <w:b/>
          <w:color w:val="000000"/>
          <w:szCs w:val="21"/>
        </w:rPr>
        <w:t>、不按规定签订合同、不按规定履约的约定。</w:t>
      </w:r>
    </w:p>
    <w:p w14:paraId="77A9CA7C">
      <w:pPr>
        <w:kinsoku w:val="0"/>
        <w:topLinePunct/>
        <w:autoSpaceDE w:val="0"/>
        <w:autoSpaceDN w:val="0"/>
        <w:snapToGrid w:val="0"/>
        <w:spacing w:line="440" w:lineRule="exact"/>
        <w:ind w:right="210" w:firstLine="451" w:firstLineChars="214"/>
        <w:contextualSpacing/>
        <w:rPr>
          <w:rFonts w:ascii="宋体" w:hAnsi="宋体"/>
          <w:b/>
          <w:color w:val="FF0000"/>
          <w:szCs w:val="21"/>
        </w:rPr>
      </w:pPr>
      <w:r>
        <w:rPr>
          <w:rFonts w:hint="eastAsia" w:ascii="宋体" w:hAnsi="宋体"/>
          <w:b/>
          <w:color w:val="FF0000"/>
          <w:szCs w:val="21"/>
        </w:rPr>
        <w:t>交易响应人在报价完毕后放弃成交资格的，3个月内不得参与高新区（含区属单位、国企、四个街道）的任何公共资源交易（含限额以上、限额以下、</w:t>
      </w:r>
      <w:r>
        <w:rPr>
          <w:rFonts w:hint="eastAsia" w:ascii="宋体" w:hAnsi="宋体"/>
          <w:b/>
          <w:color w:val="FF0000"/>
          <w:szCs w:val="21"/>
          <w:lang w:val="en-US" w:eastAsia="zh-CN"/>
        </w:rPr>
        <w:t>苏采云</w:t>
      </w:r>
      <w:r>
        <w:rPr>
          <w:rFonts w:hint="eastAsia" w:ascii="宋体" w:hAnsi="宋体"/>
          <w:b/>
          <w:color w:val="FF0000"/>
          <w:szCs w:val="21"/>
        </w:rPr>
        <w:t>）活动。</w:t>
      </w:r>
    </w:p>
    <w:p w14:paraId="7E7266ED">
      <w:pPr>
        <w:kinsoku w:val="0"/>
        <w:topLinePunct/>
        <w:autoSpaceDE w:val="0"/>
        <w:autoSpaceDN w:val="0"/>
        <w:snapToGrid w:val="0"/>
        <w:spacing w:line="440" w:lineRule="exact"/>
        <w:ind w:right="210" w:firstLine="451" w:firstLineChars="214"/>
        <w:contextualSpacing/>
        <w:rPr>
          <w:rFonts w:ascii="宋体" w:hAnsi="宋体"/>
          <w:b/>
          <w:color w:val="FF0000"/>
          <w:szCs w:val="21"/>
        </w:rPr>
      </w:pPr>
      <w:r>
        <w:rPr>
          <w:rFonts w:hint="eastAsia" w:ascii="宋体" w:hAnsi="宋体"/>
          <w:b/>
          <w:color w:val="FF0000"/>
          <w:szCs w:val="21"/>
        </w:rPr>
        <w:t>交易响应人在发布成交公示后放弃成交资格，6个月内不得参与高新区（含区属单位、国企、四个街道）的任何公共资源交易（含限额以上、限额以下、</w:t>
      </w:r>
      <w:r>
        <w:rPr>
          <w:rFonts w:hint="eastAsia" w:ascii="宋体" w:hAnsi="宋体"/>
          <w:b/>
          <w:color w:val="FF0000"/>
          <w:szCs w:val="21"/>
          <w:lang w:val="en-US" w:eastAsia="zh-CN"/>
        </w:rPr>
        <w:t>苏采云</w:t>
      </w:r>
      <w:r>
        <w:rPr>
          <w:rFonts w:hint="eastAsia" w:ascii="宋体" w:hAnsi="宋体"/>
          <w:b/>
          <w:color w:val="FF0000"/>
          <w:szCs w:val="21"/>
        </w:rPr>
        <w:t>）活动。</w:t>
      </w:r>
    </w:p>
    <w:p w14:paraId="00DAA4FB">
      <w:pPr>
        <w:kinsoku w:val="0"/>
        <w:topLinePunct/>
        <w:autoSpaceDE w:val="0"/>
        <w:autoSpaceDN w:val="0"/>
        <w:snapToGrid w:val="0"/>
        <w:spacing w:line="440" w:lineRule="exact"/>
        <w:ind w:right="210" w:firstLine="451" w:firstLineChars="214"/>
        <w:contextualSpacing/>
        <w:rPr>
          <w:rFonts w:ascii="宋体" w:hAnsi="宋体"/>
          <w:b/>
          <w:color w:val="FF0000"/>
          <w:szCs w:val="21"/>
        </w:rPr>
      </w:pPr>
      <w:r>
        <w:rPr>
          <w:rFonts w:hint="eastAsia" w:ascii="宋体" w:hAnsi="宋体"/>
          <w:b/>
          <w:color w:val="FF0000"/>
          <w:szCs w:val="21"/>
        </w:rPr>
        <w:t>成交单位不按规定签订合同的，当年及下年度不得参与高新区（含区属单位、国企、四个街道）的任何公共资源交易（含限额以上、限额以下、</w:t>
      </w:r>
      <w:r>
        <w:rPr>
          <w:rFonts w:hint="eastAsia" w:ascii="宋体" w:hAnsi="宋体"/>
          <w:b/>
          <w:color w:val="FF0000"/>
          <w:szCs w:val="21"/>
          <w:lang w:val="en-US" w:eastAsia="zh-CN"/>
        </w:rPr>
        <w:t>苏采云</w:t>
      </w:r>
      <w:r>
        <w:rPr>
          <w:rFonts w:hint="eastAsia" w:ascii="宋体" w:hAnsi="宋体"/>
          <w:b/>
          <w:color w:val="FF0000"/>
          <w:szCs w:val="21"/>
        </w:rPr>
        <w:t>）活动。</w:t>
      </w:r>
    </w:p>
    <w:p w14:paraId="4063B612">
      <w:pPr>
        <w:kinsoku w:val="0"/>
        <w:topLinePunct/>
        <w:autoSpaceDE w:val="0"/>
        <w:autoSpaceDN w:val="0"/>
        <w:snapToGrid w:val="0"/>
        <w:spacing w:line="440" w:lineRule="exact"/>
        <w:ind w:right="210" w:firstLine="451" w:firstLineChars="214"/>
        <w:contextualSpacing/>
        <w:rPr>
          <w:rFonts w:ascii="宋体" w:hAnsi="宋体"/>
          <w:b/>
          <w:color w:val="FF0000"/>
          <w:szCs w:val="21"/>
        </w:rPr>
      </w:pPr>
      <w:r>
        <w:rPr>
          <w:rFonts w:hint="eastAsia" w:ascii="宋体" w:hAnsi="宋体"/>
          <w:b/>
          <w:color w:val="FF0000"/>
          <w:szCs w:val="21"/>
        </w:rPr>
        <w:t>成交单位不按规定履约的，当年及下年度不得参与高新区（含区属单位、国企、四个街道）的任何公共资源交易（含限额以上、限额以下、</w:t>
      </w:r>
      <w:r>
        <w:rPr>
          <w:rFonts w:hint="eastAsia" w:ascii="宋体" w:hAnsi="宋体"/>
          <w:b/>
          <w:color w:val="FF0000"/>
          <w:szCs w:val="21"/>
          <w:lang w:val="en-US" w:eastAsia="zh-CN"/>
        </w:rPr>
        <w:t>苏采云</w:t>
      </w:r>
      <w:r>
        <w:rPr>
          <w:rFonts w:hint="eastAsia" w:ascii="宋体" w:hAnsi="宋体"/>
          <w:b/>
          <w:color w:val="FF0000"/>
          <w:szCs w:val="21"/>
        </w:rPr>
        <w:t>）活动。</w:t>
      </w:r>
    </w:p>
    <w:p w14:paraId="107D0902">
      <w:pPr>
        <w:kinsoku w:val="0"/>
        <w:topLinePunct/>
        <w:autoSpaceDE w:val="0"/>
        <w:autoSpaceDN w:val="0"/>
        <w:snapToGrid w:val="0"/>
        <w:spacing w:line="440" w:lineRule="exact"/>
        <w:ind w:right="210" w:firstLine="451" w:firstLineChars="214"/>
        <w:contextualSpacing/>
        <w:rPr>
          <w:rFonts w:ascii="宋体" w:hAnsi="宋体"/>
          <w:b/>
          <w:color w:val="FF0000"/>
          <w:szCs w:val="21"/>
        </w:rPr>
      </w:pPr>
    </w:p>
    <w:p w14:paraId="3DBA3C43">
      <w:pPr>
        <w:snapToGrid w:val="0"/>
        <w:spacing w:line="300" w:lineRule="auto"/>
        <w:jc w:val="center"/>
        <w:outlineLvl w:val="0"/>
        <w:rPr>
          <w:rFonts w:ascii="宋体" w:hAnsi="宋体"/>
          <w:b/>
          <w:sz w:val="36"/>
          <w:szCs w:val="36"/>
        </w:rPr>
      </w:pPr>
    </w:p>
    <w:p w14:paraId="666A133F">
      <w:pPr>
        <w:snapToGrid w:val="0"/>
        <w:spacing w:line="300" w:lineRule="auto"/>
        <w:outlineLvl w:val="0"/>
        <w:rPr>
          <w:rFonts w:ascii="宋体" w:hAnsi="宋体"/>
          <w:b/>
          <w:sz w:val="36"/>
          <w:szCs w:val="36"/>
        </w:rPr>
      </w:pPr>
    </w:p>
    <w:p w14:paraId="1592DBEC">
      <w:pPr>
        <w:snapToGrid w:val="0"/>
        <w:spacing w:line="300" w:lineRule="auto"/>
        <w:outlineLvl w:val="0"/>
        <w:rPr>
          <w:rFonts w:ascii="宋体" w:hAnsi="宋体"/>
          <w:b/>
          <w:sz w:val="28"/>
          <w:szCs w:val="28"/>
        </w:rPr>
      </w:pPr>
    </w:p>
    <w:p w14:paraId="12DF6328">
      <w:pPr>
        <w:spacing w:line="360" w:lineRule="exact"/>
        <w:jc w:val="left"/>
        <w:rPr>
          <w:rFonts w:ascii="宋体" w:hAnsi="宋体"/>
          <w:sz w:val="24"/>
        </w:rPr>
      </w:pPr>
    </w:p>
    <w:p w14:paraId="3CD90992">
      <w:pPr>
        <w:rPr>
          <w:rFonts w:hint="eastAsia" w:ascii="宋体" w:hAnsi="宋体"/>
          <w:sz w:val="24"/>
        </w:rPr>
      </w:pPr>
      <w:r>
        <w:rPr>
          <w:rFonts w:hint="eastAsia" w:ascii="宋体" w:hAnsi="宋体"/>
          <w:sz w:val="24"/>
        </w:rPr>
        <w:br w:type="page"/>
      </w:r>
    </w:p>
    <w:p w14:paraId="7B6FD3B1">
      <w:pPr>
        <w:spacing w:line="360" w:lineRule="exact"/>
        <w:jc w:val="center"/>
        <w:rPr>
          <w:rFonts w:hint="eastAsia" w:ascii="宋体" w:hAnsi="宋体" w:eastAsia="宋体"/>
          <w:sz w:val="24"/>
          <w:lang w:val="en-US" w:eastAsia="zh-CN"/>
        </w:rPr>
      </w:pPr>
      <w:r>
        <w:rPr>
          <w:rFonts w:hint="eastAsia" w:ascii="宋体" w:hAnsi="宋体"/>
          <w:sz w:val="24"/>
        </w:rPr>
        <w:t>海安高新区</w:t>
      </w:r>
      <w:r>
        <w:rPr>
          <w:rFonts w:hint="eastAsia" w:ascii="宋体" w:hAnsi="宋体"/>
          <w:sz w:val="24"/>
          <w:lang w:eastAsia="zh-CN"/>
        </w:rPr>
        <w:t>实验</w:t>
      </w:r>
      <w:r>
        <w:rPr>
          <w:rFonts w:hint="eastAsia" w:ascii="宋体" w:hAnsi="宋体"/>
          <w:sz w:val="24"/>
        </w:rPr>
        <w:t>幼儿园</w:t>
      </w:r>
      <w:r>
        <w:rPr>
          <w:rFonts w:hint="eastAsia" w:ascii="宋体" w:hAnsi="宋体"/>
          <w:sz w:val="24"/>
          <w:lang w:val="en-US" w:eastAsia="zh-CN"/>
        </w:rPr>
        <w:t>钢化玻璃</w:t>
      </w:r>
      <w:r>
        <w:rPr>
          <w:rFonts w:hint="eastAsia" w:ascii="宋体" w:hAnsi="宋体"/>
          <w:sz w:val="24"/>
        </w:rPr>
        <w:t>采购项目</w:t>
      </w:r>
      <w:r>
        <w:rPr>
          <w:rFonts w:hint="eastAsia" w:ascii="宋体" w:hAnsi="宋体"/>
          <w:sz w:val="24"/>
          <w:lang w:val="en-US" w:eastAsia="zh-CN"/>
        </w:rPr>
        <w:t>合同</w:t>
      </w:r>
    </w:p>
    <w:p w14:paraId="740D76F2">
      <w:pPr>
        <w:spacing w:line="360" w:lineRule="exact"/>
        <w:jc w:val="left"/>
        <w:rPr>
          <w:rFonts w:hint="eastAsia" w:ascii="宋体" w:hAnsi="宋体"/>
          <w:sz w:val="24"/>
        </w:rPr>
      </w:pPr>
    </w:p>
    <w:p w14:paraId="6D81B15A">
      <w:pPr>
        <w:spacing w:line="360" w:lineRule="exact"/>
        <w:jc w:val="left"/>
        <w:rPr>
          <w:rFonts w:ascii="宋体" w:hAnsi="宋体"/>
          <w:sz w:val="24"/>
        </w:rPr>
      </w:pPr>
      <w:r>
        <w:rPr>
          <w:rFonts w:hint="eastAsia" w:ascii="宋体" w:hAnsi="宋体"/>
          <w:sz w:val="24"/>
        </w:rPr>
        <w:t xml:space="preserve">甲方：（需方）                                   编    号：  </w:t>
      </w:r>
    </w:p>
    <w:p w14:paraId="2807ED2A">
      <w:pPr>
        <w:spacing w:line="360" w:lineRule="exact"/>
        <w:jc w:val="left"/>
        <w:rPr>
          <w:rFonts w:ascii="宋体" w:hAnsi="宋体"/>
          <w:sz w:val="24"/>
        </w:rPr>
      </w:pPr>
      <w:r>
        <w:rPr>
          <w:rFonts w:hint="eastAsia" w:ascii="宋体" w:hAnsi="宋体"/>
          <w:sz w:val="24"/>
        </w:rPr>
        <w:t xml:space="preserve">乙方：（供方）                                   签订地点： </w:t>
      </w:r>
    </w:p>
    <w:p w14:paraId="18D842DF">
      <w:pPr>
        <w:spacing w:line="440" w:lineRule="exact"/>
        <w:ind w:firstLine="420" w:firstLineChars="200"/>
        <w:rPr>
          <w:rFonts w:ascii="宋体" w:hAnsi="宋体"/>
          <w:szCs w:val="21"/>
        </w:rPr>
      </w:pPr>
      <w:r>
        <w:rPr>
          <w:rFonts w:hint="eastAsia" w:ascii="宋体" w:hAnsi="宋体"/>
          <w:szCs w:val="21"/>
        </w:rPr>
        <w:t>甲、乙双方依据《中华人民共和国民法典》等有关规定，</w:t>
      </w:r>
      <w:r>
        <w:rPr>
          <w:rFonts w:ascii="宋体" w:hAnsi="宋体"/>
          <w:szCs w:val="21"/>
        </w:rPr>
        <w:t>在平等自愿的基础上，同意按照下面的条款和条件，签署本合同</w:t>
      </w:r>
      <w:r>
        <w:rPr>
          <w:rFonts w:hint="eastAsia" w:ascii="宋体" w:hAnsi="宋体"/>
          <w:szCs w:val="21"/>
        </w:rPr>
        <w:t>：</w:t>
      </w:r>
    </w:p>
    <w:p w14:paraId="3F154CFE">
      <w:pPr>
        <w:spacing w:line="440" w:lineRule="exact"/>
        <w:ind w:firstLine="420" w:firstLineChars="200"/>
        <w:rPr>
          <w:rFonts w:ascii="宋体" w:hAnsi="宋体"/>
          <w:szCs w:val="21"/>
        </w:rPr>
      </w:pPr>
      <w:r>
        <w:rPr>
          <w:rFonts w:hint="eastAsia" w:ascii="宋体" w:hAnsi="宋体"/>
          <w:szCs w:val="21"/>
        </w:rPr>
        <w:t>第一条：</w:t>
      </w:r>
    </w:p>
    <w:p w14:paraId="1DD8284B">
      <w:pPr>
        <w:spacing w:line="440" w:lineRule="exact"/>
        <w:ind w:firstLine="420" w:firstLineChars="200"/>
        <w:rPr>
          <w:rFonts w:ascii="宋体" w:hAnsi="宋体"/>
          <w:szCs w:val="21"/>
        </w:rPr>
      </w:pPr>
      <w:r>
        <w:rPr>
          <w:rFonts w:hint="eastAsia" w:ascii="宋体" w:hAnsi="宋体"/>
          <w:szCs w:val="21"/>
        </w:rPr>
        <w:t>1.1乙方向甲方提供货物及服务，具体明细详见附件。</w:t>
      </w:r>
    </w:p>
    <w:p w14:paraId="711ECD60">
      <w:pPr>
        <w:spacing w:line="440" w:lineRule="exact"/>
        <w:ind w:firstLine="420" w:firstLineChars="200"/>
        <w:rPr>
          <w:rFonts w:ascii="宋体" w:hAnsi="宋体"/>
          <w:szCs w:val="21"/>
        </w:rPr>
      </w:pPr>
      <w:r>
        <w:rPr>
          <w:rFonts w:hint="eastAsia" w:ascii="宋体" w:hAnsi="宋体"/>
          <w:szCs w:val="21"/>
        </w:rPr>
        <w:t>1.2本项目合同金额：（大写）               （￥：           元）人民币。</w:t>
      </w:r>
    </w:p>
    <w:p w14:paraId="5F02737A">
      <w:pPr>
        <w:spacing w:line="440" w:lineRule="exact"/>
        <w:ind w:firstLine="420" w:firstLineChars="200"/>
        <w:rPr>
          <w:rFonts w:ascii="宋体" w:hAnsi="宋体"/>
          <w:szCs w:val="21"/>
        </w:rPr>
      </w:pPr>
      <w:r>
        <w:rPr>
          <w:rFonts w:hint="eastAsia" w:ascii="宋体" w:hAnsi="宋体"/>
          <w:szCs w:val="21"/>
        </w:rPr>
        <w:t>第二条：乙方应按甲方要求，接到通知后</w:t>
      </w:r>
      <w:r>
        <w:rPr>
          <w:rFonts w:hint="eastAsia" w:ascii="宋体" w:hAnsi="宋体"/>
          <w:szCs w:val="21"/>
          <w:lang w:val="en-US" w:eastAsia="zh-CN"/>
        </w:rPr>
        <w:t>7</w:t>
      </w:r>
      <w:r>
        <w:rPr>
          <w:rFonts w:hint="eastAsia" w:ascii="宋体" w:hAnsi="宋体"/>
          <w:szCs w:val="21"/>
        </w:rPr>
        <w:t>日历天内将上述采购货物送到甲方指定地点，并负责免费安装调试、提供技术援助、人员培训，所有包装费、运杂费等全部由乙方负担。</w:t>
      </w:r>
    </w:p>
    <w:p w14:paraId="2F2949DD">
      <w:pPr>
        <w:spacing w:line="440" w:lineRule="exact"/>
        <w:ind w:firstLine="420" w:firstLineChars="200"/>
        <w:rPr>
          <w:rFonts w:ascii="宋体" w:hAnsi="宋体"/>
          <w:szCs w:val="21"/>
        </w:rPr>
      </w:pPr>
      <w:r>
        <w:rPr>
          <w:rFonts w:hint="eastAsia" w:ascii="宋体" w:hAnsi="宋体"/>
          <w:szCs w:val="21"/>
        </w:rPr>
        <w:t>第三条：如果乙方无正当理由迟延交货和提供服务的，甲方有权提出违约损失赔偿或解除合同；违约金按每周迟交货物或未提供服务交货价的0.5%计收。但违约金的最高限额为迟交货物或没有提供服务的合同价的5%，不足7天按一周计算。如果达到最高限额，甲方有权解除合同</w:t>
      </w:r>
      <w:r>
        <w:rPr>
          <w:rFonts w:ascii="宋体" w:hAnsi="宋体"/>
          <w:szCs w:val="21"/>
        </w:rPr>
        <w:t>。</w:t>
      </w:r>
    </w:p>
    <w:p w14:paraId="2D7A32A1">
      <w:pPr>
        <w:spacing w:line="440" w:lineRule="exact"/>
        <w:ind w:firstLine="420" w:firstLineChars="200"/>
        <w:jc w:val="left"/>
        <w:rPr>
          <w:rFonts w:ascii="宋体" w:hAnsi="宋体"/>
          <w:szCs w:val="21"/>
          <w:u w:val="single"/>
        </w:rPr>
      </w:pPr>
      <w:r>
        <w:rPr>
          <w:rFonts w:hint="eastAsia" w:ascii="宋体" w:hAnsi="宋体"/>
          <w:szCs w:val="21"/>
        </w:rPr>
        <w:t>第四条：付款方式：</w:t>
      </w:r>
      <w:r>
        <w:rPr>
          <w:rFonts w:hint="eastAsia" w:ascii="宋体" w:hAnsi="宋体" w:cs="Times New Roman"/>
          <w:szCs w:val="21"/>
          <w:u w:val="single"/>
        </w:rPr>
        <w:t>待供货完成且验收合格，无质量问题后一次性付清。</w:t>
      </w:r>
    </w:p>
    <w:p w14:paraId="021FC349">
      <w:pPr>
        <w:spacing w:line="440" w:lineRule="exact"/>
        <w:ind w:firstLine="420" w:firstLineChars="200"/>
        <w:jc w:val="left"/>
        <w:rPr>
          <w:rFonts w:ascii="宋体" w:hAnsi="宋体"/>
          <w:szCs w:val="21"/>
        </w:rPr>
      </w:pPr>
      <w:r>
        <w:rPr>
          <w:rFonts w:hint="eastAsia" w:ascii="宋体" w:hAnsi="宋体"/>
          <w:szCs w:val="21"/>
        </w:rPr>
        <w:t>第五条：乙方在签订本合同时向甲方交纳履约保证金</w:t>
      </w:r>
      <w:r>
        <w:rPr>
          <w:rFonts w:hint="eastAsia" w:ascii="宋体" w:hAnsi="宋体"/>
          <w:szCs w:val="21"/>
          <w:lang w:val="en-US" w:eastAsia="zh-CN"/>
        </w:rPr>
        <w:t>零</w:t>
      </w:r>
      <w:r>
        <w:rPr>
          <w:rFonts w:hint="eastAsia" w:ascii="宋体" w:hAnsi="宋体"/>
          <w:szCs w:val="21"/>
        </w:rPr>
        <w:t>元整，履约保证金在标的物完成交付后一个月内凭乙方收款收据退还。若乙方未能履行本合同规定的条款，履约保证金不退还给乙方，作为违约金支付给甲方。</w:t>
      </w:r>
    </w:p>
    <w:p w14:paraId="0A70E656">
      <w:pPr>
        <w:spacing w:line="440" w:lineRule="exact"/>
        <w:ind w:firstLine="420" w:firstLineChars="200"/>
        <w:rPr>
          <w:rFonts w:ascii="宋体" w:hAnsi="宋体"/>
          <w:szCs w:val="21"/>
        </w:rPr>
      </w:pPr>
      <w:r>
        <w:rPr>
          <w:rFonts w:hint="eastAsia" w:ascii="宋体" w:hAnsi="宋体"/>
          <w:szCs w:val="21"/>
        </w:rPr>
        <w:t>第六条：乙方</w:t>
      </w:r>
      <w:r>
        <w:rPr>
          <w:rFonts w:ascii="宋体" w:hAnsi="宋体"/>
          <w:szCs w:val="21"/>
        </w:rPr>
        <w:t>须保证所提供的货物是</w:t>
      </w:r>
      <w:r>
        <w:rPr>
          <w:rFonts w:hint="eastAsia" w:ascii="宋体" w:hAnsi="宋体"/>
          <w:szCs w:val="21"/>
        </w:rPr>
        <w:t>原装、原封、原标记</w:t>
      </w:r>
      <w:r>
        <w:rPr>
          <w:rFonts w:ascii="宋体" w:hAnsi="宋体"/>
          <w:szCs w:val="21"/>
        </w:rPr>
        <w:t>，</w:t>
      </w:r>
      <w:r>
        <w:rPr>
          <w:rFonts w:hint="eastAsia" w:ascii="宋体" w:hAnsi="宋体"/>
          <w:szCs w:val="21"/>
        </w:rPr>
        <w:t>并符合国家技术质量规范或强制性标准，以及合同规定的质量、规格、性能、技术和安全等要求。在质保期内，乙</w:t>
      </w:r>
      <w:r>
        <w:rPr>
          <w:rFonts w:ascii="宋体" w:hAnsi="宋体"/>
          <w:szCs w:val="21"/>
        </w:rPr>
        <w:t>方须对由于设计、工艺或材料的缺陷而发生的任何不足或故障负责。</w:t>
      </w:r>
    </w:p>
    <w:p w14:paraId="3B0FD7C6">
      <w:pPr>
        <w:spacing w:line="440" w:lineRule="exact"/>
        <w:ind w:firstLine="420" w:firstLineChars="200"/>
        <w:rPr>
          <w:rFonts w:ascii="宋体" w:hAnsi="宋体"/>
          <w:b/>
          <w:szCs w:val="21"/>
        </w:rPr>
      </w:pPr>
      <w:r>
        <w:rPr>
          <w:rFonts w:hint="eastAsia" w:ascii="宋体" w:hAnsi="宋体"/>
          <w:szCs w:val="21"/>
        </w:rPr>
        <w:t>第七条：合同签订后，3日内乙方须与甲方确定采购项目颜色及一次性提供所有生产样品进行封样，经甲方（或其授权代表）审查合格后方可批量生产。若未经甲方确认，私自进场，甲方有权要求撤场。</w:t>
      </w:r>
    </w:p>
    <w:p w14:paraId="1044C1D7">
      <w:pPr>
        <w:spacing w:line="440" w:lineRule="exact"/>
        <w:ind w:firstLine="420" w:firstLineChars="200"/>
        <w:rPr>
          <w:rFonts w:ascii="宋体" w:hAnsi="宋体"/>
          <w:szCs w:val="21"/>
        </w:rPr>
      </w:pPr>
      <w:r>
        <w:rPr>
          <w:rFonts w:hint="eastAsia" w:ascii="宋体" w:hAnsi="宋体"/>
          <w:szCs w:val="21"/>
        </w:rPr>
        <w:t>乙方应认真踏勘施工现场，综合现场各种困难因素和赶工措施，自行分析各种因素对工期、价格的影响，上述费用综合计算在投标报价中，不得以此为由提出额外增加费用和顺延工期的要求。</w:t>
      </w:r>
    </w:p>
    <w:p w14:paraId="66939086">
      <w:pPr>
        <w:spacing w:line="440" w:lineRule="exact"/>
        <w:ind w:firstLine="420" w:firstLineChars="200"/>
        <w:rPr>
          <w:rFonts w:ascii="宋体" w:hAnsi="宋体"/>
          <w:szCs w:val="21"/>
        </w:rPr>
      </w:pPr>
      <w:r>
        <w:rPr>
          <w:rFonts w:hint="eastAsia" w:ascii="宋体" w:hAnsi="宋体"/>
          <w:szCs w:val="21"/>
        </w:rPr>
        <w:t>本项目禁止分包或转包，一旦发现上述情况，则该成交供应商及生产厂家当年及下年度不得参与高新区（含区属单位、国企、四个街道）的任何公共资源交易（含限额以上、限额以下、</w:t>
      </w:r>
      <w:r>
        <w:rPr>
          <w:rFonts w:hint="eastAsia" w:ascii="宋体" w:hAnsi="宋体"/>
          <w:szCs w:val="21"/>
          <w:lang w:eastAsia="zh-CN"/>
        </w:rPr>
        <w:t>苏</w:t>
      </w:r>
      <w:r>
        <w:rPr>
          <w:rFonts w:hint="eastAsia" w:ascii="宋体" w:hAnsi="宋体"/>
          <w:szCs w:val="21"/>
          <w:lang w:val="en-US" w:eastAsia="zh-CN"/>
        </w:rPr>
        <w:t>采</w:t>
      </w:r>
      <w:r>
        <w:rPr>
          <w:rFonts w:hint="eastAsia" w:ascii="宋体" w:hAnsi="宋体"/>
          <w:szCs w:val="21"/>
          <w:lang w:eastAsia="zh-CN"/>
        </w:rPr>
        <w:t>云</w:t>
      </w:r>
      <w:r>
        <w:rPr>
          <w:rFonts w:hint="eastAsia" w:ascii="宋体" w:hAnsi="宋体"/>
          <w:szCs w:val="21"/>
        </w:rPr>
        <w:t>）活动。</w:t>
      </w:r>
    </w:p>
    <w:p w14:paraId="02C1F618">
      <w:pPr>
        <w:spacing w:line="440" w:lineRule="exact"/>
        <w:ind w:firstLine="420" w:firstLineChars="200"/>
        <w:rPr>
          <w:rFonts w:ascii="宋体" w:hAnsi="宋体"/>
          <w:szCs w:val="21"/>
        </w:rPr>
      </w:pPr>
      <w:r>
        <w:rPr>
          <w:rFonts w:hint="eastAsia" w:ascii="宋体" w:hAnsi="宋体"/>
          <w:szCs w:val="21"/>
        </w:rPr>
        <w:t>第八条：根据甲方按检验标准自行检测或委托有资质的</w:t>
      </w:r>
      <w:r>
        <w:rPr>
          <w:rFonts w:ascii="宋体" w:hAnsi="宋体"/>
          <w:szCs w:val="21"/>
        </w:rPr>
        <w:t>相关质检机构的检验结果，发现货物的数量、质量、规格与合同不符</w:t>
      </w:r>
      <w:r>
        <w:rPr>
          <w:rFonts w:hint="eastAsia" w:ascii="宋体" w:hAnsi="宋体"/>
          <w:szCs w:val="21"/>
        </w:rPr>
        <w:t>，</w:t>
      </w:r>
      <w:r>
        <w:rPr>
          <w:rFonts w:ascii="宋体" w:hAnsi="宋体"/>
          <w:szCs w:val="21"/>
        </w:rPr>
        <w:t>或者在</w:t>
      </w:r>
      <w:r>
        <w:rPr>
          <w:rFonts w:hint="eastAsia" w:ascii="宋体" w:hAnsi="宋体"/>
          <w:szCs w:val="21"/>
        </w:rPr>
        <w:t>质保</w:t>
      </w:r>
      <w:r>
        <w:rPr>
          <w:rFonts w:ascii="宋体" w:hAnsi="宋体"/>
          <w:szCs w:val="21"/>
        </w:rPr>
        <w:t>期内货物存在缺陷，包括潜在的缺陷或使用不符合要求的材料等，</w:t>
      </w:r>
      <w:r>
        <w:rPr>
          <w:rFonts w:hint="eastAsia" w:ascii="宋体" w:hAnsi="宋体"/>
          <w:szCs w:val="21"/>
        </w:rPr>
        <w:t>甲</w:t>
      </w:r>
      <w:r>
        <w:rPr>
          <w:rFonts w:ascii="宋体" w:hAnsi="宋体"/>
          <w:szCs w:val="21"/>
        </w:rPr>
        <w:t>方应尽快以书面形式通知</w:t>
      </w:r>
      <w:r>
        <w:rPr>
          <w:rFonts w:hint="eastAsia" w:ascii="宋体" w:hAnsi="宋体"/>
          <w:szCs w:val="21"/>
        </w:rPr>
        <w:t>乙</w:t>
      </w:r>
      <w:r>
        <w:rPr>
          <w:rFonts w:ascii="宋体" w:hAnsi="宋体"/>
          <w:szCs w:val="21"/>
        </w:rPr>
        <w:t>方</w:t>
      </w:r>
      <w:r>
        <w:rPr>
          <w:rFonts w:hint="eastAsia" w:ascii="宋体" w:hAnsi="宋体"/>
          <w:szCs w:val="21"/>
        </w:rPr>
        <w:t>及时处理</w:t>
      </w:r>
      <w:r>
        <w:rPr>
          <w:rFonts w:ascii="宋体" w:hAnsi="宋体"/>
          <w:szCs w:val="21"/>
        </w:rPr>
        <w:t>。</w:t>
      </w:r>
      <w:r>
        <w:rPr>
          <w:rFonts w:hint="eastAsia" w:ascii="宋体" w:hAnsi="宋体"/>
          <w:szCs w:val="21"/>
        </w:rPr>
        <w:t>乙</w:t>
      </w:r>
      <w:r>
        <w:rPr>
          <w:rFonts w:ascii="宋体" w:hAnsi="宋体"/>
          <w:szCs w:val="21"/>
        </w:rPr>
        <w:t>方在收到通知后</w:t>
      </w:r>
      <w:r>
        <w:rPr>
          <w:rFonts w:hint="eastAsia" w:ascii="宋体" w:hAnsi="宋体"/>
          <w:szCs w:val="21"/>
        </w:rPr>
        <w:t>3 个工作日</w:t>
      </w:r>
      <w:r>
        <w:rPr>
          <w:rFonts w:ascii="宋体" w:hAnsi="宋体"/>
          <w:szCs w:val="21"/>
        </w:rPr>
        <w:t>内应免费维修或更换有缺陷的货物或部件。如果</w:t>
      </w:r>
      <w:r>
        <w:rPr>
          <w:rFonts w:hint="eastAsia" w:ascii="宋体" w:hAnsi="宋体"/>
          <w:szCs w:val="21"/>
        </w:rPr>
        <w:t>乙</w:t>
      </w:r>
      <w:r>
        <w:rPr>
          <w:rFonts w:ascii="宋体" w:hAnsi="宋体"/>
          <w:szCs w:val="21"/>
        </w:rPr>
        <w:t>方在收到通知后</w:t>
      </w:r>
      <w:r>
        <w:rPr>
          <w:rFonts w:hint="eastAsia" w:ascii="宋体" w:hAnsi="宋体"/>
          <w:szCs w:val="21"/>
        </w:rPr>
        <w:t>3 个工作日</w:t>
      </w:r>
      <w:r>
        <w:rPr>
          <w:rFonts w:ascii="宋体" w:hAnsi="宋体"/>
          <w:szCs w:val="21"/>
        </w:rPr>
        <w:t>内没有弥补缺陷，</w:t>
      </w:r>
      <w:r>
        <w:rPr>
          <w:rFonts w:hint="eastAsia" w:ascii="宋体" w:hAnsi="宋体"/>
          <w:szCs w:val="21"/>
        </w:rPr>
        <w:t>甲</w:t>
      </w:r>
      <w:r>
        <w:rPr>
          <w:rFonts w:ascii="宋体" w:hAnsi="宋体"/>
          <w:szCs w:val="21"/>
        </w:rPr>
        <w:t>方可采取必要的补救措施，但由此引发的风险和费用将由</w:t>
      </w:r>
      <w:r>
        <w:rPr>
          <w:rFonts w:hint="eastAsia" w:ascii="宋体" w:hAnsi="宋体"/>
          <w:szCs w:val="21"/>
        </w:rPr>
        <w:t>乙</w:t>
      </w:r>
      <w:r>
        <w:rPr>
          <w:rFonts w:ascii="宋体" w:hAnsi="宋体"/>
          <w:szCs w:val="21"/>
        </w:rPr>
        <w:t>方承担。</w:t>
      </w:r>
    </w:p>
    <w:p w14:paraId="43F2E60A">
      <w:pPr>
        <w:spacing w:line="440" w:lineRule="exact"/>
        <w:ind w:firstLine="422" w:firstLineChars="200"/>
        <w:rPr>
          <w:rFonts w:ascii="宋体" w:hAnsi="宋体"/>
          <w:b/>
          <w:szCs w:val="21"/>
        </w:rPr>
      </w:pPr>
      <w:r>
        <w:rPr>
          <w:rFonts w:hint="eastAsia" w:ascii="宋体" w:hAnsi="宋体"/>
          <w:b/>
          <w:szCs w:val="21"/>
        </w:rPr>
        <w:t xml:space="preserve">采购标的验收标准： </w:t>
      </w:r>
    </w:p>
    <w:p w14:paraId="06327615">
      <w:pPr>
        <w:spacing w:line="440" w:lineRule="exact"/>
        <w:ind w:firstLine="420" w:firstLineChars="200"/>
        <w:rPr>
          <w:rFonts w:ascii="宋体" w:hAnsi="宋体"/>
          <w:szCs w:val="21"/>
        </w:rPr>
      </w:pPr>
      <w:r>
        <w:rPr>
          <w:rFonts w:hint="eastAsia" w:ascii="宋体" w:hAnsi="宋体"/>
          <w:szCs w:val="21"/>
        </w:rPr>
        <w:t>（1）乙方在截至时间内交货、安装，有关运输和保险的一切费用、安全风险、责任由乙方承担。所有货物运抵现场并安装、调试、验收合格后的日期为交货日期。</w:t>
      </w:r>
    </w:p>
    <w:p w14:paraId="2E067D7D">
      <w:pPr>
        <w:spacing w:line="440" w:lineRule="exact"/>
        <w:ind w:firstLine="420" w:firstLineChars="200"/>
        <w:rPr>
          <w:rFonts w:ascii="宋体" w:hAnsi="宋体"/>
          <w:szCs w:val="21"/>
        </w:rPr>
      </w:pPr>
      <w:r>
        <w:rPr>
          <w:rFonts w:hint="eastAsia" w:ascii="宋体" w:hAnsi="宋体"/>
          <w:szCs w:val="21"/>
        </w:rPr>
        <w:t>（2）货物到现场后，由甲方（或其授权代表）和乙方组织相关人员共同对到货货物的数量、外观、包装质量、技术资料等进行检查，双方书面确认后开始安装、调试。</w:t>
      </w:r>
    </w:p>
    <w:p w14:paraId="1A0B2863">
      <w:pPr>
        <w:spacing w:line="440" w:lineRule="exact"/>
        <w:ind w:firstLine="420" w:firstLineChars="200"/>
        <w:rPr>
          <w:rFonts w:ascii="宋体" w:hAnsi="宋体"/>
          <w:szCs w:val="21"/>
        </w:rPr>
      </w:pPr>
      <w:r>
        <w:rPr>
          <w:rFonts w:hint="eastAsia" w:ascii="宋体" w:hAnsi="宋体"/>
          <w:szCs w:val="21"/>
        </w:rPr>
        <w:t>（3）货物安装调试完成以后，由甲方（或其授权代表）组织人员对照封样样品以及国家有关标准进行验收；货物性能达到技术要求的，给予签收；验收合格后由甲方（或其授权代表）签署确认验收合格文件（一式四份）；验收时如发现货物非原厂家生产，或者货物质量、性能不符合采购文件规定标准的，本项目甲方有权在货物验收时拒绝签收并要求重新提供合格的货物，因此产生的一切损失由乙方承担。</w:t>
      </w:r>
    </w:p>
    <w:p w14:paraId="23402482">
      <w:pPr>
        <w:spacing w:line="440" w:lineRule="exact"/>
        <w:ind w:firstLine="420" w:firstLineChars="200"/>
        <w:rPr>
          <w:rFonts w:ascii="宋体" w:hAnsi="宋体"/>
          <w:szCs w:val="21"/>
        </w:rPr>
      </w:pPr>
      <w:r>
        <w:rPr>
          <w:rFonts w:hint="eastAsia" w:ascii="宋体" w:hAnsi="宋体"/>
          <w:szCs w:val="21"/>
        </w:rPr>
        <w:t>（4）乙方须为验收提供必需的设备、工具及其他便利条件；</w:t>
      </w:r>
    </w:p>
    <w:p w14:paraId="00FE5011">
      <w:pPr>
        <w:spacing w:line="440" w:lineRule="exact"/>
        <w:ind w:firstLine="420" w:firstLineChars="200"/>
        <w:rPr>
          <w:rFonts w:ascii="宋体" w:hAnsi="宋体"/>
          <w:szCs w:val="21"/>
        </w:rPr>
      </w:pPr>
      <w:r>
        <w:rPr>
          <w:rFonts w:hint="eastAsia" w:ascii="宋体" w:hAnsi="宋体"/>
          <w:szCs w:val="21"/>
        </w:rPr>
        <w:t>（5）在验收过程中发现数量不足或有质量、技术等问题，乙方应负责按照甲方的要求采取补足、更换或退货等措施妥善处理， 并承担由此发生的一切费用和损失；</w:t>
      </w:r>
    </w:p>
    <w:p w14:paraId="2A0900E7">
      <w:pPr>
        <w:spacing w:line="440" w:lineRule="exact"/>
        <w:ind w:firstLine="420" w:firstLineChars="200"/>
        <w:rPr>
          <w:rFonts w:ascii="宋体" w:hAnsi="宋体"/>
          <w:szCs w:val="21"/>
        </w:rPr>
      </w:pPr>
      <w:r>
        <w:rPr>
          <w:rFonts w:hint="eastAsia" w:ascii="宋体" w:hAnsi="宋体"/>
          <w:szCs w:val="21"/>
        </w:rPr>
        <w:t>（6）对于不合格的货物，乙方必须在3个工作日里及时完成更换并重新对更换货物进行验收。如两次更换货物不合格，甲方有权解除合同，造成的相关损失均由乙方承担。</w:t>
      </w:r>
    </w:p>
    <w:p w14:paraId="74B99EC5">
      <w:pPr>
        <w:spacing w:line="440" w:lineRule="exact"/>
        <w:ind w:firstLine="420" w:firstLineChars="200"/>
        <w:rPr>
          <w:rFonts w:ascii="宋体" w:hAnsi="宋体"/>
          <w:szCs w:val="21"/>
        </w:rPr>
      </w:pPr>
      <w:r>
        <w:rPr>
          <w:rFonts w:hint="eastAsia" w:ascii="宋体" w:hAnsi="宋体"/>
          <w:szCs w:val="21"/>
        </w:rPr>
        <w:t>（7）按照国家有关验收规范以及采购文件要求数量、质量进行验收，必要时邀请相关的专业人员或机构参与验收。因产品质量问题发生争议时，甲方有权请专业部门鉴定，货物符合质量技术标准的鉴定费由甲方承担，否则鉴定费由乙方承担。</w:t>
      </w:r>
    </w:p>
    <w:p w14:paraId="2CE01CA6">
      <w:pPr>
        <w:spacing w:line="440" w:lineRule="exact"/>
        <w:ind w:firstLine="420" w:firstLineChars="200"/>
        <w:rPr>
          <w:rFonts w:ascii="宋体" w:hAnsi="宋体"/>
          <w:b/>
          <w:szCs w:val="21"/>
        </w:rPr>
      </w:pPr>
      <w:r>
        <w:rPr>
          <w:rFonts w:hint="eastAsia" w:ascii="宋体" w:hAnsi="宋体"/>
          <w:szCs w:val="21"/>
        </w:rPr>
        <w:t>第九条：</w:t>
      </w:r>
      <w:r>
        <w:rPr>
          <w:rFonts w:ascii="宋体" w:hAnsi="宋体"/>
          <w:szCs w:val="21"/>
        </w:rPr>
        <w:t>如果货物的质量、规格、数量、重量等与合同不符，</w:t>
      </w:r>
      <w:r>
        <w:rPr>
          <w:rFonts w:hint="eastAsia" w:ascii="宋体" w:hAnsi="宋体"/>
          <w:szCs w:val="21"/>
        </w:rPr>
        <w:t>甲方有权拒收。 在质保期内</w:t>
      </w:r>
      <w:r>
        <w:rPr>
          <w:rFonts w:ascii="宋体" w:hAnsi="宋体"/>
          <w:szCs w:val="21"/>
        </w:rPr>
        <w:t>证实货物存有缺陷，包括潜在的缺陷或使用不符合要求的材料等，</w:t>
      </w:r>
      <w:r>
        <w:rPr>
          <w:rFonts w:hint="eastAsia" w:ascii="宋体" w:hAnsi="宋体"/>
          <w:szCs w:val="21"/>
        </w:rPr>
        <w:t>甲</w:t>
      </w:r>
      <w:r>
        <w:rPr>
          <w:rFonts w:ascii="宋体" w:hAnsi="宋体"/>
          <w:szCs w:val="21"/>
        </w:rPr>
        <w:t>方有权</w:t>
      </w:r>
      <w:r>
        <w:rPr>
          <w:rFonts w:hint="eastAsia" w:ascii="宋体" w:hAnsi="宋体"/>
          <w:szCs w:val="21"/>
        </w:rPr>
        <w:t>在期限内</w:t>
      </w:r>
      <w:r>
        <w:rPr>
          <w:rFonts w:ascii="宋体" w:hAnsi="宋体"/>
          <w:szCs w:val="21"/>
        </w:rPr>
        <w:t>向</w:t>
      </w:r>
      <w:r>
        <w:rPr>
          <w:rFonts w:hint="eastAsia" w:ascii="宋体" w:hAnsi="宋体"/>
          <w:szCs w:val="21"/>
        </w:rPr>
        <w:t>乙</w:t>
      </w:r>
      <w:r>
        <w:rPr>
          <w:rFonts w:ascii="宋体" w:hAnsi="宋体"/>
          <w:szCs w:val="21"/>
        </w:rPr>
        <w:t>方提出</w:t>
      </w:r>
      <w:r>
        <w:rPr>
          <w:rFonts w:hint="eastAsia" w:ascii="宋体" w:hAnsi="宋体"/>
          <w:szCs w:val="21"/>
        </w:rPr>
        <w:t>退货、</w:t>
      </w:r>
      <w:r>
        <w:rPr>
          <w:rFonts w:ascii="宋体" w:hAnsi="宋体"/>
          <w:szCs w:val="21"/>
        </w:rPr>
        <w:t>更换</w:t>
      </w:r>
      <w:r>
        <w:rPr>
          <w:rFonts w:hint="eastAsia" w:ascii="宋体" w:hAnsi="宋体"/>
          <w:szCs w:val="21"/>
        </w:rPr>
        <w:t>、按质论价或</w:t>
      </w:r>
      <w:r>
        <w:rPr>
          <w:rFonts w:ascii="宋体" w:hAnsi="宋体"/>
          <w:szCs w:val="21"/>
        </w:rPr>
        <w:t>索赔</w:t>
      </w:r>
      <w:r>
        <w:rPr>
          <w:rFonts w:hint="eastAsia" w:ascii="宋体" w:hAnsi="宋体"/>
          <w:szCs w:val="21"/>
        </w:rPr>
        <w:t>。</w:t>
      </w:r>
      <w:r>
        <w:rPr>
          <w:rFonts w:hint="eastAsia" w:ascii="宋体" w:hAnsi="宋体"/>
          <w:b/>
          <w:szCs w:val="21"/>
        </w:rPr>
        <w:t>质保期的时效为：</w:t>
      </w:r>
      <w:r>
        <w:rPr>
          <w:rFonts w:hint="eastAsia" w:ascii="宋体" w:hAnsi="宋体"/>
          <w:b/>
          <w:szCs w:val="21"/>
          <w:u w:val="single"/>
        </w:rPr>
        <w:t xml:space="preserve">  两  </w:t>
      </w:r>
      <w:r>
        <w:rPr>
          <w:rFonts w:hint="eastAsia" w:ascii="宋体" w:hAnsi="宋体"/>
          <w:b/>
          <w:szCs w:val="21"/>
        </w:rPr>
        <w:t>年。</w:t>
      </w:r>
    </w:p>
    <w:p w14:paraId="22CA3E17">
      <w:pPr>
        <w:spacing w:line="440" w:lineRule="exact"/>
        <w:ind w:firstLine="420" w:firstLineChars="200"/>
        <w:rPr>
          <w:rFonts w:ascii="宋体" w:hAnsi="宋体"/>
          <w:szCs w:val="21"/>
        </w:rPr>
      </w:pPr>
      <w:r>
        <w:rPr>
          <w:rFonts w:hint="eastAsia" w:ascii="宋体" w:hAnsi="宋体"/>
          <w:szCs w:val="21"/>
        </w:rPr>
        <w:t>售后服务及其他（含安装、调试、培训、维护等）</w:t>
      </w:r>
    </w:p>
    <w:p w14:paraId="5D0ADB2C">
      <w:pPr>
        <w:spacing w:line="440" w:lineRule="exact"/>
        <w:ind w:firstLine="420" w:firstLineChars="200"/>
        <w:rPr>
          <w:rFonts w:ascii="宋体" w:hAnsi="宋体"/>
          <w:szCs w:val="21"/>
        </w:rPr>
      </w:pPr>
      <w:r>
        <w:rPr>
          <w:rFonts w:hint="eastAsia" w:ascii="宋体" w:hAnsi="宋体"/>
          <w:szCs w:val="21"/>
        </w:rPr>
        <w:t>承诺的保修期不少于 24 个月，保修期内免费维修。</w:t>
      </w:r>
    </w:p>
    <w:p w14:paraId="350AF0E3">
      <w:pPr>
        <w:spacing w:line="440" w:lineRule="exact"/>
        <w:ind w:firstLine="420" w:firstLineChars="200"/>
        <w:rPr>
          <w:rFonts w:ascii="宋体" w:hAnsi="宋体"/>
          <w:szCs w:val="21"/>
        </w:rPr>
      </w:pPr>
      <w:r>
        <w:rPr>
          <w:rFonts w:hint="eastAsia" w:ascii="宋体" w:hAnsi="宋体"/>
          <w:szCs w:val="21"/>
        </w:rPr>
        <w:t>第十条：竞</w:t>
      </w:r>
      <w:r>
        <w:rPr>
          <w:rFonts w:hint="eastAsia" w:ascii="宋体" w:hAnsi="宋体"/>
          <w:szCs w:val="21"/>
          <w:lang w:eastAsia="zh-CN"/>
        </w:rPr>
        <w:t>价</w:t>
      </w:r>
      <w:r>
        <w:rPr>
          <w:rFonts w:hint="eastAsia" w:ascii="宋体" w:hAnsi="宋体"/>
          <w:szCs w:val="21"/>
        </w:rPr>
        <w:t>文件、响应文件等（</w:t>
      </w:r>
      <w:r>
        <w:rPr>
          <w:rFonts w:ascii="宋体" w:hAnsi="宋体"/>
          <w:szCs w:val="21"/>
        </w:rPr>
        <w:t>含澄清</w:t>
      </w:r>
      <w:r>
        <w:rPr>
          <w:rFonts w:hint="eastAsia" w:ascii="宋体" w:hAnsi="宋体"/>
          <w:szCs w:val="21"/>
        </w:rPr>
        <w:t>、</w:t>
      </w:r>
      <w:r>
        <w:rPr>
          <w:rFonts w:ascii="宋体" w:hAnsi="宋体"/>
          <w:szCs w:val="21"/>
        </w:rPr>
        <w:t>补充通知</w:t>
      </w:r>
      <w:r>
        <w:rPr>
          <w:rFonts w:hint="eastAsia" w:ascii="宋体" w:hAnsi="宋体"/>
          <w:szCs w:val="21"/>
        </w:rPr>
        <w:t>、供应商承诺）均构成本合同的组成部分，应该认为是一个整体，彼此相互解释，相互补充。</w:t>
      </w:r>
    </w:p>
    <w:p w14:paraId="3E3A94E3">
      <w:pPr>
        <w:spacing w:line="440" w:lineRule="exact"/>
        <w:ind w:firstLine="420" w:firstLineChars="200"/>
        <w:rPr>
          <w:rFonts w:ascii="宋体" w:hAnsi="宋体"/>
          <w:szCs w:val="21"/>
        </w:rPr>
      </w:pPr>
      <w:r>
        <w:rPr>
          <w:rFonts w:hint="eastAsia" w:ascii="宋体" w:hAnsi="宋体"/>
          <w:szCs w:val="21"/>
        </w:rPr>
        <w:t>第十一条：本合同履行过程中引起争议，供需双方应协商解决，如协商不成，则提交南通市仲裁委员会仲裁，其裁决为终局裁决。</w:t>
      </w:r>
    </w:p>
    <w:p w14:paraId="7A7477AB">
      <w:pPr>
        <w:spacing w:line="440" w:lineRule="exact"/>
        <w:ind w:firstLine="420" w:firstLineChars="200"/>
        <w:rPr>
          <w:rFonts w:ascii="宋体" w:hAnsi="宋体"/>
          <w:szCs w:val="21"/>
        </w:rPr>
      </w:pPr>
      <w:r>
        <w:rPr>
          <w:rFonts w:hint="eastAsia" w:ascii="宋体" w:hAnsi="宋体"/>
          <w:szCs w:val="21"/>
        </w:rPr>
        <w:t>第十二条：本合同一式</w:t>
      </w:r>
      <w:r>
        <w:rPr>
          <w:rFonts w:hint="eastAsia" w:ascii="宋体" w:hAnsi="宋体"/>
          <w:szCs w:val="21"/>
          <w:u w:val="single"/>
        </w:rPr>
        <w:t>拾</w:t>
      </w:r>
      <w:r>
        <w:rPr>
          <w:rFonts w:hint="eastAsia" w:ascii="宋体" w:hAnsi="宋体"/>
          <w:szCs w:val="21"/>
        </w:rPr>
        <w:t>份，甲、乙双方各执</w:t>
      </w:r>
      <w:r>
        <w:rPr>
          <w:rFonts w:hint="eastAsia" w:ascii="宋体" w:hAnsi="宋体"/>
          <w:szCs w:val="21"/>
          <w:u w:val="single"/>
        </w:rPr>
        <w:t>叁</w:t>
      </w:r>
      <w:r>
        <w:rPr>
          <w:rFonts w:hint="eastAsia" w:ascii="宋体" w:hAnsi="宋体"/>
          <w:szCs w:val="21"/>
        </w:rPr>
        <w:t>份，其余分送相关部门。合同经甲、乙双方签字、盖章且备案后生效。</w:t>
      </w:r>
    </w:p>
    <w:p w14:paraId="145805EA">
      <w:pPr>
        <w:spacing w:line="440" w:lineRule="exact"/>
        <w:ind w:firstLine="420" w:firstLineChars="200"/>
        <w:rPr>
          <w:rFonts w:ascii="宋体" w:hAnsi="宋体"/>
          <w:szCs w:val="21"/>
          <w:u w:val="single"/>
        </w:rPr>
      </w:pPr>
      <w:r>
        <w:rPr>
          <w:rFonts w:hint="eastAsia" w:ascii="宋体" w:hAnsi="宋体"/>
          <w:szCs w:val="21"/>
        </w:rPr>
        <w:t>第十三条：其他约定事项：</w:t>
      </w:r>
      <w:r>
        <w:rPr>
          <w:rFonts w:hint="eastAsia" w:ascii="宋体" w:hAnsi="宋体"/>
          <w:szCs w:val="21"/>
          <w:u w:val="single"/>
        </w:rPr>
        <w:t>乙方在合同履行期间出现任何财产损失或者人身伤亡事故的，其责任概由乙方自行承担，甲方不承担任何责任。</w:t>
      </w:r>
    </w:p>
    <w:p w14:paraId="7CB56B13">
      <w:pPr>
        <w:spacing w:line="440" w:lineRule="exact"/>
        <w:ind w:firstLine="420" w:firstLineChars="200"/>
        <w:rPr>
          <w:rFonts w:ascii="宋体" w:hAnsi="宋体"/>
          <w:szCs w:val="21"/>
          <w:u w:val="single"/>
        </w:rPr>
      </w:pPr>
    </w:p>
    <w:p w14:paraId="0E60A37A">
      <w:pPr>
        <w:spacing w:line="360" w:lineRule="exact"/>
        <w:rPr>
          <w:rFonts w:ascii="宋体" w:hAnsi="宋体"/>
          <w:sz w:val="24"/>
          <w:u w:val="single"/>
        </w:rPr>
      </w:pPr>
    </w:p>
    <w:p w14:paraId="137ECEDB">
      <w:pPr>
        <w:spacing w:line="360" w:lineRule="exact"/>
        <w:rPr>
          <w:rFonts w:ascii="宋体" w:hAnsi="宋体"/>
          <w:sz w:val="24"/>
        </w:rPr>
      </w:pPr>
    </w:p>
    <w:p w14:paraId="0CA4CCC8">
      <w:pPr>
        <w:spacing w:line="440" w:lineRule="exact"/>
        <w:rPr>
          <w:rFonts w:ascii="宋体" w:hAnsi="宋体"/>
          <w:szCs w:val="21"/>
        </w:rPr>
      </w:pPr>
      <w:r>
        <w:rPr>
          <w:rFonts w:hint="eastAsia" w:ascii="宋体" w:hAnsi="宋体"/>
          <w:szCs w:val="21"/>
        </w:rPr>
        <w:t>甲    方（公章）：                             乙    方（公章）：</w:t>
      </w:r>
    </w:p>
    <w:p w14:paraId="3A40FAF4">
      <w:pPr>
        <w:spacing w:line="440" w:lineRule="exact"/>
        <w:rPr>
          <w:rFonts w:ascii="宋体" w:hAnsi="宋体"/>
          <w:szCs w:val="21"/>
        </w:rPr>
      </w:pPr>
      <w:r>
        <w:rPr>
          <w:rFonts w:hint="eastAsia" w:ascii="宋体" w:hAnsi="宋体"/>
          <w:szCs w:val="21"/>
        </w:rPr>
        <w:t>法定代表人                                    开户行及帐号：</w:t>
      </w:r>
    </w:p>
    <w:p w14:paraId="2496D2CC">
      <w:pPr>
        <w:spacing w:line="440" w:lineRule="exact"/>
        <w:rPr>
          <w:rFonts w:ascii="宋体" w:hAnsi="宋体"/>
          <w:szCs w:val="21"/>
        </w:rPr>
      </w:pPr>
      <w:r>
        <w:rPr>
          <w:rFonts w:hint="eastAsia" w:ascii="宋体" w:hAnsi="宋体"/>
          <w:szCs w:val="21"/>
        </w:rPr>
        <w:t>或委托代理人（签字或盖章）：                   法定代表人</w:t>
      </w:r>
    </w:p>
    <w:p w14:paraId="13D209E0">
      <w:pPr>
        <w:spacing w:line="440" w:lineRule="exact"/>
        <w:rPr>
          <w:rFonts w:ascii="宋体" w:hAnsi="宋体"/>
          <w:szCs w:val="21"/>
        </w:rPr>
      </w:pPr>
      <w:r>
        <w:rPr>
          <w:rFonts w:hint="eastAsia" w:ascii="宋体" w:hAnsi="宋体"/>
          <w:szCs w:val="21"/>
        </w:rPr>
        <w:t xml:space="preserve">                                              或委托代理人（签字或盖章）：</w:t>
      </w:r>
    </w:p>
    <w:p w14:paraId="37C3F6C0">
      <w:pPr>
        <w:spacing w:line="440" w:lineRule="exact"/>
        <w:rPr>
          <w:rFonts w:ascii="宋体" w:hAnsi="宋体"/>
          <w:szCs w:val="21"/>
        </w:rPr>
      </w:pPr>
    </w:p>
    <w:p w14:paraId="463FCAEA">
      <w:pPr>
        <w:spacing w:line="440" w:lineRule="exact"/>
        <w:rPr>
          <w:rFonts w:ascii="宋体" w:hAnsi="宋体"/>
        </w:rPr>
      </w:pPr>
      <w:r>
        <w:rPr>
          <w:rFonts w:hint="eastAsia" w:ascii="宋体" w:hAnsi="宋体"/>
          <w:szCs w:val="21"/>
        </w:rPr>
        <w:t>地址：                                        地址：</w:t>
      </w:r>
    </w:p>
    <w:p w14:paraId="70354FE4">
      <w:pPr>
        <w:spacing w:line="440" w:lineRule="exact"/>
        <w:rPr>
          <w:rFonts w:ascii="宋体" w:hAnsi="宋体"/>
          <w:szCs w:val="21"/>
        </w:rPr>
      </w:pPr>
      <w:r>
        <w:rPr>
          <w:rFonts w:hint="eastAsia" w:ascii="宋体" w:hAnsi="宋体"/>
          <w:szCs w:val="21"/>
        </w:rPr>
        <w:t xml:space="preserve">电话：           邮政编码：                   电话：              邮政编码： </w:t>
      </w:r>
    </w:p>
    <w:p w14:paraId="7D4CF49A">
      <w:pPr>
        <w:spacing w:line="440" w:lineRule="exact"/>
        <w:rPr>
          <w:rFonts w:ascii="宋体" w:hAnsi="宋体"/>
          <w:szCs w:val="21"/>
        </w:rPr>
      </w:pPr>
    </w:p>
    <w:p w14:paraId="1D66C6DA">
      <w:pPr>
        <w:spacing w:line="440" w:lineRule="exact"/>
        <w:jc w:val="right"/>
        <w:rPr>
          <w:rFonts w:ascii="宋体" w:hAnsi="宋体"/>
          <w:szCs w:val="21"/>
        </w:rPr>
      </w:pPr>
      <w:r>
        <w:rPr>
          <w:rFonts w:hint="eastAsia" w:ascii="宋体" w:hAnsi="宋体"/>
          <w:szCs w:val="21"/>
        </w:rPr>
        <w:t>签订日期： 202</w:t>
      </w:r>
      <w:r>
        <w:rPr>
          <w:rFonts w:hint="eastAsia" w:ascii="宋体" w:hAnsi="宋体"/>
          <w:szCs w:val="21"/>
          <w:lang w:val="en-US" w:eastAsia="zh-CN"/>
        </w:rPr>
        <w:t>5</w:t>
      </w:r>
      <w:r>
        <w:rPr>
          <w:rFonts w:hint="eastAsia" w:ascii="宋体" w:hAnsi="宋体"/>
          <w:szCs w:val="21"/>
        </w:rPr>
        <w:t>年  月  日</w:t>
      </w:r>
    </w:p>
    <w:p w14:paraId="5C95DE14">
      <w:pPr>
        <w:spacing w:line="440" w:lineRule="exact"/>
        <w:rPr>
          <w:rFonts w:ascii="宋体" w:hAnsi="宋体"/>
          <w:szCs w:val="21"/>
          <w:u w:val="single"/>
        </w:rPr>
      </w:pPr>
    </w:p>
    <w:p w14:paraId="523F4A11">
      <w:pPr>
        <w:spacing w:line="440" w:lineRule="exact"/>
        <w:rPr>
          <w:rFonts w:ascii="宋体" w:hAnsi="宋体"/>
          <w:szCs w:val="21"/>
          <w:u w:val="single"/>
        </w:rPr>
      </w:pPr>
    </w:p>
    <w:p w14:paraId="1F6166B4">
      <w:pPr>
        <w:spacing w:line="440" w:lineRule="exact"/>
        <w:rPr>
          <w:rFonts w:ascii="宋体" w:hAnsi="宋体"/>
          <w:szCs w:val="21"/>
          <w:u w:val="single"/>
        </w:rPr>
      </w:pPr>
    </w:p>
    <w:p w14:paraId="5A9E993F">
      <w:pPr>
        <w:spacing w:line="440" w:lineRule="exact"/>
        <w:rPr>
          <w:rFonts w:ascii="宋体" w:hAnsi="宋体"/>
          <w:szCs w:val="21"/>
          <w:u w:val="single"/>
        </w:rPr>
      </w:pPr>
    </w:p>
    <w:p w14:paraId="6BFC8E23">
      <w:pPr>
        <w:spacing w:line="360" w:lineRule="exact"/>
        <w:rPr>
          <w:rFonts w:ascii="宋体" w:hAnsi="宋体"/>
          <w:szCs w:val="21"/>
        </w:rPr>
      </w:pPr>
    </w:p>
    <w:p w14:paraId="26BCD4E6">
      <w:pPr>
        <w:spacing w:line="360" w:lineRule="exact"/>
        <w:rPr>
          <w:rFonts w:ascii="宋体" w:hAnsi="宋体"/>
          <w:szCs w:val="21"/>
        </w:rPr>
      </w:pPr>
    </w:p>
    <w:p w14:paraId="343CAF0D">
      <w:pPr>
        <w:spacing w:line="360" w:lineRule="exact"/>
        <w:rPr>
          <w:rFonts w:ascii="宋体" w:hAnsi="宋体"/>
          <w:szCs w:val="21"/>
        </w:rPr>
      </w:pPr>
    </w:p>
    <w:p w14:paraId="430094AC">
      <w:pPr>
        <w:spacing w:line="360" w:lineRule="exact"/>
        <w:rPr>
          <w:rFonts w:ascii="宋体" w:hAnsi="宋体"/>
          <w:szCs w:val="21"/>
        </w:rPr>
      </w:pPr>
    </w:p>
    <w:p w14:paraId="300D1509">
      <w:pPr>
        <w:spacing w:line="360" w:lineRule="exact"/>
        <w:rPr>
          <w:rFonts w:ascii="宋体" w:hAnsi="宋体"/>
          <w:szCs w:val="21"/>
        </w:rPr>
      </w:pPr>
    </w:p>
    <w:p w14:paraId="4F7A3A13">
      <w:pPr>
        <w:spacing w:line="360" w:lineRule="exact"/>
        <w:rPr>
          <w:rFonts w:ascii="宋体" w:hAnsi="宋体"/>
          <w:sz w:val="24"/>
        </w:rPr>
      </w:pPr>
    </w:p>
    <w:p w14:paraId="116B1A80">
      <w:pPr>
        <w:spacing w:line="360" w:lineRule="exact"/>
        <w:rPr>
          <w:rFonts w:ascii="宋体" w:hAnsi="宋体"/>
          <w:sz w:val="24"/>
        </w:rPr>
      </w:pPr>
    </w:p>
    <w:p w14:paraId="482D82E9">
      <w:pPr>
        <w:spacing w:line="360" w:lineRule="exact"/>
        <w:rPr>
          <w:rFonts w:ascii="宋体" w:hAnsi="宋体"/>
          <w:sz w:val="24"/>
        </w:rPr>
      </w:pPr>
      <w:r>
        <w:rPr>
          <w:rFonts w:hint="eastAsia" w:ascii="宋体" w:hAnsi="宋体"/>
          <w:sz w:val="24"/>
        </w:rPr>
        <w:t>注：其他有关事项需要在本合同中载明的，可经协商后增补。</w:t>
      </w:r>
    </w:p>
    <w:p w14:paraId="41D48E58">
      <w:pPr>
        <w:autoSpaceDE w:val="0"/>
        <w:autoSpaceDN w:val="0"/>
        <w:adjustRightInd w:val="0"/>
        <w:spacing w:line="440" w:lineRule="exact"/>
        <w:jc w:val="left"/>
        <w:rPr>
          <w:rFonts w:ascii="宋体" w:hAnsi="宋体" w:cs="Simsun (Founder Extended)"/>
          <w:color w:val="000000"/>
          <w:sz w:val="28"/>
          <w:szCs w:val="28"/>
        </w:rPr>
      </w:pPr>
    </w:p>
    <w:p w14:paraId="59EA79D6">
      <w:pPr>
        <w:autoSpaceDE w:val="0"/>
        <w:autoSpaceDN w:val="0"/>
        <w:adjustRightInd w:val="0"/>
        <w:spacing w:line="440" w:lineRule="exact"/>
        <w:jc w:val="left"/>
        <w:rPr>
          <w:rFonts w:ascii="宋体" w:hAnsi="宋体" w:cs="Simsun (Founder Extended)"/>
          <w:color w:val="000000"/>
          <w:sz w:val="28"/>
          <w:szCs w:val="28"/>
        </w:rPr>
      </w:pPr>
    </w:p>
    <w:p w14:paraId="7DA52BE7">
      <w:pPr>
        <w:autoSpaceDE w:val="0"/>
        <w:autoSpaceDN w:val="0"/>
        <w:adjustRightInd w:val="0"/>
        <w:spacing w:line="440" w:lineRule="exact"/>
        <w:jc w:val="left"/>
        <w:rPr>
          <w:rFonts w:ascii="宋体" w:hAnsi="宋体" w:cs="Simsun (Founder Extended)"/>
          <w:color w:val="000000"/>
          <w:sz w:val="28"/>
          <w:szCs w:val="28"/>
        </w:rPr>
      </w:pPr>
    </w:p>
    <w:p w14:paraId="2922EBC1">
      <w:pPr>
        <w:autoSpaceDE w:val="0"/>
        <w:autoSpaceDN w:val="0"/>
        <w:adjustRightInd w:val="0"/>
        <w:spacing w:line="440" w:lineRule="exact"/>
        <w:jc w:val="left"/>
        <w:rPr>
          <w:rFonts w:ascii="宋体" w:hAnsi="宋体" w:cs="Simsun (Founder Extended)"/>
          <w:color w:val="000000"/>
          <w:sz w:val="28"/>
          <w:szCs w:val="28"/>
        </w:rPr>
      </w:pPr>
    </w:p>
    <w:p w14:paraId="0A475AD6">
      <w:pPr>
        <w:autoSpaceDE w:val="0"/>
        <w:autoSpaceDN w:val="0"/>
        <w:adjustRightInd w:val="0"/>
        <w:spacing w:line="440" w:lineRule="exact"/>
        <w:jc w:val="left"/>
        <w:rPr>
          <w:rFonts w:hint="eastAsia" w:ascii="宋体" w:hAnsi="宋体" w:cs="Simsun (Founder Extended)"/>
          <w:color w:val="000000"/>
          <w:sz w:val="28"/>
          <w:szCs w:val="28"/>
        </w:rPr>
      </w:pPr>
    </w:p>
    <w:p w14:paraId="1892912E">
      <w:pPr>
        <w:pStyle w:val="2"/>
        <w:rPr>
          <w:rFonts w:hint="eastAsia"/>
        </w:rPr>
      </w:pPr>
    </w:p>
    <w:p w14:paraId="25254BCD"/>
    <w:p w14:paraId="09D5B58D">
      <w:pPr>
        <w:autoSpaceDE w:val="0"/>
        <w:autoSpaceDN w:val="0"/>
        <w:adjustRightInd w:val="0"/>
        <w:spacing w:line="440" w:lineRule="exact"/>
        <w:jc w:val="left"/>
        <w:rPr>
          <w:rFonts w:hint="eastAsia" w:ascii="宋体" w:hAnsi="宋体" w:cs="Simsun (Founder Extended)"/>
          <w:color w:val="000000"/>
          <w:sz w:val="28"/>
          <w:szCs w:val="28"/>
        </w:rPr>
      </w:pPr>
    </w:p>
    <w:p w14:paraId="45D90DD3">
      <w:pPr>
        <w:autoSpaceDE w:val="0"/>
        <w:autoSpaceDN w:val="0"/>
        <w:adjustRightInd w:val="0"/>
        <w:spacing w:line="440" w:lineRule="exact"/>
        <w:jc w:val="left"/>
        <w:rPr>
          <w:rFonts w:hint="eastAsia" w:ascii="宋体" w:hAnsi="宋体" w:cs="Simsun (Founder Extended)"/>
          <w:color w:val="000000"/>
          <w:sz w:val="28"/>
          <w:szCs w:val="28"/>
        </w:rPr>
      </w:pPr>
    </w:p>
    <w:p w14:paraId="4C250E0C">
      <w:pPr>
        <w:rPr>
          <w:rFonts w:hint="eastAsia" w:ascii="宋体" w:hAnsi="宋体" w:cs="Simsun (Founder Extended)"/>
          <w:color w:val="000000"/>
          <w:sz w:val="28"/>
          <w:szCs w:val="28"/>
        </w:rPr>
      </w:pPr>
      <w:r>
        <w:rPr>
          <w:rFonts w:hint="eastAsia" w:ascii="宋体" w:hAnsi="宋体" w:cs="Simsun (Founder Extended)"/>
          <w:color w:val="000000"/>
          <w:sz w:val="28"/>
          <w:szCs w:val="28"/>
        </w:rPr>
        <w:br w:type="page"/>
      </w:r>
    </w:p>
    <w:p w14:paraId="6DEEBB34">
      <w:pPr>
        <w:autoSpaceDE w:val="0"/>
        <w:autoSpaceDN w:val="0"/>
        <w:adjustRightInd w:val="0"/>
        <w:spacing w:line="440" w:lineRule="exact"/>
        <w:jc w:val="left"/>
        <w:rPr>
          <w:rFonts w:ascii="宋体" w:hAnsi="宋体" w:cs="Simsun (Founder Extended)"/>
          <w:color w:val="000000"/>
          <w:sz w:val="28"/>
          <w:szCs w:val="28"/>
        </w:rPr>
      </w:pPr>
      <w:r>
        <w:rPr>
          <w:rFonts w:hint="eastAsia" w:ascii="宋体" w:hAnsi="宋体" w:cs="Simsun (Founder Extended)"/>
          <w:color w:val="000000"/>
          <w:sz w:val="28"/>
          <w:szCs w:val="28"/>
        </w:rPr>
        <w:t>附件1：安全承诺书</w:t>
      </w:r>
    </w:p>
    <w:p w14:paraId="56E84EF1">
      <w:pPr>
        <w:autoSpaceDE w:val="0"/>
        <w:autoSpaceDN w:val="0"/>
        <w:adjustRightInd w:val="0"/>
        <w:spacing w:line="440" w:lineRule="exact"/>
        <w:jc w:val="center"/>
        <w:rPr>
          <w:rFonts w:ascii="宋体" w:hAnsi="宋体" w:cs="Simsun (Founder Extended)"/>
          <w:color w:val="000000"/>
          <w:szCs w:val="21"/>
        </w:rPr>
      </w:pPr>
    </w:p>
    <w:p w14:paraId="2E2E2109">
      <w:pPr>
        <w:autoSpaceDE w:val="0"/>
        <w:autoSpaceDN w:val="0"/>
        <w:adjustRightInd w:val="0"/>
        <w:spacing w:line="440" w:lineRule="exact"/>
        <w:jc w:val="left"/>
        <w:rPr>
          <w:rFonts w:ascii="宋体" w:hAnsi="宋体" w:cs="仿宋_GB2312"/>
          <w:color w:val="000000"/>
          <w:szCs w:val="21"/>
          <w:u w:val="single"/>
        </w:rPr>
      </w:pPr>
      <w:r>
        <w:rPr>
          <w:rFonts w:hint="eastAsia" w:ascii="宋体" w:hAnsi="宋体" w:cs="仿宋_GB2312"/>
          <w:color w:val="000000"/>
          <w:szCs w:val="21"/>
          <w:u w:val="single"/>
        </w:rPr>
        <w:t xml:space="preserve">                          ：</w:t>
      </w:r>
    </w:p>
    <w:p w14:paraId="2177D6B2">
      <w:pPr>
        <w:spacing w:line="440" w:lineRule="exact"/>
        <w:ind w:firstLine="420" w:firstLineChars="200"/>
        <w:rPr>
          <w:rFonts w:ascii="宋体" w:hAnsi="宋体" w:cs="宋体"/>
          <w:szCs w:val="21"/>
        </w:rPr>
      </w:pPr>
      <w:r>
        <w:rPr>
          <w:rFonts w:hint="eastAsia" w:ascii="宋体" w:hAnsi="宋体" w:cs="宋体"/>
          <w:szCs w:val="21"/>
        </w:rPr>
        <w:t>为了更好地贯彻执行《中华人民共和国安全生产法》、《江苏省安全生产条例》、南通市、海安市、海安高新区等各级安全生产要求，落实安全生产责任制和责任追究制，确保安全生产管理体系健康有序地运行，有效遏制各类重特大事故的发生，切实做好全过程中的安全管理，我公司特向贵单位做出郑重承诺：</w:t>
      </w:r>
    </w:p>
    <w:p w14:paraId="486903E8">
      <w:pPr>
        <w:spacing w:line="440" w:lineRule="exact"/>
        <w:ind w:firstLine="420" w:firstLineChars="200"/>
        <w:rPr>
          <w:rFonts w:ascii="宋体" w:hAnsi="宋体" w:cs="宋体"/>
          <w:szCs w:val="21"/>
        </w:rPr>
      </w:pPr>
      <w:r>
        <w:rPr>
          <w:rFonts w:hint="eastAsia" w:ascii="宋体" w:hAnsi="宋体" w:cs="宋体"/>
          <w:szCs w:val="21"/>
        </w:rPr>
        <w:t>一、工伤事故；</w:t>
      </w:r>
    </w:p>
    <w:p w14:paraId="10F61742">
      <w:pPr>
        <w:spacing w:line="440" w:lineRule="exact"/>
        <w:ind w:firstLine="420" w:firstLineChars="200"/>
        <w:rPr>
          <w:rFonts w:ascii="宋体" w:hAnsi="宋体" w:cs="宋体"/>
          <w:szCs w:val="21"/>
        </w:rPr>
      </w:pPr>
      <w:r>
        <w:rPr>
          <w:rFonts w:hint="eastAsia" w:ascii="宋体" w:hAnsi="宋体" w:cs="宋体"/>
          <w:szCs w:val="21"/>
        </w:rPr>
        <w:t>1、工伤死亡人数为“零”；</w:t>
      </w:r>
    </w:p>
    <w:p w14:paraId="384C35DF">
      <w:pPr>
        <w:spacing w:line="440" w:lineRule="exact"/>
        <w:ind w:firstLine="420" w:firstLineChars="200"/>
        <w:rPr>
          <w:rFonts w:ascii="宋体" w:hAnsi="宋体" w:cs="宋体"/>
          <w:szCs w:val="21"/>
        </w:rPr>
      </w:pPr>
      <w:r>
        <w:rPr>
          <w:rFonts w:hint="eastAsia" w:ascii="宋体" w:hAnsi="宋体" w:cs="宋体"/>
          <w:szCs w:val="21"/>
        </w:rPr>
        <w:t>2、重伤事故为“零”；</w:t>
      </w:r>
    </w:p>
    <w:p w14:paraId="4D74054D">
      <w:pPr>
        <w:spacing w:line="440" w:lineRule="exact"/>
        <w:ind w:firstLine="420" w:firstLineChars="200"/>
        <w:rPr>
          <w:rFonts w:ascii="宋体" w:hAnsi="宋体" w:cs="宋体"/>
          <w:szCs w:val="21"/>
        </w:rPr>
      </w:pPr>
      <w:r>
        <w:rPr>
          <w:rFonts w:hint="eastAsia" w:ascii="宋体" w:hAnsi="宋体" w:cs="宋体"/>
          <w:szCs w:val="21"/>
        </w:rPr>
        <w:t>3、轻伤事故频率控制在1．5‰以内；</w:t>
      </w:r>
    </w:p>
    <w:p w14:paraId="0F49407B">
      <w:pPr>
        <w:spacing w:line="440" w:lineRule="exact"/>
        <w:ind w:firstLine="420" w:firstLineChars="200"/>
        <w:rPr>
          <w:rFonts w:ascii="宋体" w:hAnsi="宋体" w:cs="宋体"/>
          <w:szCs w:val="21"/>
        </w:rPr>
      </w:pPr>
      <w:r>
        <w:rPr>
          <w:rFonts w:hint="eastAsia" w:ascii="宋体" w:hAnsi="宋体" w:cs="宋体"/>
          <w:szCs w:val="21"/>
        </w:rPr>
        <w:t>4、5000元以上的设备事故为“零”；</w:t>
      </w:r>
    </w:p>
    <w:p w14:paraId="3DA3D99A">
      <w:pPr>
        <w:spacing w:line="440" w:lineRule="exact"/>
        <w:ind w:firstLine="420" w:firstLineChars="200"/>
        <w:rPr>
          <w:rFonts w:ascii="宋体" w:hAnsi="宋体" w:cs="宋体"/>
          <w:szCs w:val="21"/>
        </w:rPr>
      </w:pPr>
      <w:r>
        <w:rPr>
          <w:rFonts w:hint="eastAsia" w:ascii="宋体" w:hAnsi="宋体" w:cs="宋体"/>
          <w:szCs w:val="21"/>
        </w:rPr>
        <w:t>5、500元以上的火灾事故为“零”；</w:t>
      </w:r>
    </w:p>
    <w:p w14:paraId="2D73FB7D">
      <w:pPr>
        <w:numPr>
          <w:ilvl w:val="0"/>
          <w:numId w:val="2"/>
        </w:numPr>
        <w:spacing w:line="440" w:lineRule="exact"/>
        <w:ind w:firstLine="420" w:firstLineChars="200"/>
        <w:rPr>
          <w:rFonts w:ascii="宋体" w:hAnsi="宋体" w:cs="宋体"/>
          <w:szCs w:val="21"/>
        </w:rPr>
      </w:pPr>
      <w:r>
        <w:rPr>
          <w:rFonts w:hint="eastAsia" w:ascii="宋体" w:hAnsi="宋体" w:cs="宋体"/>
          <w:szCs w:val="21"/>
        </w:rPr>
        <w:t>同等责任以上的交通事故为“零”。</w:t>
      </w:r>
    </w:p>
    <w:p w14:paraId="3A1C4CFF">
      <w:pPr>
        <w:spacing w:line="440" w:lineRule="exact"/>
        <w:ind w:firstLine="420" w:firstLineChars="200"/>
        <w:rPr>
          <w:rFonts w:ascii="宋体" w:hAnsi="宋体" w:cs="宋体"/>
          <w:szCs w:val="21"/>
          <w:highlight w:val="yellow"/>
        </w:rPr>
      </w:pPr>
      <w:r>
        <w:rPr>
          <w:rFonts w:hint="eastAsia" w:ascii="宋体" w:hAnsi="宋体" w:cs="宋体"/>
          <w:szCs w:val="21"/>
        </w:rPr>
        <w:t>二、安全生产责任</w:t>
      </w:r>
    </w:p>
    <w:p w14:paraId="7C961DB3">
      <w:pPr>
        <w:spacing w:line="440" w:lineRule="exact"/>
        <w:ind w:firstLine="420" w:firstLineChars="200"/>
        <w:rPr>
          <w:rFonts w:ascii="宋体" w:hAnsi="宋体" w:cs="宋体"/>
          <w:szCs w:val="21"/>
        </w:rPr>
      </w:pPr>
      <w:r>
        <w:rPr>
          <w:rFonts w:hint="eastAsia" w:ascii="宋体" w:hAnsi="宋体" w:cs="宋体"/>
          <w:szCs w:val="21"/>
        </w:rPr>
        <w:t>1、积极建立我司项目部安全生产责任体系，健全安全生产责任制度和各项规章制度、操作规程，并严格执行；按规章建立安全生产管理组织，配备安全管理人员；</w:t>
      </w:r>
    </w:p>
    <w:p w14:paraId="32FA0F05">
      <w:pPr>
        <w:spacing w:line="440" w:lineRule="exact"/>
        <w:ind w:firstLine="420" w:firstLineChars="200"/>
        <w:rPr>
          <w:rFonts w:ascii="宋体" w:hAnsi="宋体" w:cs="宋体"/>
          <w:szCs w:val="21"/>
        </w:rPr>
      </w:pPr>
      <w:r>
        <w:rPr>
          <w:rFonts w:hint="eastAsia" w:ascii="宋体" w:hAnsi="宋体" w:cs="宋体"/>
          <w:szCs w:val="21"/>
        </w:rPr>
        <w:t>2、特种作业人员必须持证，进行动火、登高、临时用电、进入受限空间必须落实好安全措施，并办理相关的作业许可；</w:t>
      </w:r>
    </w:p>
    <w:p w14:paraId="5CC9CDF1">
      <w:pPr>
        <w:spacing w:line="440" w:lineRule="exact"/>
        <w:ind w:firstLine="420" w:firstLineChars="200"/>
        <w:rPr>
          <w:rFonts w:ascii="宋体" w:hAnsi="宋体" w:cs="宋体"/>
          <w:szCs w:val="21"/>
        </w:rPr>
      </w:pPr>
      <w:r>
        <w:rPr>
          <w:rFonts w:hint="eastAsia" w:ascii="宋体" w:hAnsi="宋体" w:cs="宋体"/>
          <w:szCs w:val="21"/>
        </w:rPr>
        <w:t>3、动火时派专人监管，动火作业前应清理动火现场及周围易燃物品，或采取其它有效的安全防火措施，配备足够使用的消防器材。动火作业前，应检查电、气、焊工具，保证安全可靠。 使用气焊、割动火作业时，氧气、乙炔瓶的间距不得小于5米，二者与动火点均不小于10米。</w:t>
      </w:r>
    </w:p>
    <w:p w14:paraId="76DF11CE">
      <w:pPr>
        <w:spacing w:line="440" w:lineRule="exact"/>
        <w:ind w:firstLine="420" w:firstLineChars="200"/>
        <w:rPr>
          <w:rFonts w:ascii="宋体" w:hAnsi="宋体" w:cs="宋体"/>
          <w:szCs w:val="21"/>
        </w:rPr>
      </w:pPr>
      <w:r>
        <w:rPr>
          <w:rFonts w:hint="eastAsia" w:ascii="宋体" w:hAnsi="宋体" w:cs="宋体"/>
          <w:szCs w:val="21"/>
        </w:rPr>
        <w:t>4、高处作业时做好安全措施。遗留的木板、保温材料等，每次作业结束时必须进行清理，防止坠落伤人。</w:t>
      </w:r>
    </w:p>
    <w:p w14:paraId="47A4ECFB">
      <w:pPr>
        <w:spacing w:line="440" w:lineRule="exact"/>
        <w:ind w:firstLine="420" w:firstLineChars="200"/>
        <w:rPr>
          <w:rFonts w:ascii="宋体" w:hAnsi="宋体" w:cs="宋体"/>
          <w:szCs w:val="21"/>
        </w:rPr>
      </w:pPr>
      <w:r>
        <w:rPr>
          <w:rFonts w:hint="eastAsia" w:ascii="宋体" w:hAnsi="宋体" w:cs="宋体"/>
          <w:szCs w:val="21"/>
        </w:rPr>
        <w:t>5、确保安全资金投入，满足安全生产条件。为从业人员提供符合国家标准或行业标准的劳动防护用品，并监督其按扭定佩戴、使用；全员依法参加工伤保险，为从业人员交纳保险费；</w:t>
      </w:r>
    </w:p>
    <w:p w14:paraId="6F818F51">
      <w:pPr>
        <w:spacing w:line="440" w:lineRule="exact"/>
        <w:ind w:firstLine="420" w:firstLineChars="200"/>
        <w:rPr>
          <w:rFonts w:ascii="宋体" w:hAnsi="宋体" w:cs="宋体"/>
          <w:szCs w:val="21"/>
        </w:rPr>
      </w:pPr>
      <w:r>
        <w:rPr>
          <w:rFonts w:hint="eastAsia" w:ascii="宋体" w:hAnsi="宋体" w:cs="宋体"/>
          <w:szCs w:val="21"/>
        </w:rPr>
        <w:t>6、服从采购单位及属地安全监管机构的安全管理，切实做好安全管理工作；认真清理整顿，排查事故隐患，努力巩固安全生产成果和提高安全生产条件；</w:t>
      </w:r>
    </w:p>
    <w:p w14:paraId="51B56117">
      <w:pPr>
        <w:spacing w:line="440" w:lineRule="exact"/>
        <w:ind w:firstLine="420" w:firstLineChars="200"/>
        <w:rPr>
          <w:rFonts w:ascii="宋体" w:hAnsi="宋体" w:cs="宋体"/>
          <w:szCs w:val="21"/>
        </w:rPr>
      </w:pPr>
      <w:r>
        <w:rPr>
          <w:rFonts w:hint="eastAsia" w:ascii="宋体" w:hAnsi="宋体" w:cs="宋体"/>
          <w:szCs w:val="21"/>
        </w:rPr>
        <w:t>7、坚决做到建立以法定代表人为第一责任人的安全生产管理组织，层层落实安全生产责任制，与班组、工人、各材料运输单位层层签订安全协议；加强工人安全生产“三级教育”工作，坚持持证上岗制度，杜绝“三违”现象；</w:t>
      </w:r>
    </w:p>
    <w:p w14:paraId="1EC7A3AD">
      <w:pPr>
        <w:spacing w:line="440" w:lineRule="exact"/>
        <w:ind w:firstLine="420" w:firstLineChars="200"/>
        <w:rPr>
          <w:rFonts w:ascii="宋体" w:hAnsi="宋体" w:cs="宋体"/>
          <w:szCs w:val="21"/>
        </w:rPr>
      </w:pPr>
      <w:r>
        <w:rPr>
          <w:rFonts w:hint="eastAsia" w:ascii="宋体" w:hAnsi="宋体" w:cs="宋体"/>
          <w:szCs w:val="21"/>
        </w:rPr>
        <w:t>8、严格执行国家、省、市、县、区的有关法律、法规、规定、规范、制度、文件，自觉服从职能部门、监督机构的管理和检查，对存在的安全隐患及时认真的进行整改，坚持每道工序施工进行安全交底，坚持每月安全检查制度，并形成书面记录，存档备查；</w:t>
      </w:r>
    </w:p>
    <w:p w14:paraId="6506044F">
      <w:pPr>
        <w:spacing w:line="440" w:lineRule="exact"/>
        <w:ind w:firstLine="420" w:firstLineChars="200"/>
        <w:rPr>
          <w:rFonts w:ascii="宋体" w:hAnsi="宋体" w:cs="宋体"/>
          <w:szCs w:val="21"/>
        </w:rPr>
      </w:pPr>
      <w:r>
        <w:rPr>
          <w:rFonts w:hint="eastAsia" w:ascii="宋体" w:hAnsi="宋体" w:cs="宋体"/>
          <w:szCs w:val="21"/>
        </w:rPr>
        <w:t>9、对材料、构件、料具、易燃易爆物品，坚持分类存放；堆放整齐有序；作业区、办公区、生活区严格实行分区管理，做到文明施工；</w:t>
      </w:r>
    </w:p>
    <w:p w14:paraId="2257E348">
      <w:pPr>
        <w:spacing w:line="440" w:lineRule="exact"/>
        <w:ind w:firstLine="420" w:firstLineChars="200"/>
        <w:rPr>
          <w:rFonts w:ascii="宋体" w:hAnsi="宋体" w:cs="宋体"/>
          <w:szCs w:val="21"/>
        </w:rPr>
      </w:pPr>
      <w:r>
        <w:rPr>
          <w:rFonts w:hint="eastAsia" w:ascii="宋体" w:hAnsi="宋体" w:cs="宋体"/>
          <w:szCs w:val="21"/>
        </w:rPr>
        <w:t>10、积极做好符合本项目特点要求的安全防护防范工作；现场使用的防护用品保证具有“三证”；现场安全警示牌张挂及时、规范，符合国家相关规定；</w:t>
      </w:r>
    </w:p>
    <w:p w14:paraId="2B72B46B">
      <w:pPr>
        <w:spacing w:line="440" w:lineRule="exact"/>
        <w:ind w:firstLine="420" w:firstLineChars="200"/>
        <w:rPr>
          <w:rFonts w:ascii="宋体" w:hAnsi="宋体" w:cs="宋体"/>
          <w:szCs w:val="21"/>
        </w:rPr>
      </w:pPr>
      <w:r>
        <w:rPr>
          <w:rFonts w:hint="eastAsia" w:ascii="宋体" w:hAnsi="宋体" w:cs="宋体"/>
          <w:szCs w:val="21"/>
        </w:rPr>
        <w:t>11、严格按操作规程操作，对有故障和性能不稳定的机械设备，坚决不予投运；人机交叉作业必须加强现场指挥监管，杜绝机械伤人，着力加强运输、安装等过程的安全管理，保证人员道路、场地运输安全；</w:t>
      </w:r>
    </w:p>
    <w:p w14:paraId="2BB28FEC">
      <w:pPr>
        <w:spacing w:line="440" w:lineRule="exact"/>
        <w:ind w:firstLine="420" w:firstLineChars="200"/>
        <w:rPr>
          <w:rFonts w:ascii="宋体" w:hAnsi="宋体" w:cs="宋体"/>
          <w:szCs w:val="21"/>
        </w:rPr>
      </w:pPr>
      <w:r>
        <w:rPr>
          <w:rFonts w:hint="eastAsia" w:ascii="宋体" w:hAnsi="宋体" w:cs="宋体"/>
          <w:szCs w:val="21"/>
        </w:rPr>
        <w:t>12、脚手架搭设严格按照规范要求搭设，做好各类成品、管线保护工作；</w:t>
      </w:r>
    </w:p>
    <w:p w14:paraId="123002E0">
      <w:pPr>
        <w:spacing w:line="440" w:lineRule="exact"/>
        <w:ind w:firstLine="420" w:firstLineChars="200"/>
        <w:rPr>
          <w:rFonts w:ascii="宋体" w:hAnsi="宋体" w:cs="宋体"/>
          <w:szCs w:val="21"/>
        </w:rPr>
      </w:pPr>
      <w:r>
        <w:rPr>
          <w:rFonts w:hint="eastAsia" w:ascii="宋体" w:hAnsi="宋体" w:cs="宋体"/>
          <w:szCs w:val="21"/>
        </w:rPr>
        <w:t>13、确保用电安全，做到“一机一闸一保护”；加强综合治理，确保用电、饮食、交通运输安全；</w:t>
      </w:r>
    </w:p>
    <w:p w14:paraId="6D656495">
      <w:pPr>
        <w:spacing w:line="440" w:lineRule="exact"/>
        <w:ind w:firstLine="420" w:firstLineChars="200"/>
        <w:rPr>
          <w:rFonts w:ascii="宋体" w:hAnsi="宋体" w:cs="宋体"/>
          <w:szCs w:val="21"/>
        </w:rPr>
      </w:pPr>
      <w:r>
        <w:rPr>
          <w:rFonts w:hint="eastAsia" w:ascii="宋体" w:hAnsi="宋体" w:cs="宋体"/>
          <w:szCs w:val="21"/>
        </w:rPr>
        <w:t>14、坚持事故申报制度，发生安全生产事故，按规定程序及时向采购人、安全生产监督管理机构及相关主管部门报告，立即组织相关人员进行抢救及事故处理工作，坚持“四不放过”原则，对事故责任者将按照有关法律、法规，追究有关人员的行政责任、经济责任和刑事责任。</w:t>
      </w:r>
    </w:p>
    <w:p w14:paraId="62D11757">
      <w:pPr>
        <w:spacing w:line="440" w:lineRule="exact"/>
        <w:ind w:firstLine="420" w:firstLineChars="200"/>
        <w:rPr>
          <w:rFonts w:ascii="宋体" w:hAnsi="宋体" w:cs="宋体"/>
          <w:szCs w:val="21"/>
        </w:rPr>
      </w:pPr>
      <w:r>
        <w:rPr>
          <w:rFonts w:hint="eastAsia" w:ascii="宋体" w:hAnsi="宋体" w:cs="宋体"/>
          <w:szCs w:val="21"/>
        </w:rPr>
        <w:t>以上承诺将成为约束本单位行为的重要合同条件，本单位将切实履行，如有违反，愿负全部责任，并无条件接受相应处罚。</w:t>
      </w:r>
    </w:p>
    <w:p w14:paraId="27E498B2">
      <w:pPr>
        <w:spacing w:line="440" w:lineRule="exact"/>
        <w:rPr>
          <w:rFonts w:ascii="宋体" w:hAnsi="宋体" w:cs="宋体"/>
          <w:szCs w:val="21"/>
        </w:rPr>
      </w:pPr>
    </w:p>
    <w:p w14:paraId="0E20B87F">
      <w:pPr>
        <w:spacing w:line="440" w:lineRule="exact"/>
        <w:rPr>
          <w:rFonts w:ascii="宋体" w:hAnsi="宋体" w:cs="宋体"/>
          <w:szCs w:val="21"/>
        </w:rPr>
      </w:pPr>
      <w:r>
        <w:rPr>
          <w:rFonts w:hint="eastAsia" w:ascii="宋体" w:hAnsi="宋体" w:cs="宋体"/>
          <w:szCs w:val="21"/>
        </w:rPr>
        <w:t>承诺单位：（盖章）</w:t>
      </w:r>
    </w:p>
    <w:p w14:paraId="3B4EFDC2">
      <w:pPr>
        <w:spacing w:line="440" w:lineRule="exact"/>
        <w:rPr>
          <w:rFonts w:ascii="宋体" w:hAnsi="宋体" w:cs="宋体"/>
          <w:szCs w:val="21"/>
        </w:rPr>
      </w:pPr>
    </w:p>
    <w:p w14:paraId="58856256">
      <w:pPr>
        <w:spacing w:line="440" w:lineRule="exact"/>
        <w:rPr>
          <w:rFonts w:ascii="宋体" w:hAnsi="宋体" w:cs="宋体"/>
          <w:szCs w:val="21"/>
        </w:rPr>
      </w:pPr>
      <w:r>
        <w:rPr>
          <w:rFonts w:hint="eastAsia" w:ascii="宋体" w:hAnsi="宋体" w:cs="宋体"/>
          <w:szCs w:val="21"/>
        </w:rPr>
        <w:t>承诺人：（签字或盖章）</w:t>
      </w:r>
    </w:p>
    <w:p w14:paraId="2B98480B">
      <w:pPr>
        <w:spacing w:line="440" w:lineRule="exact"/>
        <w:rPr>
          <w:rFonts w:ascii="宋体" w:hAnsi="宋体" w:cs="宋体"/>
          <w:szCs w:val="21"/>
        </w:rPr>
      </w:pPr>
    </w:p>
    <w:p w14:paraId="2A14C1C0">
      <w:pPr>
        <w:spacing w:line="440" w:lineRule="exact"/>
        <w:jc w:val="right"/>
        <w:rPr>
          <w:rFonts w:ascii="宋体" w:hAnsi="宋体" w:cs="宋体"/>
          <w:szCs w:val="21"/>
        </w:rPr>
      </w:pPr>
      <w:r>
        <w:rPr>
          <w:rFonts w:hint="eastAsia" w:ascii="宋体" w:hAnsi="宋体" w:cs="宋体"/>
          <w:szCs w:val="21"/>
        </w:rPr>
        <w:t>承诺时间：202</w:t>
      </w:r>
      <w:r>
        <w:rPr>
          <w:rFonts w:hint="eastAsia" w:ascii="宋体" w:hAnsi="宋体" w:cs="宋体"/>
          <w:szCs w:val="21"/>
          <w:lang w:val="en-US" w:eastAsia="zh-CN"/>
        </w:rPr>
        <w:t>5</w:t>
      </w:r>
      <w:r>
        <w:rPr>
          <w:rFonts w:hint="eastAsia" w:ascii="宋体" w:hAnsi="宋体" w:cs="宋体"/>
          <w:szCs w:val="21"/>
        </w:rPr>
        <w:t>年  月  日</w:t>
      </w:r>
    </w:p>
    <w:p w14:paraId="4D5B0188">
      <w:pPr>
        <w:spacing w:line="440" w:lineRule="exact"/>
        <w:jc w:val="center"/>
        <w:rPr>
          <w:rFonts w:ascii="宋体" w:hAnsi="宋体" w:cs="宋体"/>
          <w:szCs w:val="21"/>
        </w:rPr>
      </w:pPr>
    </w:p>
    <w:p w14:paraId="2F684B4D">
      <w:pPr>
        <w:spacing w:line="440" w:lineRule="exact"/>
        <w:jc w:val="center"/>
        <w:rPr>
          <w:rFonts w:ascii="宋体" w:hAnsi="宋体" w:cs="宋体"/>
          <w:szCs w:val="21"/>
        </w:rPr>
      </w:pPr>
    </w:p>
    <w:p w14:paraId="36FFE7B1">
      <w:pPr>
        <w:spacing w:line="440" w:lineRule="exact"/>
        <w:jc w:val="center"/>
        <w:rPr>
          <w:rFonts w:ascii="宋体" w:hAnsi="宋体" w:cs="宋体"/>
          <w:szCs w:val="21"/>
        </w:rPr>
      </w:pPr>
    </w:p>
    <w:p w14:paraId="2A6BB88B">
      <w:pPr>
        <w:spacing w:line="440" w:lineRule="exact"/>
        <w:jc w:val="center"/>
        <w:rPr>
          <w:rFonts w:ascii="宋体" w:hAnsi="宋体" w:cs="宋体"/>
          <w:szCs w:val="21"/>
        </w:rPr>
      </w:pPr>
    </w:p>
    <w:p w14:paraId="51AE9EF4">
      <w:pPr>
        <w:spacing w:line="440" w:lineRule="exact"/>
        <w:jc w:val="center"/>
        <w:rPr>
          <w:rFonts w:ascii="宋体" w:hAnsi="宋体" w:cs="宋体"/>
          <w:szCs w:val="21"/>
        </w:rPr>
      </w:pPr>
    </w:p>
    <w:p w14:paraId="006811E5">
      <w:pPr>
        <w:spacing w:line="440" w:lineRule="exact"/>
        <w:jc w:val="center"/>
        <w:rPr>
          <w:rFonts w:ascii="宋体" w:hAnsi="宋体" w:cs="宋体"/>
          <w:szCs w:val="21"/>
        </w:rPr>
      </w:pPr>
    </w:p>
    <w:p w14:paraId="3E75A363">
      <w:pPr>
        <w:spacing w:line="440" w:lineRule="exact"/>
        <w:jc w:val="center"/>
        <w:rPr>
          <w:rFonts w:ascii="宋体" w:hAnsi="宋体" w:cs="宋体"/>
          <w:szCs w:val="21"/>
        </w:rPr>
      </w:pPr>
    </w:p>
    <w:p w14:paraId="7A442617">
      <w:pPr>
        <w:spacing w:line="440" w:lineRule="exact"/>
        <w:jc w:val="both"/>
        <w:rPr>
          <w:rFonts w:ascii="宋体" w:hAnsi="宋体" w:cs="宋体"/>
          <w:szCs w:val="21"/>
        </w:rPr>
      </w:pPr>
    </w:p>
    <w:p w14:paraId="561523ED">
      <w:pPr>
        <w:rPr>
          <w:rFonts w:hint="eastAsia" w:ascii="宋体" w:hAnsi="宋体"/>
          <w:b/>
          <w:sz w:val="28"/>
          <w:szCs w:val="28"/>
        </w:rPr>
      </w:pPr>
      <w:r>
        <w:rPr>
          <w:rFonts w:hint="eastAsia" w:ascii="宋体" w:hAnsi="宋体"/>
          <w:b/>
          <w:sz w:val="28"/>
          <w:szCs w:val="28"/>
        </w:rPr>
        <w:br w:type="page"/>
      </w:r>
    </w:p>
    <w:p w14:paraId="6E05DEC2">
      <w:pPr>
        <w:autoSpaceDE w:val="0"/>
        <w:autoSpaceDN w:val="0"/>
        <w:adjustRightInd w:val="0"/>
        <w:snapToGrid w:val="0"/>
        <w:spacing w:line="300" w:lineRule="auto"/>
        <w:ind w:right="210"/>
        <w:jc w:val="center"/>
        <w:rPr>
          <w:rFonts w:ascii="宋体" w:hAnsi="宋体"/>
          <w:b/>
          <w:bCs/>
          <w:sz w:val="28"/>
          <w:szCs w:val="28"/>
          <w:lang w:val="zh-CN"/>
        </w:rPr>
      </w:pPr>
      <w:r>
        <w:rPr>
          <w:rFonts w:hint="eastAsia" w:ascii="宋体" w:hAnsi="宋体"/>
          <w:b/>
          <w:bCs/>
          <w:sz w:val="28"/>
          <w:szCs w:val="28"/>
          <w:lang w:val="zh-CN"/>
        </w:rPr>
        <w:t>第</w:t>
      </w:r>
      <w:r>
        <w:rPr>
          <w:rFonts w:hint="eastAsia" w:ascii="宋体" w:hAnsi="宋体"/>
          <w:b/>
          <w:bCs/>
          <w:sz w:val="28"/>
          <w:szCs w:val="28"/>
          <w:lang w:val="en-US" w:eastAsia="zh-CN"/>
        </w:rPr>
        <w:t>三</w:t>
      </w:r>
      <w:r>
        <w:rPr>
          <w:rFonts w:hint="eastAsia" w:ascii="宋体" w:hAnsi="宋体"/>
          <w:b/>
          <w:bCs/>
          <w:sz w:val="28"/>
          <w:szCs w:val="28"/>
          <w:lang w:val="zh-CN"/>
        </w:rPr>
        <w:t>部分  响应文件组成</w:t>
      </w:r>
    </w:p>
    <w:p w14:paraId="48D115E8">
      <w:pPr>
        <w:snapToGrid w:val="0"/>
        <w:spacing w:line="440" w:lineRule="exact"/>
        <w:ind w:firstLine="555"/>
        <w:jc w:val="left"/>
        <w:rPr>
          <w:rFonts w:ascii="宋体" w:hAnsi="宋体"/>
          <w:b/>
          <w:szCs w:val="21"/>
          <w:lang w:val="zh-CN"/>
        </w:rPr>
      </w:pPr>
      <w:r>
        <w:rPr>
          <w:rFonts w:hint="eastAsia" w:ascii="宋体" w:hAnsi="宋体"/>
          <w:b/>
          <w:szCs w:val="21"/>
          <w:lang w:val="zh-CN"/>
        </w:rPr>
        <w:t>提示：</w:t>
      </w:r>
    </w:p>
    <w:p w14:paraId="26ACD69A">
      <w:pPr>
        <w:snapToGrid w:val="0"/>
        <w:spacing w:line="440" w:lineRule="exact"/>
        <w:ind w:firstLine="422" w:firstLineChars="200"/>
        <w:jc w:val="left"/>
        <w:rPr>
          <w:rFonts w:ascii="宋体" w:hAnsi="宋体"/>
          <w:b/>
          <w:szCs w:val="21"/>
          <w:lang w:val="zh-CN"/>
        </w:rPr>
      </w:pPr>
      <w:r>
        <w:rPr>
          <w:rFonts w:hint="eastAsia" w:ascii="宋体" w:hAnsi="宋体"/>
          <w:b/>
          <w:szCs w:val="21"/>
          <w:lang w:val="zh-CN"/>
        </w:rPr>
        <w:t>交易响应人在制作电子响应文件时，如部分材料无法在投标文件制作工具中制作或上传，可将材料制作后上传在其它材料中。</w:t>
      </w:r>
    </w:p>
    <w:p w14:paraId="51B9D1E6">
      <w:pPr>
        <w:snapToGrid w:val="0"/>
        <w:spacing w:line="440" w:lineRule="exact"/>
        <w:ind w:firstLine="422" w:firstLineChars="200"/>
        <w:jc w:val="left"/>
        <w:rPr>
          <w:rFonts w:ascii="宋体" w:hAnsi="宋体"/>
          <w:b/>
          <w:color w:val="FF0000"/>
          <w:szCs w:val="21"/>
          <w:lang w:val="zh-CN"/>
        </w:rPr>
      </w:pPr>
      <w:r>
        <w:rPr>
          <w:rFonts w:hint="eastAsia" w:ascii="宋体" w:hAnsi="宋体"/>
          <w:b/>
          <w:szCs w:val="21"/>
          <w:lang w:val="en-US" w:eastAsia="zh-CN"/>
        </w:rPr>
        <w:t>一、</w:t>
      </w:r>
      <w:r>
        <w:rPr>
          <w:rFonts w:hint="eastAsia" w:ascii="宋体" w:hAnsi="宋体"/>
          <w:b/>
          <w:szCs w:val="21"/>
          <w:lang w:val="zh-CN"/>
        </w:rPr>
        <w:t>响应文件由价格标、商务技术标组成。</w:t>
      </w:r>
      <w:r>
        <w:rPr>
          <w:rFonts w:hint="eastAsia" w:ascii="宋体" w:hAnsi="宋体"/>
          <w:b/>
          <w:color w:val="FF0000"/>
          <w:szCs w:val="21"/>
          <w:lang w:val="zh-CN"/>
        </w:rPr>
        <w:t>提交的响应文件必须加盖响应人公章或电子签章。</w:t>
      </w:r>
    </w:p>
    <w:p w14:paraId="43FEA323">
      <w:pPr>
        <w:pStyle w:val="43"/>
        <w:snapToGrid w:val="0"/>
        <w:spacing w:line="440" w:lineRule="exact"/>
        <w:ind w:firstLine="434"/>
        <w:rPr>
          <w:rFonts w:ascii="宋体" w:eastAsia="宋体"/>
          <w:b/>
          <w:sz w:val="21"/>
          <w:szCs w:val="21"/>
        </w:rPr>
      </w:pPr>
      <w:r>
        <w:rPr>
          <w:rFonts w:hint="eastAsia" w:ascii="宋体" w:eastAsia="宋体"/>
          <w:b/>
          <w:sz w:val="21"/>
          <w:szCs w:val="21"/>
        </w:rPr>
        <w:t>二、价格响应文件：</w:t>
      </w:r>
    </w:p>
    <w:p w14:paraId="73EE5A0B">
      <w:pPr>
        <w:snapToGrid w:val="0"/>
        <w:spacing w:line="440" w:lineRule="exact"/>
        <w:ind w:firstLine="420" w:firstLineChars="200"/>
        <w:outlineLvl w:val="0"/>
        <w:rPr>
          <w:rFonts w:ascii="宋体" w:hAnsi="宋体"/>
          <w:szCs w:val="21"/>
        </w:rPr>
      </w:pPr>
      <w:r>
        <w:rPr>
          <w:rFonts w:hint="eastAsia" w:ascii="宋体" w:hAnsi="宋体"/>
          <w:szCs w:val="21"/>
        </w:rPr>
        <w:t>1.报价总表；</w:t>
      </w:r>
    </w:p>
    <w:p w14:paraId="014DE149">
      <w:pPr>
        <w:snapToGrid w:val="0"/>
        <w:spacing w:line="440" w:lineRule="exact"/>
        <w:ind w:firstLine="420" w:firstLineChars="200"/>
        <w:outlineLvl w:val="0"/>
        <w:rPr>
          <w:rFonts w:ascii="宋体" w:hAnsi="宋体"/>
          <w:szCs w:val="21"/>
        </w:rPr>
      </w:pPr>
      <w:r>
        <w:rPr>
          <w:rFonts w:hint="eastAsia" w:ascii="宋体" w:hAnsi="宋体"/>
          <w:szCs w:val="21"/>
        </w:rPr>
        <w:t xml:space="preserve">2.报价明细表。 </w:t>
      </w:r>
    </w:p>
    <w:p w14:paraId="5C93B51E">
      <w:pPr>
        <w:pStyle w:val="43"/>
        <w:snapToGrid w:val="0"/>
        <w:spacing w:line="440" w:lineRule="exact"/>
        <w:ind w:firstLine="434"/>
        <w:rPr>
          <w:rFonts w:ascii="宋体" w:eastAsia="宋体"/>
          <w:sz w:val="21"/>
          <w:szCs w:val="21"/>
        </w:rPr>
      </w:pPr>
      <w:r>
        <w:rPr>
          <w:rFonts w:hint="eastAsia" w:ascii="宋体" w:eastAsia="宋体"/>
          <w:b/>
          <w:sz w:val="21"/>
          <w:szCs w:val="21"/>
        </w:rPr>
        <w:t>三、商务技术响应文件：</w:t>
      </w:r>
    </w:p>
    <w:p w14:paraId="1ED1DD98">
      <w:pPr>
        <w:tabs>
          <w:tab w:val="left" w:pos="1260"/>
        </w:tabs>
        <w:snapToGrid w:val="0"/>
        <w:spacing w:line="440" w:lineRule="exact"/>
        <w:ind w:firstLine="420" w:firstLineChars="200"/>
        <w:rPr>
          <w:rFonts w:ascii="宋体" w:hAnsi="宋体"/>
          <w:szCs w:val="21"/>
        </w:rPr>
      </w:pPr>
      <w:r>
        <w:rPr>
          <w:rFonts w:hint="eastAsia" w:ascii="宋体" w:hAnsi="宋体"/>
          <w:szCs w:val="21"/>
        </w:rPr>
        <w:t>1.竞</w:t>
      </w:r>
      <w:r>
        <w:rPr>
          <w:rFonts w:hint="eastAsia" w:ascii="宋体" w:hAnsi="宋体"/>
          <w:szCs w:val="21"/>
          <w:lang w:eastAsia="zh-CN"/>
        </w:rPr>
        <w:t>价</w:t>
      </w:r>
      <w:r>
        <w:rPr>
          <w:rFonts w:hint="eastAsia" w:ascii="宋体" w:hAnsi="宋体"/>
          <w:szCs w:val="21"/>
        </w:rPr>
        <w:t>交易响应人情况一览表。</w:t>
      </w:r>
    </w:p>
    <w:p w14:paraId="29C1843F">
      <w:pPr>
        <w:pStyle w:val="43"/>
        <w:snapToGrid w:val="0"/>
        <w:spacing w:line="440" w:lineRule="exact"/>
        <w:ind w:firstLine="420" w:firstLineChars="200"/>
        <w:rPr>
          <w:rFonts w:ascii="宋体" w:eastAsia="宋体"/>
          <w:sz w:val="21"/>
          <w:szCs w:val="21"/>
        </w:rPr>
      </w:pPr>
      <w:r>
        <w:rPr>
          <w:rFonts w:hint="eastAsia" w:ascii="宋体" w:eastAsia="宋体"/>
          <w:sz w:val="21"/>
          <w:szCs w:val="21"/>
        </w:rPr>
        <w:t>2.商务部分正负偏离表。</w:t>
      </w:r>
    </w:p>
    <w:p w14:paraId="1B3D9DFA">
      <w:pPr>
        <w:pStyle w:val="43"/>
        <w:snapToGrid w:val="0"/>
        <w:spacing w:line="440" w:lineRule="exact"/>
        <w:ind w:firstLine="420" w:firstLineChars="200"/>
        <w:rPr>
          <w:rFonts w:ascii="宋体" w:eastAsia="宋体"/>
          <w:sz w:val="21"/>
          <w:szCs w:val="21"/>
        </w:rPr>
      </w:pPr>
      <w:r>
        <w:rPr>
          <w:rFonts w:hint="eastAsia" w:ascii="宋体" w:eastAsia="宋体"/>
          <w:sz w:val="21"/>
          <w:szCs w:val="21"/>
        </w:rPr>
        <w:t>3.技术部分正负偏离表。</w:t>
      </w:r>
    </w:p>
    <w:p w14:paraId="4FE7244D">
      <w:pPr>
        <w:pStyle w:val="43"/>
        <w:snapToGrid w:val="0"/>
        <w:spacing w:line="440" w:lineRule="exact"/>
        <w:ind w:firstLine="422" w:firstLineChars="200"/>
        <w:rPr>
          <w:rFonts w:ascii="宋体" w:eastAsia="宋体"/>
          <w:b/>
          <w:sz w:val="21"/>
          <w:szCs w:val="21"/>
        </w:rPr>
      </w:pPr>
      <w:r>
        <w:rPr>
          <w:rFonts w:hint="eastAsia" w:ascii="宋体" w:eastAsia="宋体"/>
          <w:b/>
          <w:sz w:val="21"/>
          <w:szCs w:val="21"/>
        </w:rPr>
        <w:t>填制正负偏离表，完全响应的，请以空白表列示。不完全响应的，必须在偏离表中列示；列示不全的，视同故意隐瞒。</w:t>
      </w:r>
    </w:p>
    <w:p w14:paraId="3B57448B">
      <w:pPr>
        <w:pStyle w:val="43"/>
        <w:snapToGrid w:val="0"/>
        <w:spacing w:line="440" w:lineRule="exact"/>
        <w:ind w:firstLine="433"/>
        <w:rPr>
          <w:rFonts w:ascii="宋体" w:eastAsia="宋体"/>
          <w:sz w:val="21"/>
          <w:szCs w:val="21"/>
        </w:rPr>
      </w:pPr>
      <w:r>
        <w:rPr>
          <w:rFonts w:hint="eastAsia" w:ascii="宋体" w:eastAsia="宋体"/>
          <w:sz w:val="21"/>
          <w:szCs w:val="21"/>
        </w:rPr>
        <w:t>4.响应方案、货物（服务）清单。具有项目、数量、品牌、型号、配置性能等。</w:t>
      </w:r>
    </w:p>
    <w:p w14:paraId="48DB2A46">
      <w:pPr>
        <w:pStyle w:val="43"/>
        <w:snapToGrid w:val="0"/>
        <w:spacing w:line="440" w:lineRule="exact"/>
        <w:ind w:firstLine="433"/>
        <w:rPr>
          <w:rFonts w:ascii="宋体" w:eastAsia="宋体"/>
          <w:sz w:val="21"/>
          <w:szCs w:val="21"/>
        </w:rPr>
      </w:pPr>
      <w:r>
        <w:rPr>
          <w:rFonts w:hint="eastAsia" w:ascii="宋体" w:eastAsia="宋体"/>
          <w:sz w:val="21"/>
          <w:szCs w:val="21"/>
          <w:lang w:val="en-US" w:eastAsia="zh-CN"/>
        </w:rPr>
        <w:t>5</w:t>
      </w:r>
      <w:r>
        <w:rPr>
          <w:rFonts w:hint="eastAsia" w:ascii="宋体" w:eastAsia="宋体"/>
          <w:sz w:val="21"/>
          <w:szCs w:val="21"/>
        </w:rPr>
        <w:t>.评审办法中未涉及的事项，交易响应人认为需要提交的其他资料。</w:t>
      </w:r>
    </w:p>
    <w:p w14:paraId="63A5DB4A">
      <w:pPr>
        <w:pStyle w:val="43"/>
        <w:snapToGrid w:val="0"/>
        <w:spacing w:line="440" w:lineRule="exact"/>
        <w:ind w:firstLine="434"/>
        <w:rPr>
          <w:rFonts w:ascii="宋体" w:eastAsia="宋体"/>
          <w:b/>
          <w:sz w:val="21"/>
          <w:szCs w:val="21"/>
        </w:rPr>
      </w:pPr>
      <w:r>
        <w:rPr>
          <w:rFonts w:hint="eastAsia" w:ascii="宋体" w:eastAsia="宋体"/>
          <w:b/>
          <w:sz w:val="21"/>
          <w:szCs w:val="21"/>
        </w:rPr>
        <w:t>注：响应交易响应人必须详细报出采购清单中各个子项的名称、品牌、规格型号、数量、单价。且本表各分项报价合计应当与报价总表报价合计相等。请各交易响应人务必按照以上要求填报，否则作为无效响应处理。</w:t>
      </w:r>
    </w:p>
    <w:p w14:paraId="31911633">
      <w:pPr>
        <w:adjustRightInd w:val="0"/>
        <w:snapToGrid w:val="0"/>
        <w:spacing w:line="360" w:lineRule="auto"/>
        <w:jc w:val="left"/>
        <w:rPr>
          <w:rFonts w:cs="仿宋" w:asciiTheme="minorEastAsia" w:hAnsiTheme="minorEastAsia" w:eastAsiaTheme="minorEastAsia"/>
          <w:sz w:val="24"/>
        </w:rPr>
      </w:pPr>
      <w:r>
        <w:rPr>
          <w:rFonts w:ascii="宋体" w:hAnsi="宋体" w:cs="仿宋_GB2312"/>
          <w:b/>
          <w:bCs/>
          <w:color w:val="000000"/>
          <w:sz w:val="24"/>
        </w:rPr>
        <w:br w:type="page"/>
      </w:r>
    </w:p>
    <w:p w14:paraId="09D6B845">
      <w:pPr>
        <w:snapToGrid w:val="0"/>
        <w:spacing w:line="30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附件1：</w:t>
      </w:r>
    </w:p>
    <w:p w14:paraId="2D4B5C4B">
      <w:pPr>
        <w:spacing w:line="360" w:lineRule="auto"/>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 xml:space="preserve">竞  </w:t>
      </w:r>
      <w:r>
        <w:rPr>
          <w:rFonts w:hint="eastAsia" w:cs="仿宋" w:asciiTheme="minorEastAsia" w:hAnsiTheme="minorEastAsia" w:eastAsiaTheme="minorEastAsia"/>
          <w:b/>
          <w:sz w:val="28"/>
          <w:szCs w:val="28"/>
          <w:lang w:eastAsia="zh-CN"/>
        </w:rPr>
        <w:t>价</w:t>
      </w:r>
      <w:r>
        <w:rPr>
          <w:rFonts w:hint="eastAsia" w:cs="仿宋" w:asciiTheme="minorEastAsia" w:hAnsiTheme="minorEastAsia" w:eastAsiaTheme="minorEastAsia"/>
          <w:b/>
          <w:sz w:val="28"/>
          <w:szCs w:val="28"/>
        </w:rPr>
        <w:t xml:space="preserve"> 承  诺  函</w:t>
      </w:r>
    </w:p>
    <w:p w14:paraId="0DC2597F">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：（交易发起人）</w:t>
      </w:r>
    </w:p>
    <w:p w14:paraId="23E022B5">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我们决定参加关于</w:t>
      </w:r>
      <w:r>
        <w:rPr>
          <w:rFonts w:hint="eastAsia" w:cs="仿宋" w:asciiTheme="minorEastAsia" w:hAnsiTheme="minorEastAsia" w:eastAsiaTheme="minorEastAsia"/>
          <w:szCs w:val="21"/>
          <w:u w:val="single"/>
        </w:rPr>
        <w:t xml:space="preserve">                    （项目名称）</w:t>
      </w:r>
      <w:r>
        <w:rPr>
          <w:rFonts w:hint="eastAsia" w:cs="仿宋" w:asciiTheme="minorEastAsia" w:hAnsiTheme="minorEastAsia" w:eastAsiaTheme="minorEastAsia"/>
          <w:szCs w:val="21"/>
        </w:rPr>
        <w:t>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，并作如下承诺：</w:t>
      </w:r>
    </w:p>
    <w:p w14:paraId="0008E52A">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如果我们的竞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响应文件被接受，我们将严格履行竞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文件中规定的每一项要求，按期、按质、按量履行义务。</w:t>
      </w:r>
    </w:p>
    <w:p w14:paraId="74A3AEB2">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我们愿意提供在竞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lang w:val="en-US" w:eastAsia="zh-CN"/>
        </w:rPr>
        <w:t>项目</w:t>
      </w:r>
      <w:r>
        <w:rPr>
          <w:rFonts w:hint="eastAsia" w:cs="仿宋" w:asciiTheme="minorEastAsia" w:hAnsiTheme="minorEastAsia" w:eastAsiaTheme="minorEastAsia"/>
          <w:szCs w:val="21"/>
        </w:rPr>
        <w:t>中要求的所有资料。</w:t>
      </w:r>
    </w:p>
    <w:p w14:paraId="508740E4">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我们同意你们的确定成交供应商的方式，同时认为较低的报价和较高的优惠比例是成交的重要选择标准，但不是唯一的选择标准。</w:t>
      </w:r>
    </w:p>
    <w:p w14:paraId="0480A22B">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4</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我们所作的针对该项目的竞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响应文件在竞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开始后的全过程中保持有效，对竞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小组所作的需求变更我单位将作出相应更改和变动。</w:t>
      </w:r>
    </w:p>
    <w:p w14:paraId="08148299">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5.如我单位不按规定签订合同的，我单位承诺当年及下年度不得参与高新区（含区属单位、国企、四个街道）的任何公共资源交易（含限额以上、限额以下、</w:t>
      </w:r>
      <w:r>
        <w:rPr>
          <w:rFonts w:hint="eastAsia" w:cs="仿宋" w:asciiTheme="minorEastAsia" w:hAnsiTheme="minorEastAsia" w:eastAsiaTheme="minorEastAsia"/>
          <w:szCs w:val="21"/>
          <w:lang w:eastAsia="zh-CN"/>
        </w:rPr>
        <w:t>苏采云</w:t>
      </w:r>
      <w:r>
        <w:rPr>
          <w:rFonts w:hint="eastAsia" w:cs="仿宋" w:asciiTheme="minorEastAsia" w:hAnsiTheme="minorEastAsia" w:eastAsiaTheme="minorEastAsia"/>
          <w:szCs w:val="21"/>
        </w:rPr>
        <w:t>）活动，交纳的履约保证金愿意不被贵单位退还。</w:t>
      </w:r>
    </w:p>
    <w:p w14:paraId="06A90CBE">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.如我单位不按规定履约的，我单位承诺当年及下年度不得参与高新区（含区属单位、国企、四个街道）的任何公共资源交易（含限额以上、限额以下、</w:t>
      </w:r>
      <w:r>
        <w:rPr>
          <w:rFonts w:hint="eastAsia" w:cs="仿宋" w:asciiTheme="minorEastAsia" w:hAnsiTheme="minorEastAsia" w:eastAsiaTheme="minorEastAsia"/>
          <w:szCs w:val="21"/>
          <w:lang w:eastAsia="zh-CN"/>
        </w:rPr>
        <w:t>苏采云</w:t>
      </w:r>
      <w:r>
        <w:rPr>
          <w:rFonts w:hint="eastAsia" w:cs="仿宋" w:asciiTheme="minorEastAsia" w:hAnsiTheme="minorEastAsia" w:eastAsiaTheme="minorEastAsia"/>
          <w:szCs w:val="21"/>
        </w:rPr>
        <w:t>）活动，交纳的履约保证金愿意不被贵单位退还。</w:t>
      </w:r>
    </w:p>
    <w:p w14:paraId="35AD6A2F">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7.</w:t>
      </w:r>
      <w:r>
        <w:rPr>
          <w:rFonts w:hint="eastAsia" w:cs="仿宋" w:asciiTheme="minorEastAsia" w:hAnsiTheme="minorEastAsia" w:eastAsiaTheme="minorEastAsia"/>
          <w:szCs w:val="21"/>
        </w:rPr>
        <w:t>有关竞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事项的函电，请按下列方式联系：</w:t>
      </w:r>
    </w:p>
    <w:p w14:paraId="1721D67B">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单    位：           </w:t>
      </w:r>
      <w:r>
        <w:rPr>
          <w:rFonts w:hint="eastAsia" w:cs="仿宋" w:asciiTheme="minorEastAsia" w:hAnsiTheme="minorEastAsia" w:eastAsiaTheme="minorEastAsia"/>
          <w:szCs w:val="21"/>
          <w:lang w:val="en-US" w:eastAsia="zh-CN"/>
        </w:rPr>
        <w:t xml:space="preserve">               </w:t>
      </w:r>
      <w:r>
        <w:rPr>
          <w:rFonts w:hint="eastAsia" w:cs="仿宋" w:asciiTheme="minorEastAsia" w:hAnsiTheme="minorEastAsia" w:eastAsiaTheme="minorEastAsia"/>
          <w:szCs w:val="21"/>
        </w:rPr>
        <w:t xml:space="preserve">    邮编：            电话：</w:t>
      </w:r>
    </w:p>
    <w:p w14:paraId="5C8B9C91">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联系人：               </w:t>
      </w:r>
      <w:r>
        <w:rPr>
          <w:rFonts w:hint="eastAsia" w:cs="仿宋" w:asciiTheme="minorEastAsia" w:hAnsiTheme="minorEastAsia" w:eastAsiaTheme="minorEastAsia"/>
          <w:szCs w:val="21"/>
          <w:lang w:val="en-US" w:eastAsia="zh-CN"/>
        </w:rPr>
        <w:t xml:space="preserve">               </w:t>
      </w:r>
      <w:r>
        <w:rPr>
          <w:rFonts w:hint="eastAsia" w:cs="仿宋" w:asciiTheme="minorEastAsia" w:hAnsiTheme="minorEastAsia" w:eastAsiaTheme="minorEastAsia"/>
          <w:szCs w:val="21"/>
        </w:rPr>
        <w:t xml:space="preserve">  地址：</w:t>
      </w:r>
    </w:p>
    <w:p w14:paraId="112EDC08">
      <w:pPr>
        <w:spacing w:line="360" w:lineRule="auto"/>
        <w:ind w:firstLine="378" w:firstLineChars="180"/>
        <w:rPr>
          <w:rFonts w:cs="仿宋" w:asciiTheme="minorEastAsia" w:hAnsiTheme="minorEastAsia" w:eastAsiaTheme="minorEastAsia"/>
          <w:szCs w:val="21"/>
        </w:rPr>
      </w:pPr>
      <w:r>
        <w:rPr>
          <w:rFonts w:hint="eastAsia" w:cs="仿宋" w:asciiTheme="minorEastAsia" w:hAnsiTheme="minorEastAsia" w:eastAsiaTheme="minorEastAsia"/>
          <w:szCs w:val="21"/>
        </w:rPr>
        <w:t>竞</w:t>
      </w:r>
      <w:r>
        <w:rPr>
          <w:rFonts w:hint="eastAsia" w:cs="仿宋" w:asciiTheme="minorEastAsia" w:hAnsiTheme="minorEastAsia" w:eastAsiaTheme="minorEastAsia"/>
          <w:szCs w:val="21"/>
          <w:lang w:eastAsia="zh-CN"/>
        </w:rPr>
        <w:t>价</w:t>
      </w:r>
      <w:r>
        <w:rPr>
          <w:rFonts w:hint="eastAsia" w:cs="仿宋" w:asciiTheme="minorEastAsia" w:hAnsiTheme="minorEastAsia" w:eastAsiaTheme="minorEastAsia"/>
          <w:szCs w:val="21"/>
        </w:rPr>
        <w:t xml:space="preserve">单位（盖章）：     </w:t>
      </w:r>
      <w:r>
        <w:rPr>
          <w:rFonts w:hint="eastAsia" w:cs="仿宋" w:asciiTheme="minorEastAsia" w:hAnsiTheme="minorEastAsia" w:eastAsiaTheme="minorEastAsia"/>
          <w:szCs w:val="21"/>
          <w:lang w:val="en-US" w:eastAsia="zh-CN"/>
        </w:rPr>
        <w:t xml:space="preserve">               </w:t>
      </w:r>
      <w:r>
        <w:rPr>
          <w:rFonts w:hint="eastAsia" w:cs="仿宋" w:asciiTheme="minorEastAsia" w:hAnsiTheme="minorEastAsia" w:eastAsiaTheme="minorEastAsia"/>
          <w:szCs w:val="21"/>
        </w:rPr>
        <w:t xml:space="preserve">  法定代表人（签字或盖章）：</w:t>
      </w:r>
    </w:p>
    <w:p w14:paraId="21F0C739">
      <w:pPr>
        <w:spacing w:line="360" w:lineRule="auto"/>
        <w:ind w:firstLine="798" w:firstLineChars="38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szCs w:val="21"/>
          <w:lang w:val="en-US" w:eastAsia="zh-CN"/>
        </w:rPr>
        <w:t xml:space="preserve">               </w:t>
      </w:r>
      <w:r>
        <w:rPr>
          <w:rFonts w:hint="eastAsia" w:cs="仿宋" w:asciiTheme="minorEastAsia" w:hAnsiTheme="minorEastAsia" w:eastAsiaTheme="minorEastAsia"/>
          <w:szCs w:val="21"/>
        </w:rPr>
        <w:t xml:space="preserve">    受托代理人（签字）：</w:t>
      </w:r>
    </w:p>
    <w:p w14:paraId="7FBFA643">
      <w:pPr>
        <w:spacing w:line="360" w:lineRule="auto"/>
        <w:ind w:firstLine="378" w:firstLineChars="180"/>
        <w:rPr>
          <w:rFonts w:asciiTheme="minorEastAsia" w:hAnsiTheme="minorEastAsia" w:eastAsiaTheme="minorEastAsia"/>
          <w:szCs w:val="21"/>
        </w:rPr>
      </w:pP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szCs w:val="21"/>
          <w:lang w:val="en-US" w:eastAsia="zh-CN"/>
        </w:rPr>
        <w:t xml:space="preserve">                        </w:t>
      </w:r>
      <w:r>
        <w:rPr>
          <w:rFonts w:hint="eastAsia" w:cs="仿宋" w:asciiTheme="minorEastAsia" w:hAnsiTheme="minorEastAsia" w:eastAsiaTheme="minorEastAsia"/>
          <w:szCs w:val="21"/>
        </w:rPr>
        <w:t>　　年   月   日</w:t>
      </w:r>
    </w:p>
    <w:p w14:paraId="68FD5311">
      <w:pPr>
        <w:pStyle w:val="2"/>
      </w:pPr>
    </w:p>
    <w:p w14:paraId="6438E9D4"/>
    <w:p w14:paraId="49F1F8C9">
      <w:pPr>
        <w:pStyle w:val="2"/>
      </w:pPr>
    </w:p>
    <w:p w14:paraId="4EA0B362"/>
    <w:p w14:paraId="09FEBD37"/>
    <w:p w14:paraId="56984EF9">
      <w:pPr>
        <w:pStyle w:val="2"/>
      </w:pPr>
    </w:p>
    <w:p w14:paraId="025FA9DC">
      <w:pPr>
        <w:snapToGrid w:val="0"/>
        <w:spacing w:line="300" w:lineRule="auto"/>
        <w:rPr>
          <w:rFonts w:hint="eastAsia" w:ascii="仿宋_GB2312" w:hAnsi="宋体" w:eastAsiaTheme="minorEastAsia"/>
          <w:b/>
          <w:sz w:val="28"/>
          <w:szCs w:val="28"/>
          <w:lang w:eastAsia="zh-CN"/>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2：</w:t>
      </w:r>
    </w:p>
    <w:p w14:paraId="51FC8AA5">
      <w:pPr>
        <w:snapToGrid w:val="0"/>
        <w:spacing w:line="360" w:lineRule="auto"/>
        <w:ind w:firstLine="422" w:firstLineChars="150"/>
        <w:jc w:val="center"/>
        <w:rPr>
          <w:rFonts w:hint="eastAsia" w:asciiTheme="minorEastAsia" w:hAnsiTheme="minorEastAsia" w:eastAsiaTheme="minorEastAsia"/>
          <w:b/>
          <w:sz w:val="28"/>
          <w:szCs w:val="28"/>
        </w:rPr>
      </w:pPr>
    </w:p>
    <w:p w14:paraId="76003BCB">
      <w:pPr>
        <w:snapToGrid w:val="0"/>
        <w:spacing w:line="360" w:lineRule="auto"/>
        <w:ind w:firstLine="422" w:firstLineChars="15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报价总表</w:t>
      </w:r>
    </w:p>
    <w:tbl>
      <w:tblPr>
        <w:tblStyle w:val="14"/>
        <w:tblW w:w="9124" w:type="dxa"/>
        <w:tblInd w:w="95" w:type="dxa"/>
        <w:tblLayout w:type="autofit"/>
        <w:tblCellMar>
          <w:top w:w="0" w:type="dxa"/>
          <w:left w:w="108" w:type="dxa"/>
          <w:bottom w:w="0" w:type="dxa"/>
          <w:right w:w="108" w:type="dxa"/>
        </w:tblCellMar>
      </w:tblPr>
      <w:tblGrid>
        <w:gridCol w:w="5965"/>
        <w:gridCol w:w="222"/>
        <w:gridCol w:w="222"/>
        <w:gridCol w:w="2493"/>
        <w:gridCol w:w="222"/>
      </w:tblGrid>
      <w:tr w14:paraId="76E58858">
        <w:tblPrEx>
          <w:tblCellMar>
            <w:top w:w="0" w:type="dxa"/>
            <w:left w:w="108" w:type="dxa"/>
            <w:bottom w:w="0" w:type="dxa"/>
            <w:right w:w="108" w:type="dxa"/>
          </w:tblCellMar>
        </w:tblPrEx>
        <w:trPr>
          <w:trHeight w:val="390" w:hRule="atLeast"/>
        </w:trPr>
        <w:tc>
          <w:tcPr>
            <w:tcW w:w="5965" w:type="dxa"/>
            <w:tcBorders>
              <w:top w:val="nil"/>
              <w:left w:val="nil"/>
              <w:bottom w:val="nil"/>
              <w:right w:val="nil"/>
            </w:tcBorders>
            <w:noWrap/>
            <w:vAlign w:val="center"/>
          </w:tcPr>
          <w:p w14:paraId="43BC42C6">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响应人（全称并加盖公章）：</w:t>
            </w:r>
          </w:p>
        </w:tc>
        <w:tc>
          <w:tcPr>
            <w:tcW w:w="222" w:type="dxa"/>
            <w:tcBorders>
              <w:top w:val="nil"/>
              <w:left w:val="nil"/>
              <w:bottom w:val="nil"/>
              <w:right w:val="nil"/>
            </w:tcBorders>
            <w:noWrap/>
            <w:vAlign w:val="center"/>
          </w:tcPr>
          <w:p w14:paraId="22E8AFA4">
            <w:pPr>
              <w:widowControl/>
              <w:jc w:val="left"/>
              <w:rPr>
                <w:rFonts w:cs="宋体" w:asciiTheme="minorEastAsia" w:hAnsiTheme="minorEastAsia" w:eastAsiaTheme="minorEastAsia"/>
                <w:kern w:val="0"/>
                <w:szCs w:val="21"/>
              </w:rPr>
            </w:pPr>
          </w:p>
        </w:tc>
        <w:tc>
          <w:tcPr>
            <w:tcW w:w="222" w:type="dxa"/>
            <w:tcBorders>
              <w:top w:val="nil"/>
              <w:left w:val="nil"/>
              <w:bottom w:val="nil"/>
              <w:right w:val="nil"/>
            </w:tcBorders>
            <w:noWrap/>
            <w:vAlign w:val="center"/>
          </w:tcPr>
          <w:p w14:paraId="03E5BFEE">
            <w:pPr>
              <w:widowControl/>
              <w:jc w:val="left"/>
              <w:rPr>
                <w:rFonts w:cs="宋体" w:asciiTheme="minorEastAsia" w:hAnsiTheme="minorEastAsia" w:eastAsiaTheme="minorEastAsia"/>
                <w:kern w:val="0"/>
                <w:szCs w:val="21"/>
              </w:rPr>
            </w:pPr>
          </w:p>
        </w:tc>
        <w:tc>
          <w:tcPr>
            <w:tcW w:w="2493" w:type="dxa"/>
            <w:tcBorders>
              <w:top w:val="nil"/>
              <w:left w:val="nil"/>
              <w:bottom w:val="nil"/>
              <w:right w:val="nil"/>
            </w:tcBorders>
            <w:noWrap/>
            <w:vAlign w:val="center"/>
          </w:tcPr>
          <w:p w14:paraId="625299F2">
            <w:pPr>
              <w:widowControl/>
              <w:jc w:val="left"/>
              <w:rPr>
                <w:rFonts w:cs="宋体" w:asciiTheme="minorEastAsia" w:hAnsiTheme="minorEastAsia" w:eastAsiaTheme="minorEastAsia"/>
                <w:kern w:val="0"/>
                <w:szCs w:val="21"/>
              </w:rPr>
            </w:pPr>
          </w:p>
        </w:tc>
        <w:tc>
          <w:tcPr>
            <w:tcW w:w="222" w:type="dxa"/>
            <w:tcBorders>
              <w:top w:val="nil"/>
              <w:left w:val="nil"/>
              <w:bottom w:val="nil"/>
              <w:right w:val="nil"/>
            </w:tcBorders>
            <w:noWrap/>
            <w:vAlign w:val="center"/>
          </w:tcPr>
          <w:p w14:paraId="5EB81B1F">
            <w:pPr>
              <w:widowControl/>
              <w:jc w:val="left"/>
              <w:rPr>
                <w:rFonts w:cs="宋体" w:asciiTheme="minorEastAsia" w:hAnsiTheme="minorEastAsia" w:eastAsiaTheme="minorEastAsia"/>
                <w:kern w:val="0"/>
                <w:szCs w:val="21"/>
              </w:rPr>
            </w:pPr>
          </w:p>
        </w:tc>
      </w:tr>
      <w:tr w14:paraId="44746963">
        <w:tblPrEx>
          <w:tblCellMar>
            <w:top w:w="0" w:type="dxa"/>
            <w:left w:w="108" w:type="dxa"/>
            <w:bottom w:w="0" w:type="dxa"/>
            <w:right w:w="108" w:type="dxa"/>
          </w:tblCellMar>
        </w:tblPrEx>
        <w:trPr>
          <w:trHeight w:val="405" w:hRule="atLeast"/>
        </w:trPr>
        <w:tc>
          <w:tcPr>
            <w:tcW w:w="5965" w:type="dxa"/>
            <w:tcBorders>
              <w:top w:val="nil"/>
              <w:left w:val="nil"/>
              <w:bottom w:val="nil"/>
              <w:right w:val="nil"/>
            </w:tcBorders>
            <w:noWrap/>
            <w:vAlign w:val="center"/>
          </w:tcPr>
          <w:p w14:paraId="0FB60A9C">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222" w:type="dxa"/>
            <w:tcBorders>
              <w:top w:val="nil"/>
              <w:left w:val="nil"/>
              <w:bottom w:val="nil"/>
              <w:right w:val="nil"/>
            </w:tcBorders>
            <w:noWrap/>
            <w:vAlign w:val="center"/>
          </w:tcPr>
          <w:p w14:paraId="6568454B">
            <w:pPr>
              <w:widowControl/>
              <w:jc w:val="left"/>
              <w:rPr>
                <w:rFonts w:cs="宋体" w:asciiTheme="minorEastAsia" w:hAnsiTheme="minorEastAsia" w:eastAsiaTheme="minorEastAsia"/>
                <w:kern w:val="0"/>
                <w:szCs w:val="21"/>
              </w:rPr>
            </w:pPr>
          </w:p>
        </w:tc>
        <w:tc>
          <w:tcPr>
            <w:tcW w:w="222" w:type="dxa"/>
            <w:tcBorders>
              <w:top w:val="nil"/>
              <w:left w:val="nil"/>
              <w:bottom w:val="nil"/>
              <w:right w:val="nil"/>
            </w:tcBorders>
            <w:noWrap/>
            <w:vAlign w:val="center"/>
          </w:tcPr>
          <w:p w14:paraId="0D27F6FE">
            <w:pPr>
              <w:widowControl/>
              <w:jc w:val="left"/>
              <w:rPr>
                <w:rFonts w:cs="宋体" w:asciiTheme="minorEastAsia" w:hAnsiTheme="minorEastAsia" w:eastAsiaTheme="minorEastAsia"/>
                <w:kern w:val="0"/>
                <w:szCs w:val="21"/>
              </w:rPr>
            </w:pPr>
          </w:p>
        </w:tc>
        <w:tc>
          <w:tcPr>
            <w:tcW w:w="2493" w:type="dxa"/>
            <w:tcBorders>
              <w:top w:val="nil"/>
              <w:left w:val="nil"/>
              <w:bottom w:val="nil"/>
              <w:right w:val="nil"/>
            </w:tcBorders>
            <w:noWrap/>
            <w:vAlign w:val="center"/>
          </w:tcPr>
          <w:p w14:paraId="65F1A69B">
            <w:pPr>
              <w:widowControl/>
              <w:jc w:val="left"/>
              <w:rPr>
                <w:rFonts w:cs="宋体" w:asciiTheme="minorEastAsia" w:hAnsiTheme="minorEastAsia" w:eastAsiaTheme="minorEastAsia"/>
                <w:kern w:val="0"/>
                <w:szCs w:val="21"/>
              </w:rPr>
            </w:pPr>
          </w:p>
        </w:tc>
        <w:tc>
          <w:tcPr>
            <w:tcW w:w="222" w:type="dxa"/>
            <w:tcBorders>
              <w:top w:val="nil"/>
              <w:left w:val="nil"/>
              <w:bottom w:val="nil"/>
              <w:right w:val="nil"/>
            </w:tcBorders>
            <w:noWrap/>
            <w:vAlign w:val="center"/>
          </w:tcPr>
          <w:p w14:paraId="0A8C7596">
            <w:pPr>
              <w:widowControl/>
              <w:jc w:val="left"/>
              <w:rPr>
                <w:rFonts w:cs="宋体" w:asciiTheme="minorEastAsia" w:hAnsiTheme="minorEastAsia" w:eastAsiaTheme="minorEastAsia"/>
                <w:kern w:val="0"/>
                <w:szCs w:val="21"/>
              </w:rPr>
            </w:pPr>
          </w:p>
        </w:tc>
      </w:tr>
      <w:tr w14:paraId="092C852A">
        <w:tblPrEx>
          <w:tblCellMar>
            <w:top w:w="0" w:type="dxa"/>
            <w:left w:w="108" w:type="dxa"/>
            <w:bottom w:w="0" w:type="dxa"/>
            <w:right w:w="108" w:type="dxa"/>
          </w:tblCellMar>
        </w:tblPrEx>
        <w:trPr>
          <w:trHeight w:val="420" w:hRule="atLeast"/>
        </w:trPr>
        <w:tc>
          <w:tcPr>
            <w:tcW w:w="5965" w:type="dxa"/>
            <w:tcBorders>
              <w:top w:val="nil"/>
              <w:left w:val="nil"/>
              <w:bottom w:val="nil"/>
              <w:right w:val="nil"/>
            </w:tcBorders>
            <w:noWrap/>
            <w:vAlign w:val="center"/>
          </w:tcPr>
          <w:p w14:paraId="0D1C11BA">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项目编号：</w:t>
            </w:r>
          </w:p>
        </w:tc>
        <w:tc>
          <w:tcPr>
            <w:tcW w:w="222" w:type="dxa"/>
            <w:tcBorders>
              <w:top w:val="nil"/>
              <w:left w:val="nil"/>
              <w:bottom w:val="nil"/>
              <w:right w:val="nil"/>
            </w:tcBorders>
            <w:noWrap/>
            <w:vAlign w:val="center"/>
          </w:tcPr>
          <w:p w14:paraId="75C057B4">
            <w:pPr>
              <w:widowControl/>
              <w:jc w:val="left"/>
              <w:rPr>
                <w:rFonts w:cs="宋体" w:asciiTheme="minorEastAsia" w:hAnsiTheme="minorEastAsia" w:eastAsiaTheme="minorEastAsia"/>
                <w:kern w:val="0"/>
                <w:szCs w:val="21"/>
              </w:rPr>
            </w:pPr>
          </w:p>
        </w:tc>
        <w:tc>
          <w:tcPr>
            <w:tcW w:w="222" w:type="dxa"/>
            <w:tcBorders>
              <w:top w:val="nil"/>
              <w:left w:val="nil"/>
              <w:bottom w:val="nil"/>
              <w:right w:val="nil"/>
            </w:tcBorders>
            <w:noWrap/>
            <w:vAlign w:val="center"/>
          </w:tcPr>
          <w:p w14:paraId="1C542B58">
            <w:pPr>
              <w:widowControl/>
              <w:jc w:val="left"/>
              <w:rPr>
                <w:rFonts w:cs="宋体" w:asciiTheme="minorEastAsia" w:hAnsiTheme="minorEastAsia" w:eastAsiaTheme="minorEastAsia"/>
                <w:kern w:val="0"/>
                <w:szCs w:val="21"/>
              </w:rPr>
            </w:pPr>
          </w:p>
        </w:tc>
        <w:tc>
          <w:tcPr>
            <w:tcW w:w="2493" w:type="dxa"/>
            <w:tcBorders>
              <w:top w:val="nil"/>
              <w:left w:val="nil"/>
              <w:bottom w:val="nil"/>
              <w:right w:val="nil"/>
            </w:tcBorders>
            <w:noWrap/>
            <w:vAlign w:val="center"/>
          </w:tcPr>
          <w:p w14:paraId="58120DD9">
            <w:pPr>
              <w:widowControl/>
              <w:jc w:val="left"/>
              <w:rPr>
                <w:rFonts w:cs="宋体" w:asciiTheme="minorEastAsia" w:hAnsiTheme="minorEastAsia" w:eastAsiaTheme="minorEastAsia"/>
                <w:kern w:val="0"/>
                <w:szCs w:val="21"/>
              </w:rPr>
            </w:pPr>
          </w:p>
        </w:tc>
        <w:tc>
          <w:tcPr>
            <w:tcW w:w="222" w:type="dxa"/>
            <w:tcBorders>
              <w:top w:val="nil"/>
              <w:left w:val="nil"/>
              <w:bottom w:val="nil"/>
              <w:right w:val="nil"/>
            </w:tcBorders>
            <w:noWrap/>
            <w:vAlign w:val="center"/>
          </w:tcPr>
          <w:p w14:paraId="4D2DDCB1">
            <w:pPr>
              <w:widowControl/>
              <w:jc w:val="left"/>
              <w:rPr>
                <w:rFonts w:cs="宋体" w:asciiTheme="minorEastAsia" w:hAnsiTheme="minorEastAsia" w:eastAsiaTheme="minorEastAsia"/>
                <w:kern w:val="0"/>
                <w:szCs w:val="21"/>
              </w:rPr>
            </w:pPr>
          </w:p>
        </w:tc>
      </w:tr>
      <w:tr w14:paraId="503587D7">
        <w:tblPrEx>
          <w:tblCellMar>
            <w:top w:w="0" w:type="dxa"/>
            <w:left w:w="108" w:type="dxa"/>
            <w:bottom w:w="0" w:type="dxa"/>
            <w:right w:w="108" w:type="dxa"/>
          </w:tblCellMar>
        </w:tblPrEx>
        <w:trPr>
          <w:trHeight w:val="525" w:hRule="atLeast"/>
        </w:trPr>
        <w:tc>
          <w:tcPr>
            <w:tcW w:w="5965" w:type="dxa"/>
            <w:vMerge w:val="restart"/>
            <w:tcBorders>
              <w:top w:val="single" w:color="auto" w:sz="4" w:space="0"/>
              <w:left w:val="single" w:color="auto" w:sz="4" w:space="0"/>
              <w:bottom w:val="single" w:color="auto" w:sz="4" w:space="0"/>
              <w:right w:val="single" w:color="auto" w:sz="4" w:space="0"/>
            </w:tcBorders>
            <w:noWrap/>
            <w:vAlign w:val="center"/>
          </w:tcPr>
          <w:p w14:paraId="018266AC">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投标总报价</w:t>
            </w:r>
          </w:p>
        </w:tc>
        <w:tc>
          <w:tcPr>
            <w:tcW w:w="3159" w:type="dxa"/>
            <w:gridSpan w:val="4"/>
            <w:tcBorders>
              <w:top w:val="single" w:color="auto" w:sz="4" w:space="0"/>
              <w:left w:val="nil"/>
              <w:bottom w:val="single" w:color="auto" w:sz="4" w:space="0"/>
              <w:right w:val="single" w:color="auto" w:sz="4" w:space="0"/>
            </w:tcBorders>
            <w:noWrap/>
            <w:vAlign w:val="center"/>
          </w:tcPr>
          <w:p w14:paraId="3B75562C">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大写：</w:t>
            </w:r>
          </w:p>
        </w:tc>
      </w:tr>
      <w:tr w14:paraId="42E56F4B">
        <w:tblPrEx>
          <w:tblCellMar>
            <w:top w:w="0" w:type="dxa"/>
            <w:left w:w="108" w:type="dxa"/>
            <w:bottom w:w="0" w:type="dxa"/>
            <w:right w:w="108" w:type="dxa"/>
          </w:tblCellMar>
        </w:tblPrEx>
        <w:trPr>
          <w:trHeight w:val="525" w:hRule="atLeast"/>
        </w:trPr>
        <w:tc>
          <w:tcPr>
            <w:tcW w:w="5965" w:type="dxa"/>
            <w:vMerge w:val="continue"/>
            <w:tcBorders>
              <w:top w:val="single" w:color="auto" w:sz="4" w:space="0"/>
              <w:left w:val="single" w:color="auto" w:sz="4" w:space="0"/>
              <w:bottom w:val="single" w:color="auto" w:sz="4" w:space="0"/>
              <w:right w:val="single" w:color="auto" w:sz="4" w:space="0"/>
            </w:tcBorders>
            <w:vAlign w:val="center"/>
          </w:tcPr>
          <w:p w14:paraId="0D965F25">
            <w:pPr>
              <w:widowControl/>
              <w:jc w:val="left"/>
              <w:rPr>
                <w:rFonts w:cs="宋体" w:asciiTheme="minorEastAsia" w:hAnsiTheme="minorEastAsia" w:eastAsiaTheme="minorEastAsia"/>
                <w:kern w:val="0"/>
                <w:szCs w:val="21"/>
              </w:rPr>
            </w:pPr>
          </w:p>
        </w:tc>
        <w:tc>
          <w:tcPr>
            <w:tcW w:w="3159" w:type="dxa"/>
            <w:gridSpan w:val="4"/>
            <w:tcBorders>
              <w:top w:val="single" w:color="auto" w:sz="4" w:space="0"/>
              <w:left w:val="nil"/>
              <w:bottom w:val="single" w:color="auto" w:sz="4" w:space="0"/>
              <w:right w:val="single" w:color="auto" w:sz="4" w:space="0"/>
            </w:tcBorders>
            <w:noWrap/>
            <w:vAlign w:val="center"/>
          </w:tcPr>
          <w:p w14:paraId="5720B6D0">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小写：</w:t>
            </w:r>
          </w:p>
        </w:tc>
      </w:tr>
    </w:tbl>
    <w:p w14:paraId="6C57A59E">
      <w:pPr>
        <w:snapToGrid w:val="0"/>
        <w:spacing w:line="360" w:lineRule="auto"/>
        <w:rPr>
          <w:rFonts w:asciiTheme="minorEastAsia" w:hAnsiTheme="minorEastAsia" w:eastAsiaTheme="minorEastAsia"/>
          <w:b/>
          <w:szCs w:val="21"/>
        </w:rPr>
      </w:pPr>
    </w:p>
    <w:p w14:paraId="5198AE5B">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注：最后报价由交易响应人在评审现场按竞</w:t>
      </w:r>
      <w:r>
        <w:rPr>
          <w:rFonts w:hint="eastAsia" w:asciiTheme="minorEastAsia" w:hAnsiTheme="minorEastAsia" w:eastAsiaTheme="minorEastAsia"/>
          <w:b/>
          <w:szCs w:val="21"/>
          <w:lang w:eastAsia="zh-CN"/>
        </w:rPr>
        <w:t>价</w:t>
      </w:r>
      <w:r>
        <w:rPr>
          <w:rFonts w:hint="eastAsia" w:asciiTheme="minorEastAsia" w:hAnsiTheme="minorEastAsia" w:eastAsiaTheme="minorEastAsia"/>
          <w:b/>
          <w:szCs w:val="21"/>
        </w:rPr>
        <w:t>小组要求填写。</w:t>
      </w:r>
    </w:p>
    <w:p w14:paraId="13F19646">
      <w:pPr>
        <w:spacing w:line="440" w:lineRule="exact"/>
        <w:jc w:val="center"/>
        <w:outlineLvl w:val="1"/>
        <w:rPr>
          <w:rFonts w:cs="宋体" w:asciiTheme="minorEastAsia" w:hAnsiTheme="minorEastAsia" w:eastAsiaTheme="minorEastAsia"/>
          <w:b/>
          <w:bCs/>
          <w:color w:val="000000"/>
          <w:kern w:val="0"/>
          <w:szCs w:val="21"/>
        </w:rPr>
      </w:pPr>
    </w:p>
    <w:p w14:paraId="340AB91D">
      <w:pPr>
        <w:spacing w:line="440" w:lineRule="exact"/>
        <w:jc w:val="center"/>
        <w:outlineLvl w:val="1"/>
        <w:rPr>
          <w:rFonts w:cs="宋体" w:asciiTheme="minorEastAsia" w:hAnsiTheme="minorEastAsia" w:eastAsiaTheme="minorEastAsia"/>
          <w:b/>
          <w:bCs/>
          <w:color w:val="000000"/>
          <w:kern w:val="0"/>
          <w:sz w:val="28"/>
          <w:szCs w:val="28"/>
        </w:rPr>
      </w:pPr>
    </w:p>
    <w:p w14:paraId="1DD731A3">
      <w:pPr>
        <w:spacing w:line="440" w:lineRule="exact"/>
        <w:jc w:val="center"/>
        <w:outlineLvl w:val="1"/>
        <w:rPr>
          <w:rFonts w:cs="宋体" w:asciiTheme="minorEastAsia" w:hAnsiTheme="minorEastAsia" w:eastAsiaTheme="minorEastAsia"/>
          <w:b/>
          <w:bCs/>
          <w:color w:val="000000"/>
          <w:kern w:val="0"/>
          <w:sz w:val="28"/>
          <w:szCs w:val="28"/>
        </w:rPr>
      </w:pPr>
    </w:p>
    <w:p w14:paraId="5C83229F">
      <w:pPr>
        <w:snapToGrid w:val="0"/>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w:t>
      </w:r>
      <w:bookmarkStart w:id="16" w:name="_Toc217446086"/>
    </w:p>
    <w:p w14:paraId="5DBFA0CE">
      <w:pPr>
        <w:snapToGrid w:val="0"/>
        <w:spacing w:line="300" w:lineRule="auto"/>
        <w:jc w:val="center"/>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分项报价明细表</w:t>
      </w:r>
      <w:bookmarkEnd w:id="16"/>
    </w:p>
    <w:p w14:paraId="2E185EFD">
      <w:pPr>
        <w:snapToGrid w:val="0"/>
        <w:spacing w:line="300" w:lineRule="auto"/>
        <w:jc w:val="center"/>
        <w:rPr>
          <w:rFonts w:asciiTheme="minorEastAsia" w:hAnsiTheme="minorEastAsia" w:eastAsiaTheme="minorEastAsia"/>
          <w:b/>
          <w:sz w:val="28"/>
          <w:szCs w:val="28"/>
        </w:rPr>
      </w:pPr>
    </w:p>
    <w:p w14:paraId="6D936155">
      <w:pPr>
        <w:snapToGrid w:val="0"/>
        <w:spacing w:line="360" w:lineRule="auto"/>
        <w:rPr>
          <w:rFonts w:asciiTheme="minorEastAsia" w:hAnsiTheme="minorEastAsia" w:eastAsiaTheme="minorEastAsia"/>
          <w:color w:val="000000"/>
          <w:szCs w:val="21"/>
        </w:rPr>
      </w:pPr>
      <w:r>
        <w:rPr>
          <w:rFonts w:hint="eastAsia" w:asciiTheme="minorEastAsia" w:hAnsiTheme="minorEastAsia" w:eastAsiaTheme="minorEastAsia"/>
          <w:szCs w:val="21"/>
        </w:rPr>
        <w:t>交易响应人（盖章）：</w:t>
      </w:r>
    </w:p>
    <w:tbl>
      <w:tblPr>
        <w:tblStyle w:val="14"/>
        <w:tblW w:w="4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238"/>
        <w:gridCol w:w="972"/>
        <w:gridCol w:w="1061"/>
        <w:gridCol w:w="705"/>
        <w:gridCol w:w="705"/>
        <w:gridCol w:w="718"/>
        <w:gridCol w:w="794"/>
        <w:gridCol w:w="1266"/>
        <w:gridCol w:w="1096"/>
      </w:tblGrid>
      <w:tr w14:paraId="6C99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314" w:type="pct"/>
            <w:vAlign w:val="center"/>
          </w:tcPr>
          <w:p w14:paraId="2483F917">
            <w:pPr>
              <w:snapToGrid w:val="0"/>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678" w:type="pct"/>
            <w:vAlign w:val="center"/>
          </w:tcPr>
          <w:p w14:paraId="09908130">
            <w:pPr>
              <w:snapToGrid w:val="0"/>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532" w:type="pct"/>
            <w:vAlign w:val="center"/>
          </w:tcPr>
          <w:p w14:paraId="0D77F192">
            <w:pPr>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品牌、规格型号</w:t>
            </w:r>
          </w:p>
        </w:tc>
        <w:tc>
          <w:tcPr>
            <w:tcW w:w="581" w:type="pct"/>
            <w:vAlign w:val="center"/>
          </w:tcPr>
          <w:p w14:paraId="6EAD566A">
            <w:pPr>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技术参数规格</w:t>
            </w:r>
          </w:p>
        </w:tc>
        <w:tc>
          <w:tcPr>
            <w:tcW w:w="386" w:type="pct"/>
            <w:vAlign w:val="center"/>
          </w:tcPr>
          <w:p w14:paraId="0D5D1B82">
            <w:pPr>
              <w:snapToGrid w:val="0"/>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单位</w:t>
            </w:r>
          </w:p>
        </w:tc>
        <w:tc>
          <w:tcPr>
            <w:tcW w:w="386" w:type="pct"/>
            <w:vAlign w:val="center"/>
          </w:tcPr>
          <w:p w14:paraId="362EB1CF">
            <w:pPr>
              <w:snapToGrid w:val="0"/>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p>
        </w:tc>
        <w:tc>
          <w:tcPr>
            <w:tcW w:w="392" w:type="pct"/>
            <w:vAlign w:val="center"/>
          </w:tcPr>
          <w:p w14:paraId="022900B4">
            <w:pPr>
              <w:snapToGrid w:val="0"/>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435" w:type="pct"/>
            <w:vAlign w:val="center"/>
          </w:tcPr>
          <w:p w14:paraId="0D7F1B71">
            <w:pPr>
              <w:snapToGrid w:val="0"/>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合计</w:t>
            </w:r>
          </w:p>
          <w:p w14:paraId="60A17EFA">
            <w:pPr>
              <w:snapToGrid w:val="0"/>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693" w:type="pct"/>
            <w:vAlign w:val="center"/>
          </w:tcPr>
          <w:p w14:paraId="0EAD0F3D">
            <w:pPr>
              <w:snapToGrid w:val="0"/>
              <w:spacing w:line="360" w:lineRule="auto"/>
              <w:ind w:firstLine="105" w:firstLineChars="50"/>
              <w:jc w:val="center"/>
              <w:rPr>
                <w:rFonts w:asciiTheme="minorEastAsia" w:hAnsiTheme="minorEastAsia" w:eastAsiaTheme="minorEastAsia"/>
                <w:b/>
                <w:color w:val="000000"/>
                <w:szCs w:val="21"/>
              </w:rPr>
            </w:pPr>
            <w:r>
              <w:rPr>
                <w:b/>
                <w:kern w:val="0"/>
                <w:szCs w:val="21"/>
              </w:rPr>
              <w:t>生产厂家</w:t>
            </w:r>
          </w:p>
        </w:tc>
        <w:tc>
          <w:tcPr>
            <w:tcW w:w="600" w:type="pct"/>
            <w:vAlign w:val="center"/>
          </w:tcPr>
          <w:p w14:paraId="6F2AA5CF">
            <w:pPr>
              <w:snapToGrid w:val="0"/>
              <w:spacing w:line="360" w:lineRule="auto"/>
              <w:ind w:firstLine="105" w:firstLineChars="50"/>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备注</w:t>
            </w:r>
          </w:p>
        </w:tc>
      </w:tr>
      <w:tr w14:paraId="197C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314" w:type="pct"/>
            <w:vAlign w:val="center"/>
          </w:tcPr>
          <w:p w14:paraId="50347930">
            <w:pPr>
              <w:snapToGrid w:val="0"/>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678" w:type="pct"/>
            <w:vAlign w:val="center"/>
          </w:tcPr>
          <w:p w14:paraId="5E6C2009">
            <w:pPr>
              <w:snapToGrid w:val="0"/>
              <w:spacing w:line="360" w:lineRule="auto"/>
              <w:jc w:val="center"/>
              <w:rPr>
                <w:rFonts w:asciiTheme="minorEastAsia" w:hAnsiTheme="minorEastAsia" w:eastAsiaTheme="minorEastAsia"/>
                <w:color w:val="000000"/>
                <w:szCs w:val="21"/>
              </w:rPr>
            </w:pPr>
          </w:p>
        </w:tc>
        <w:tc>
          <w:tcPr>
            <w:tcW w:w="532" w:type="pct"/>
            <w:vAlign w:val="center"/>
          </w:tcPr>
          <w:p w14:paraId="2C092FE0">
            <w:pPr>
              <w:snapToGrid w:val="0"/>
              <w:spacing w:line="360" w:lineRule="auto"/>
              <w:jc w:val="center"/>
              <w:rPr>
                <w:rFonts w:asciiTheme="minorEastAsia" w:hAnsiTheme="minorEastAsia" w:eastAsiaTheme="minorEastAsia"/>
                <w:color w:val="000000"/>
                <w:szCs w:val="21"/>
              </w:rPr>
            </w:pPr>
          </w:p>
        </w:tc>
        <w:tc>
          <w:tcPr>
            <w:tcW w:w="581" w:type="pct"/>
            <w:vAlign w:val="center"/>
          </w:tcPr>
          <w:p w14:paraId="445F5FF2">
            <w:pPr>
              <w:snapToGrid w:val="0"/>
              <w:spacing w:line="360" w:lineRule="auto"/>
              <w:jc w:val="center"/>
              <w:rPr>
                <w:rFonts w:asciiTheme="minorEastAsia" w:hAnsiTheme="minorEastAsia" w:eastAsiaTheme="minorEastAsia"/>
                <w:color w:val="000000"/>
                <w:szCs w:val="21"/>
              </w:rPr>
            </w:pPr>
          </w:p>
        </w:tc>
        <w:tc>
          <w:tcPr>
            <w:tcW w:w="386" w:type="pct"/>
            <w:vAlign w:val="center"/>
          </w:tcPr>
          <w:p w14:paraId="2DABAFB6">
            <w:pPr>
              <w:snapToGrid w:val="0"/>
              <w:spacing w:line="360" w:lineRule="auto"/>
              <w:jc w:val="center"/>
              <w:rPr>
                <w:rFonts w:asciiTheme="minorEastAsia" w:hAnsiTheme="minorEastAsia" w:eastAsiaTheme="minorEastAsia"/>
                <w:color w:val="000000"/>
                <w:szCs w:val="21"/>
              </w:rPr>
            </w:pPr>
          </w:p>
        </w:tc>
        <w:tc>
          <w:tcPr>
            <w:tcW w:w="386" w:type="pct"/>
            <w:vAlign w:val="center"/>
          </w:tcPr>
          <w:p w14:paraId="1ADDC428">
            <w:pPr>
              <w:snapToGrid w:val="0"/>
              <w:spacing w:line="360" w:lineRule="auto"/>
              <w:jc w:val="center"/>
              <w:rPr>
                <w:rFonts w:asciiTheme="minorEastAsia" w:hAnsiTheme="minorEastAsia" w:eastAsiaTheme="minorEastAsia"/>
                <w:color w:val="000000"/>
                <w:szCs w:val="21"/>
              </w:rPr>
            </w:pPr>
          </w:p>
        </w:tc>
        <w:tc>
          <w:tcPr>
            <w:tcW w:w="392" w:type="pct"/>
            <w:vAlign w:val="center"/>
          </w:tcPr>
          <w:p w14:paraId="45EE9448">
            <w:pPr>
              <w:snapToGrid w:val="0"/>
              <w:spacing w:line="360" w:lineRule="auto"/>
              <w:jc w:val="center"/>
              <w:rPr>
                <w:rFonts w:asciiTheme="minorEastAsia" w:hAnsiTheme="minorEastAsia" w:eastAsiaTheme="minorEastAsia"/>
                <w:color w:val="000000"/>
                <w:szCs w:val="21"/>
              </w:rPr>
            </w:pPr>
          </w:p>
        </w:tc>
        <w:tc>
          <w:tcPr>
            <w:tcW w:w="435" w:type="pct"/>
            <w:vAlign w:val="center"/>
          </w:tcPr>
          <w:p w14:paraId="40B32AA4">
            <w:pPr>
              <w:snapToGrid w:val="0"/>
              <w:spacing w:line="360" w:lineRule="auto"/>
              <w:jc w:val="center"/>
              <w:rPr>
                <w:rFonts w:asciiTheme="minorEastAsia" w:hAnsiTheme="minorEastAsia" w:eastAsiaTheme="minorEastAsia"/>
                <w:color w:val="000000"/>
                <w:szCs w:val="21"/>
              </w:rPr>
            </w:pPr>
          </w:p>
        </w:tc>
        <w:tc>
          <w:tcPr>
            <w:tcW w:w="693" w:type="pct"/>
          </w:tcPr>
          <w:p w14:paraId="43EFEA1B">
            <w:pPr>
              <w:snapToGrid w:val="0"/>
              <w:spacing w:line="360" w:lineRule="auto"/>
              <w:jc w:val="center"/>
              <w:rPr>
                <w:rFonts w:asciiTheme="minorEastAsia" w:hAnsiTheme="minorEastAsia" w:eastAsiaTheme="minorEastAsia"/>
                <w:color w:val="000000"/>
                <w:szCs w:val="21"/>
              </w:rPr>
            </w:pPr>
          </w:p>
        </w:tc>
        <w:tc>
          <w:tcPr>
            <w:tcW w:w="600" w:type="pct"/>
            <w:vAlign w:val="center"/>
          </w:tcPr>
          <w:p w14:paraId="263535D4">
            <w:pPr>
              <w:snapToGrid w:val="0"/>
              <w:spacing w:line="360" w:lineRule="auto"/>
              <w:jc w:val="center"/>
              <w:rPr>
                <w:rFonts w:asciiTheme="minorEastAsia" w:hAnsiTheme="minorEastAsia" w:eastAsiaTheme="minorEastAsia"/>
                <w:color w:val="000000"/>
                <w:szCs w:val="21"/>
              </w:rPr>
            </w:pPr>
          </w:p>
        </w:tc>
      </w:tr>
      <w:tr w14:paraId="29B7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2" w:hRule="atLeast"/>
          <w:jc w:val="center"/>
        </w:trPr>
        <w:tc>
          <w:tcPr>
            <w:tcW w:w="314" w:type="pct"/>
            <w:vAlign w:val="center"/>
          </w:tcPr>
          <w:p w14:paraId="73BDF080">
            <w:pPr>
              <w:snapToGrid w:val="0"/>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678" w:type="pct"/>
            <w:vAlign w:val="center"/>
          </w:tcPr>
          <w:p w14:paraId="0D90B4DD">
            <w:pPr>
              <w:snapToGrid w:val="0"/>
              <w:spacing w:line="360" w:lineRule="auto"/>
              <w:jc w:val="center"/>
              <w:rPr>
                <w:rFonts w:asciiTheme="minorEastAsia" w:hAnsiTheme="minorEastAsia" w:eastAsiaTheme="minorEastAsia"/>
                <w:color w:val="000000"/>
                <w:szCs w:val="21"/>
              </w:rPr>
            </w:pPr>
          </w:p>
        </w:tc>
        <w:tc>
          <w:tcPr>
            <w:tcW w:w="532" w:type="pct"/>
            <w:vAlign w:val="center"/>
          </w:tcPr>
          <w:p w14:paraId="215F4B0F">
            <w:pPr>
              <w:snapToGrid w:val="0"/>
              <w:spacing w:line="360" w:lineRule="auto"/>
              <w:jc w:val="center"/>
              <w:rPr>
                <w:rFonts w:asciiTheme="minorEastAsia" w:hAnsiTheme="minorEastAsia" w:eastAsiaTheme="minorEastAsia"/>
                <w:color w:val="000000"/>
                <w:szCs w:val="21"/>
              </w:rPr>
            </w:pPr>
          </w:p>
        </w:tc>
        <w:tc>
          <w:tcPr>
            <w:tcW w:w="581" w:type="pct"/>
            <w:vAlign w:val="center"/>
          </w:tcPr>
          <w:p w14:paraId="5FE8B13E">
            <w:pPr>
              <w:snapToGrid w:val="0"/>
              <w:spacing w:line="360" w:lineRule="auto"/>
              <w:jc w:val="center"/>
              <w:rPr>
                <w:rFonts w:asciiTheme="minorEastAsia" w:hAnsiTheme="minorEastAsia" w:eastAsiaTheme="minorEastAsia"/>
                <w:color w:val="000000"/>
                <w:szCs w:val="21"/>
              </w:rPr>
            </w:pPr>
          </w:p>
        </w:tc>
        <w:tc>
          <w:tcPr>
            <w:tcW w:w="386" w:type="pct"/>
            <w:vAlign w:val="center"/>
          </w:tcPr>
          <w:p w14:paraId="6376CBB8">
            <w:pPr>
              <w:snapToGrid w:val="0"/>
              <w:spacing w:line="360" w:lineRule="auto"/>
              <w:jc w:val="center"/>
              <w:rPr>
                <w:rFonts w:asciiTheme="minorEastAsia" w:hAnsiTheme="minorEastAsia" w:eastAsiaTheme="minorEastAsia"/>
                <w:color w:val="000000"/>
                <w:szCs w:val="21"/>
              </w:rPr>
            </w:pPr>
          </w:p>
        </w:tc>
        <w:tc>
          <w:tcPr>
            <w:tcW w:w="386" w:type="pct"/>
            <w:vAlign w:val="center"/>
          </w:tcPr>
          <w:p w14:paraId="6F95B9C3">
            <w:pPr>
              <w:snapToGrid w:val="0"/>
              <w:spacing w:line="360" w:lineRule="auto"/>
              <w:jc w:val="center"/>
              <w:rPr>
                <w:rFonts w:asciiTheme="minorEastAsia" w:hAnsiTheme="minorEastAsia" w:eastAsiaTheme="minorEastAsia"/>
                <w:color w:val="000000"/>
                <w:szCs w:val="21"/>
              </w:rPr>
            </w:pPr>
          </w:p>
        </w:tc>
        <w:tc>
          <w:tcPr>
            <w:tcW w:w="392" w:type="pct"/>
            <w:vAlign w:val="center"/>
          </w:tcPr>
          <w:p w14:paraId="7FC5E244">
            <w:pPr>
              <w:snapToGrid w:val="0"/>
              <w:spacing w:line="360" w:lineRule="auto"/>
              <w:jc w:val="center"/>
              <w:rPr>
                <w:rFonts w:asciiTheme="minorEastAsia" w:hAnsiTheme="minorEastAsia" w:eastAsiaTheme="minorEastAsia"/>
                <w:color w:val="000000"/>
                <w:szCs w:val="21"/>
              </w:rPr>
            </w:pPr>
          </w:p>
        </w:tc>
        <w:tc>
          <w:tcPr>
            <w:tcW w:w="435" w:type="pct"/>
            <w:vAlign w:val="center"/>
          </w:tcPr>
          <w:p w14:paraId="60867CB4">
            <w:pPr>
              <w:snapToGrid w:val="0"/>
              <w:spacing w:line="360" w:lineRule="auto"/>
              <w:jc w:val="center"/>
              <w:rPr>
                <w:rFonts w:asciiTheme="minorEastAsia" w:hAnsiTheme="minorEastAsia" w:eastAsiaTheme="minorEastAsia"/>
                <w:color w:val="000000"/>
                <w:szCs w:val="21"/>
              </w:rPr>
            </w:pPr>
          </w:p>
        </w:tc>
        <w:tc>
          <w:tcPr>
            <w:tcW w:w="693" w:type="pct"/>
          </w:tcPr>
          <w:p w14:paraId="1FC6CEE9">
            <w:pPr>
              <w:snapToGrid w:val="0"/>
              <w:spacing w:line="360" w:lineRule="auto"/>
              <w:jc w:val="center"/>
              <w:rPr>
                <w:rFonts w:asciiTheme="minorEastAsia" w:hAnsiTheme="minorEastAsia" w:eastAsiaTheme="minorEastAsia"/>
                <w:color w:val="000000"/>
                <w:szCs w:val="21"/>
              </w:rPr>
            </w:pPr>
          </w:p>
        </w:tc>
        <w:tc>
          <w:tcPr>
            <w:tcW w:w="600" w:type="pct"/>
            <w:vAlign w:val="center"/>
          </w:tcPr>
          <w:p w14:paraId="7E77CF2B">
            <w:pPr>
              <w:snapToGrid w:val="0"/>
              <w:spacing w:line="360" w:lineRule="auto"/>
              <w:jc w:val="center"/>
              <w:rPr>
                <w:rFonts w:asciiTheme="minorEastAsia" w:hAnsiTheme="minorEastAsia" w:eastAsiaTheme="minorEastAsia"/>
                <w:color w:val="000000"/>
                <w:szCs w:val="21"/>
              </w:rPr>
            </w:pPr>
          </w:p>
        </w:tc>
      </w:tr>
      <w:tr w14:paraId="38AA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14" w:type="pct"/>
            <w:vAlign w:val="center"/>
          </w:tcPr>
          <w:p w14:paraId="1762B96C">
            <w:pPr>
              <w:snapToGrid w:val="0"/>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678" w:type="pct"/>
            <w:vAlign w:val="center"/>
          </w:tcPr>
          <w:p w14:paraId="101938F4">
            <w:pPr>
              <w:snapToGrid w:val="0"/>
              <w:spacing w:line="360" w:lineRule="auto"/>
              <w:jc w:val="center"/>
              <w:rPr>
                <w:rFonts w:asciiTheme="minorEastAsia" w:hAnsiTheme="minorEastAsia" w:eastAsiaTheme="minorEastAsia"/>
                <w:color w:val="000000"/>
                <w:szCs w:val="21"/>
              </w:rPr>
            </w:pPr>
          </w:p>
        </w:tc>
        <w:tc>
          <w:tcPr>
            <w:tcW w:w="532" w:type="pct"/>
            <w:vAlign w:val="center"/>
          </w:tcPr>
          <w:p w14:paraId="0A45D4CC">
            <w:pPr>
              <w:snapToGrid w:val="0"/>
              <w:spacing w:line="360" w:lineRule="auto"/>
              <w:jc w:val="center"/>
              <w:rPr>
                <w:rFonts w:asciiTheme="minorEastAsia" w:hAnsiTheme="minorEastAsia" w:eastAsiaTheme="minorEastAsia"/>
                <w:color w:val="000000"/>
                <w:szCs w:val="21"/>
              </w:rPr>
            </w:pPr>
          </w:p>
        </w:tc>
        <w:tc>
          <w:tcPr>
            <w:tcW w:w="581" w:type="pct"/>
            <w:vAlign w:val="center"/>
          </w:tcPr>
          <w:p w14:paraId="24F5EBA3">
            <w:pPr>
              <w:snapToGrid w:val="0"/>
              <w:spacing w:line="360" w:lineRule="auto"/>
              <w:jc w:val="center"/>
              <w:rPr>
                <w:rFonts w:asciiTheme="minorEastAsia" w:hAnsiTheme="minorEastAsia" w:eastAsiaTheme="minorEastAsia"/>
                <w:color w:val="000000"/>
                <w:szCs w:val="21"/>
              </w:rPr>
            </w:pPr>
          </w:p>
        </w:tc>
        <w:tc>
          <w:tcPr>
            <w:tcW w:w="386" w:type="pct"/>
            <w:vAlign w:val="center"/>
          </w:tcPr>
          <w:p w14:paraId="06F6FC78">
            <w:pPr>
              <w:snapToGrid w:val="0"/>
              <w:spacing w:line="360" w:lineRule="auto"/>
              <w:jc w:val="center"/>
              <w:rPr>
                <w:rFonts w:asciiTheme="minorEastAsia" w:hAnsiTheme="minorEastAsia" w:eastAsiaTheme="minorEastAsia"/>
                <w:color w:val="000000"/>
                <w:szCs w:val="21"/>
              </w:rPr>
            </w:pPr>
          </w:p>
        </w:tc>
        <w:tc>
          <w:tcPr>
            <w:tcW w:w="386" w:type="pct"/>
            <w:vAlign w:val="center"/>
          </w:tcPr>
          <w:p w14:paraId="26F08985">
            <w:pPr>
              <w:snapToGrid w:val="0"/>
              <w:spacing w:line="360" w:lineRule="auto"/>
              <w:jc w:val="center"/>
              <w:rPr>
                <w:rFonts w:asciiTheme="minorEastAsia" w:hAnsiTheme="minorEastAsia" w:eastAsiaTheme="minorEastAsia"/>
                <w:color w:val="000000"/>
                <w:szCs w:val="21"/>
              </w:rPr>
            </w:pPr>
          </w:p>
        </w:tc>
        <w:tc>
          <w:tcPr>
            <w:tcW w:w="392" w:type="pct"/>
            <w:vAlign w:val="center"/>
          </w:tcPr>
          <w:p w14:paraId="5C649BC0">
            <w:pPr>
              <w:snapToGrid w:val="0"/>
              <w:spacing w:line="360" w:lineRule="auto"/>
              <w:jc w:val="center"/>
              <w:rPr>
                <w:rFonts w:asciiTheme="minorEastAsia" w:hAnsiTheme="minorEastAsia" w:eastAsiaTheme="minorEastAsia"/>
                <w:color w:val="000000"/>
                <w:szCs w:val="21"/>
              </w:rPr>
            </w:pPr>
          </w:p>
        </w:tc>
        <w:tc>
          <w:tcPr>
            <w:tcW w:w="435" w:type="pct"/>
            <w:vAlign w:val="center"/>
          </w:tcPr>
          <w:p w14:paraId="3CC31145">
            <w:pPr>
              <w:snapToGrid w:val="0"/>
              <w:spacing w:line="360" w:lineRule="auto"/>
              <w:jc w:val="center"/>
              <w:rPr>
                <w:rFonts w:asciiTheme="minorEastAsia" w:hAnsiTheme="minorEastAsia" w:eastAsiaTheme="minorEastAsia"/>
                <w:color w:val="000000"/>
                <w:szCs w:val="21"/>
              </w:rPr>
            </w:pPr>
          </w:p>
        </w:tc>
        <w:tc>
          <w:tcPr>
            <w:tcW w:w="693" w:type="pct"/>
          </w:tcPr>
          <w:p w14:paraId="1412436B">
            <w:pPr>
              <w:snapToGrid w:val="0"/>
              <w:spacing w:line="360" w:lineRule="auto"/>
              <w:jc w:val="center"/>
              <w:rPr>
                <w:rFonts w:asciiTheme="minorEastAsia" w:hAnsiTheme="minorEastAsia" w:eastAsiaTheme="minorEastAsia"/>
                <w:color w:val="000000"/>
                <w:szCs w:val="21"/>
              </w:rPr>
            </w:pPr>
          </w:p>
        </w:tc>
        <w:tc>
          <w:tcPr>
            <w:tcW w:w="600" w:type="pct"/>
            <w:vAlign w:val="center"/>
          </w:tcPr>
          <w:p w14:paraId="1E551AE6">
            <w:pPr>
              <w:snapToGrid w:val="0"/>
              <w:spacing w:line="360" w:lineRule="auto"/>
              <w:jc w:val="center"/>
              <w:rPr>
                <w:rFonts w:asciiTheme="minorEastAsia" w:hAnsiTheme="minorEastAsia" w:eastAsiaTheme="minorEastAsia"/>
                <w:color w:val="000000"/>
                <w:szCs w:val="21"/>
              </w:rPr>
            </w:pPr>
          </w:p>
        </w:tc>
      </w:tr>
      <w:tr w14:paraId="36DF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314" w:type="pct"/>
            <w:vAlign w:val="center"/>
          </w:tcPr>
          <w:p w14:paraId="388E4D21">
            <w:pPr>
              <w:snapToGrid w:val="0"/>
              <w:spacing w:line="360" w:lineRule="auto"/>
              <w:jc w:val="center"/>
              <w:rPr>
                <w:rFonts w:asciiTheme="minorEastAsia" w:hAnsiTheme="minorEastAsia" w:eastAsiaTheme="minorEastAsia"/>
                <w:color w:val="000000"/>
                <w:szCs w:val="21"/>
              </w:rPr>
            </w:pPr>
          </w:p>
        </w:tc>
        <w:tc>
          <w:tcPr>
            <w:tcW w:w="2956" w:type="pct"/>
            <w:gridSpan w:val="6"/>
            <w:vAlign w:val="center"/>
          </w:tcPr>
          <w:p w14:paraId="2D0BF5D1">
            <w:pPr>
              <w:snapToGrid w:val="0"/>
              <w:spacing w:line="360" w:lineRule="auto"/>
              <w:jc w:val="left"/>
              <w:rPr>
                <w:rFonts w:asciiTheme="minorEastAsia" w:hAnsiTheme="minorEastAsia" w:eastAsiaTheme="minorEastAsia"/>
                <w:color w:val="000000"/>
                <w:szCs w:val="21"/>
              </w:rPr>
            </w:pPr>
          </w:p>
        </w:tc>
        <w:tc>
          <w:tcPr>
            <w:tcW w:w="435" w:type="pct"/>
            <w:vAlign w:val="center"/>
          </w:tcPr>
          <w:p w14:paraId="6D4B36C9">
            <w:pPr>
              <w:snapToGrid w:val="0"/>
              <w:spacing w:line="360" w:lineRule="auto"/>
              <w:rPr>
                <w:rFonts w:asciiTheme="minorEastAsia" w:hAnsiTheme="minorEastAsia" w:eastAsiaTheme="minorEastAsia"/>
                <w:color w:val="000000"/>
                <w:szCs w:val="21"/>
              </w:rPr>
            </w:pPr>
          </w:p>
        </w:tc>
        <w:tc>
          <w:tcPr>
            <w:tcW w:w="693" w:type="pct"/>
          </w:tcPr>
          <w:p w14:paraId="29C279F1">
            <w:pPr>
              <w:snapToGrid w:val="0"/>
              <w:spacing w:line="360" w:lineRule="auto"/>
              <w:jc w:val="center"/>
              <w:rPr>
                <w:rFonts w:asciiTheme="minorEastAsia" w:hAnsiTheme="minorEastAsia" w:eastAsiaTheme="minorEastAsia"/>
                <w:color w:val="000000"/>
                <w:szCs w:val="21"/>
              </w:rPr>
            </w:pPr>
          </w:p>
        </w:tc>
        <w:tc>
          <w:tcPr>
            <w:tcW w:w="600" w:type="pct"/>
            <w:vAlign w:val="center"/>
          </w:tcPr>
          <w:p w14:paraId="0124E053">
            <w:pPr>
              <w:snapToGrid w:val="0"/>
              <w:spacing w:line="360" w:lineRule="auto"/>
              <w:jc w:val="center"/>
              <w:rPr>
                <w:rFonts w:asciiTheme="minorEastAsia" w:hAnsiTheme="minorEastAsia" w:eastAsiaTheme="minorEastAsia"/>
                <w:color w:val="000000"/>
                <w:szCs w:val="21"/>
              </w:rPr>
            </w:pPr>
          </w:p>
        </w:tc>
      </w:tr>
    </w:tbl>
    <w:p w14:paraId="4E5E69FF">
      <w:pPr>
        <w:snapToGrid w:val="0"/>
        <w:spacing w:line="360" w:lineRule="auto"/>
        <w:ind w:left="738" w:hanging="738" w:hangingChars="350"/>
        <w:rPr>
          <w:rFonts w:asciiTheme="minorEastAsia" w:hAnsiTheme="minorEastAsia" w:eastAsiaTheme="minorEastAsia"/>
          <w:b/>
          <w:bCs/>
          <w:szCs w:val="21"/>
        </w:rPr>
      </w:pPr>
      <w:r>
        <w:rPr>
          <w:rFonts w:hint="eastAsia" w:asciiTheme="minorEastAsia" w:hAnsiTheme="minorEastAsia" w:eastAsiaTheme="minorEastAsia"/>
          <w:b/>
          <w:szCs w:val="21"/>
        </w:rPr>
        <w:t>注：交易响应人必须详细报出报价总表的各个组成部分的报价。且</w:t>
      </w:r>
      <w:r>
        <w:rPr>
          <w:rFonts w:hint="eastAsia" w:asciiTheme="minorEastAsia" w:hAnsiTheme="minorEastAsia" w:eastAsiaTheme="minorEastAsia"/>
          <w:b/>
          <w:bCs/>
          <w:szCs w:val="21"/>
        </w:rPr>
        <w:t>本表各分项报价合计应当与竞</w:t>
      </w:r>
      <w:r>
        <w:rPr>
          <w:rFonts w:hint="eastAsia" w:asciiTheme="minorEastAsia" w:hAnsiTheme="minorEastAsia" w:eastAsiaTheme="minorEastAsia"/>
          <w:b/>
          <w:bCs/>
          <w:szCs w:val="21"/>
          <w:lang w:eastAsia="zh-CN"/>
        </w:rPr>
        <w:t>价</w:t>
      </w:r>
      <w:r>
        <w:rPr>
          <w:rFonts w:hint="eastAsia" w:asciiTheme="minorEastAsia" w:hAnsiTheme="minorEastAsia" w:eastAsiaTheme="minorEastAsia"/>
          <w:b/>
          <w:bCs/>
          <w:szCs w:val="21"/>
        </w:rPr>
        <w:t>报价总表报价合计相等。</w:t>
      </w:r>
    </w:p>
    <w:p w14:paraId="01EDF061">
      <w:pPr>
        <w:snapToGrid w:val="0"/>
        <w:spacing w:line="360" w:lineRule="auto"/>
        <w:ind w:left="738" w:hanging="738" w:hangingChars="350"/>
        <w:rPr>
          <w:rFonts w:asciiTheme="minorEastAsia" w:hAnsiTheme="minorEastAsia" w:eastAsiaTheme="minorEastAsia"/>
          <w:b/>
          <w:bCs/>
          <w:szCs w:val="21"/>
        </w:rPr>
      </w:pPr>
    </w:p>
    <w:p w14:paraId="0372DE5C">
      <w:pPr>
        <w:snapToGrid w:val="0"/>
        <w:spacing w:line="360" w:lineRule="auto"/>
        <w:ind w:left="738" w:hanging="738" w:hangingChars="350"/>
        <w:rPr>
          <w:rFonts w:asciiTheme="minorEastAsia" w:hAnsiTheme="minorEastAsia" w:eastAsiaTheme="minorEastAsia"/>
          <w:b/>
          <w:bCs/>
          <w:szCs w:val="21"/>
        </w:rPr>
      </w:pPr>
    </w:p>
    <w:p w14:paraId="7B128FBA">
      <w:pPr>
        <w:snapToGrid w:val="0"/>
        <w:spacing w:line="360" w:lineRule="auto"/>
        <w:ind w:left="738" w:hanging="738" w:hangingChars="350"/>
        <w:rPr>
          <w:rFonts w:asciiTheme="minorEastAsia" w:hAnsiTheme="minorEastAsia" w:eastAsiaTheme="minorEastAsia"/>
          <w:b/>
          <w:bCs/>
          <w:szCs w:val="21"/>
        </w:rPr>
      </w:pPr>
    </w:p>
    <w:p w14:paraId="547D4E7B">
      <w:pPr>
        <w:spacing w:after="60" w:line="360" w:lineRule="auto"/>
        <w:jc w:val="center"/>
        <w:rPr>
          <w:rFonts w:asciiTheme="minorEastAsia" w:hAnsiTheme="minorEastAsia" w:eastAsiaTheme="minorEastAsia"/>
          <w:b/>
          <w:sz w:val="28"/>
          <w:szCs w:val="28"/>
        </w:rPr>
      </w:pPr>
    </w:p>
    <w:p w14:paraId="3ABA64A3">
      <w:pPr>
        <w:spacing w:line="440" w:lineRule="exact"/>
        <w:jc w:val="center"/>
        <w:outlineLvl w:val="1"/>
        <w:rPr>
          <w:rFonts w:ascii="宋体" w:hAnsi="宋体" w:cs="宋体"/>
          <w:b/>
          <w:bCs/>
          <w:color w:val="000000"/>
          <w:kern w:val="0"/>
          <w:sz w:val="28"/>
          <w:szCs w:val="28"/>
        </w:rPr>
      </w:pPr>
    </w:p>
    <w:p w14:paraId="463D9623">
      <w:pPr>
        <w:snapToGrid w:val="0"/>
        <w:spacing w:line="300" w:lineRule="auto"/>
        <w:contextualSpacing/>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4</w:t>
      </w:r>
    </w:p>
    <w:p w14:paraId="58DBECAC">
      <w:pPr>
        <w:snapToGrid w:val="0"/>
        <w:spacing w:line="300" w:lineRule="auto"/>
        <w:contextualSpacing/>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商务部分正负偏离表</w:t>
      </w:r>
    </w:p>
    <w:p w14:paraId="647D7FD3">
      <w:pPr>
        <w:snapToGrid w:val="0"/>
        <w:spacing w:line="300" w:lineRule="auto"/>
        <w:ind w:firstLine="420" w:firstLineChars="200"/>
        <w:contextualSpacing/>
        <w:jc w:val="center"/>
        <w:rPr>
          <w:rFonts w:asciiTheme="minorEastAsia" w:hAnsiTheme="minorEastAsia" w:eastAsiaTheme="minorEastAsia"/>
          <w:szCs w:val="21"/>
        </w:rPr>
      </w:pPr>
      <w:r>
        <w:rPr>
          <w:rFonts w:hint="eastAsia" w:asciiTheme="minorEastAsia" w:hAnsiTheme="minorEastAsia" w:eastAsiaTheme="minorEastAsia"/>
          <w:szCs w:val="21"/>
        </w:rPr>
        <w:t>（由交易响应人据实填写，表格不够自行添加）</w:t>
      </w:r>
    </w:p>
    <w:tbl>
      <w:tblPr>
        <w:tblStyle w:val="14"/>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14:paraId="20391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05329D08">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3D2E010C">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5846BC98">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竞</w:t>
            </w:r>
            <w:r>
              <w:rPr>
                <w:rFonts w:hint="eastAsia" w:asciiTheme="minorEastAsia" w:hAnsiTheme="minorEastAsia" w:eastAsiaTheme="minorEastAsia"/>
                <w:szCs w:val="21"/>
                <w:lang w:eastAsia="zh-CN"/>
              </w:rPr>
              <w:t>价</w:t>
            </w:r>
            <w:r>
              <w:rPr>
                <w:rFonts w:hint="eastAsia" w:asciiTheme="minorEastAsia" w:hAnsiTheme="minorEastAsia" w:eastAsiaTheme="minorEastAsia"/>
                <w:szCs w:val="21"/>
              </w:rPr>
              <w:t>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89D4002">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竞</w:t>
            </w:r>
            <w:r>
              <w:rPr>
                <w:rFonts w:hint="eastAsia" w:asciiTheme="minorEastAsia" w:hAnsiTheme="minorEastAsia" w:eastAsiaTheme="minorEastAsia"/>
                <w:szCs w:val="21"/>
                <w:lang w:eastAsia="zh-CN"/>
              </w:rPr>
              <w:t>价</w:t>
            </w:r>
            <w:r>
              <w:rPr>
                <w:rFonts w:hint="eastAsia" w:asciiTheme="minorEastAsia" w:hAnsiTheme="minorEastAsia" w:eastAsiaTheme="minorEastAsia"/>
                <w:szCs w:val="21"/>
              </w:rPr>
              <w:t>文件响应情况</w:t>
            </w:r>
          </w:p>
        </w:tc>
        <w:tc>
          <w:tcPr>
            <w:tcW w:w="1417" w:type="dxa"/>
            <w:tcBorders>
              <w:top w:val="single" w:color="auto" w:sz="12" w:space="0"/>
              <w:left w:val="single" w:color="auto" w:sz="6" w:space="0"/>
              <w:bottom w:val="single" w:color="auto" w:sz="6" w:space="0"/>
              <w:right w:val="single" w:color="auto" w:sz="12" w:space="0"/>
            </w:tcBorders>
          </w:tcPr>
          <w:p w14:paraId="10A204D4">
            <w:pPr>
              <w:spacing w:line="340" w:lineRule="exact"/>
              <w:jc w:val="center"/>
              <w:rPr>
                <w:rFonts w:asciiTheme="minorEastAsia" w:hAnsiTheme="minorEastAsia" w:eastAsiaTheme="minorEastAsia"/>
                <w:szCs w:val="21"/>
              </w:rPr>
            </w:pPr>
          </w:p>
          <w:p w14:paraId="4F13EEB4">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偏离说明</w:t>
            </w:r>
          </w:p>
        </w:tc>
      </w:tr>
      <w:tr w14:paraId="69FB1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27D73B60">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63" w:type="dxa"/>
            <w:tcBorders>
              <w:top w:val="single" w:color="auto" w:sz="6" w:space="0"/>
              <w:left w:val="single" w:color="auto" w:sz="6" w:space="0"/>
              <w:bottom w:val="single" w:color="auto" w:sz="6" w:space="0"/>
              <w:right w:val="single" w:color="auto" w:sz="6" w:space="0"/>
            </w:tcBorders>
            <w:vAlign w:val="center"/>
          </w:tcPr>
          <w:p w14:paraId="2FD3C23F">
            <w:pPr>
              <w:spacing w:line="340" w:lineRule="exact"/>
              <w:jc w:val="center"/>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4D9FD65B">
            <w:pPr>
              <w:spacing w:line="340" w:lineRule="exact"/>
              <w:jc w:val="center"/>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1D07B449">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0C513AC3">
            <w:pPr>
              <w:spacing w:line="340" w:lineRule="exact"/>
              <w:rPr>
                <w:rFonts w:asciiTheme="minorEastAsia" w:hAnsiTheme="minorEastAsia" w:eastAsiaTheme="minorEastAsia"/>
                <w:szCs w:val="21"/>
              </w:rPr>
            </w:pPr>
          </w:p>
        </w:tc>
      </w:tr>
      <w:tr w14:paraId="1FF2A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649" w:type="dxa"/>
            <w:tcBorders>
              <w:top w:val="single" w:color="auto" w:sz="6" w:space="0"/>
              <w:left w:val="single" w:color="auto" w:sz="12" w:space="0"/>
              <w:bottom w:val="single" w:color="auto" w:sz="6" w:space="0"/>
              <w:right w:val="single" w:color="auto" w:sz="6" w:space="0"/>
            </w:tcBorders>
          </w:tcPr>
          <w:p w14:paraId="6212554D">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63" w:type="dxa"/>
            <w:tcBorders>
              <w:top w:val="single" w:color="auto" w:sz="6" w:space="0"/>
              <w:left w:val="single" w:color="auto" w:sz="6" w:space="0"/>
              <w:bottom w:val="single" w:color="auto" w:sz="6" w:space="0"/>
              <w:right w:val="single" w:color="auto" w:sz="6" w:space="0"/>
            </w:tcBorders>
            <w:vAlign w:val="center"/>
          </w:tcPr>
          <w:p w14:paraId="7A72773C">
            <w:pPr>
              <w:spacing w:line="340" w:lineRule="exact"/>
              <w:jc w:val="center"/>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1E836085">
            <w:pPr>
              <w:spacing w:line="340" w:lineRule="exact"/>
              <w:jc w:val="center"/>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29833C99">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5B65FCDA">
            <w:pPr>
              <w:spacing w:line="340" w:lineRule="exact"/>
              <w:rPr>
                <w:rFonts w:asciiTheme="minorEastAsia" w:hAnsiTheme="minorEastAsia" w:eastAsiaTheme="minorEastAsia"/>
                <w:szCs w:val="21"/>
              </w:rPr>
            </w:pPr>
          </w:p>
        </w:tc>
      </w:tr>
      <w:tr w14:paraId="00BF0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03B5EF4B">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63" w:type="dxa"/>
            <w:tcBorders>
              <w:top w:val="single" w:color="auto" w:sz="6" w:space="0"/>
              <w:left w:val="single" w:color="auto" w:sz="6" w:space="0"/>
              <w:bottom w:val="single" w:color="auto" w:sz="6" w:space="0"/>
              <w:right w:val="single" w:color="auto" w:sz="6" w:space="0"/>
            </w:tcBorders>
            <w:vAlign w:val="center"/>
          </w:tcPr>
          <w:p w14:paraId="354A09A4">
            <w:pPr>
              <w:spacing w:line="340" w:lineRule="exact"/>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18B3F592">
            <w:pPr>
              <w:spacing w:line="340" w:lineRule="exact"/>
              <w:ind w:firstLine="420" w:firstLineChars="200"/>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7768C58C">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6E3C5518">
            <w:pPr>
              <w:spacing w:line="340" w:lineRule="exact"/>
              <w:rPr>
                <w:rFonts w:asciiTheme="minorEastAsia" w:hAnsiTheme="minorEastAsia" w:eastAsiaTheme="minorEastAsia"/>
                <w:szCs w:val="21"/>
              </w:rPr>
            </w:pPr>
          </w:p>
        </w:tc>
      </w:tr>
      <w:tr w14:paraId="61D9D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6" w:space="0"/>
              <w:right w:val="single" w:color="auto" w:sz="6" w:space="0"/>
            </w:tcBorders>
          </w:tcPr>
          <w:p w14:paraId="62544DDD">
            <w:pPr>
              <w:spacing w:line="340" w:lineRule="exact"/>
              <w:jc w:val="center"/>
              <w:rPr>
                <w:rFonts w:asciiTheme="minorEastAsia" w:hAnsiTheme="minorEastAsia" w:eastAsiaTheme="minorEastAsia"/>
                <w:szCs w:val="21"/>
              </w:rPr>
            </w:pPr>
          </w:p>
        </w:tc>
        <w:tc>
          <w:tcPr>
            <w:tcW w:w="1263" w:type="dxa"/>
            <w:tcBorders>
              <w:top w:val="single" w:color="auto" w:sz="6" w:space="0"/>
              <w:left w:val="single" w:color="auto" w:sz="6" w:space="0"/>
              <w:bottom w:val="single" w:color="auto" w:sz="6" w:space="0"/>
              <w:right w:val="single" w:color="auto" w:sz="6" w:space="0"/>
            </w:tcBorders>
            <w:vAlign w:val="center"/>
          </w:tcPr>
          <w:p w14:paraId="57084F61">
            <w:pPr>
              <w:spacing w:line="340" w:lineRule="exact"/>
              <w:jc w:val="center"/>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56FFC95F">
            <w:pPr>
              <w:spacing w:line="340" w:lineRule="exact"/>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69374032">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775B2E92">
            <w:pPr>
              <w:spacing w:line="340" w:lineRule="exact"/>
              <w:rPr>
                <w:rFonts w:asciiTheme="minorEastAsia" w:hAnsiTheme="minorEastAsia" w:eastAsiaTheme="minorEastAsia"/>
                <w:szCs w:val="21"/>
              </w:rPr>
            </w:pPr>
          </w:p>
        </w:tc>
      </w:tr>
    </w:tbl>
    <w:p w14:paraId="197B4819">
      <w:pPr>
        <w:rPr>
          <w:rFonts w:asciiTheme="minorEastAsia" w:hAnsiTheme="minorEastAsia" w:eastAsiaTheme="minorEastAsia"/>
          <w:b/>
          <w:szCs w:val="21"/>
        </w:rPr>
      </w:pPr>
      <w:r>
        <w:rPr>
          <w:rFonts w:hint="eastAsia" w:asciiTheme="minorEastAsia" w:hAnsiTheme="minorEastAsia" w:eastAsiaTheme="minorEastAsia"/>
          <w:b/>
          <w:szCs w:val="21"/>
        </w:rPr>
        <w:t>注：</w:t>
      </w:r>
    </w:p>
    <w:p w14:paraId="44EE56EF">
      <w:pPr>
        <w:snapToGrid w:val="0"/>
        <w:spacing w:line="300" w:lineRule="auto"/>
        <w:ind w:firstLine="420" w:firstLineChars="200"/>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1、交易响应人</w:t>
      </w:r>
      <w:r>
        <w:rPr>
          <w:rFonts w:hint="eastAsia" w:asciiTheme="minorEastAsia" w:hAnsiTheme="minorEastAsia" w:eastAsiaTheme="minorEastAsia"/>
          <w:color w:val="000000"/>
          <w:szCs w:val="21"/>
        </w:rPr>
        <w:t>提交的竞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文件中与竞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文件“项目需求”中的商务部分的要求，有不同时，应逐条填列在偏离表中，否则将认为交易响应人接受竞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文件的所有要求。完全响应部分可不填到此表中。</w:t>
      </w:r>
    </w:p>
    <w:p w14:paraId="2F51B50F">
      <w:pPr>
        <w:snapToGrid w:val="0"/>
        <w:spacing w:line="30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szCs w:val="21"/>
        </w:rPr>
        <w:t>“偏离说明”一栏选择“正偏离”、“负偏离”进行填写。正偏离的确认和</w:t>
      </w:r>
      <w:r>
        <w:rPr>
          <w:rFonts w:hint="eastAsia" w:asciiTheme="minorEastAsia" w:hAnsiTheme="minorEastAsia" w:eastAsiaTheme="minorEastAsia"/>
          <w:color w:val="000000"/>
          <w:szCs w:val="21"/>
        </w:rPr>
        <w:t>负偏离的是否响应竞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 xml:space="preserve">文件，经评审专家认定。 </w:t>
      </w:r>
    </w:p>
    <w:p w14:paraId="0D094F24">
      <w:pPr>
        <w:snapToGrid w:val="0"/>
        <w:spacing w:line="30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3、交易响应人如果虚假响应，将被暂停参加当年度及下年度海安高新区境内所有公共资源交易活动。</w:t>
      </w:r>
    </w:p>
    <w:p w14:paraId="5CD67F29">
      <w:pPr>
        <w:snapToGrid w:val="0"/>
        <w:spacing w:line="300" w:lineRule="auto"/>
        <w:ind w:firstLine="420" w:firstLineChars="200"/>
        <w:contextualSpacing/>
        <w:rPr>
          <w:rFonts w:asciiTheme="minorEastAsia" w:hAnsiTheme="minorEastAsia" w:eastAsiaTheme="minorEastAsia"/>
          <w:bCs/>
          <w:szCs w:val="21"/>
        </w:rPr>
      </w:pPr>
      <w:r>
        <w:rPr>
          <w:rFonts w:hint="eastAsia" w:asciiTheme="minorEastAsia" w:hAnsiTheme="minorEastAsia" w:eastAsiaTheme="minorEastAsia"/>
          <w:bCs/>
          <w:szCs w:val="21"/>
        </w:rPr>
        <w:t>4、交易响应人若提供其他增值服务，可以在表中自行据实填写。</w:t>
      </w:r>
    </w:p>
    <w:p w14:paraId="14309CB2"/>
    <w:p w14:paraId="358A8F36">
      <w:pPr>
        <w:pStyle w:val="2"/>
      </w:pPr>
    </w:p>
    <w:p w14:paraId="4EB9F0A9">
      <w:pPr>
        <w:snapToGrid w:val="0"/>
        <w:spacing w:line="300" w:lineRule="auto"/>
        <w:contextualSpacing/>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5</w:t>
      </w:r>
    </w:p>
    <w:p w14:paraId="6BA5DF1B">
      <w:pPr>
        <w:snapToGrid w:val="0"/>
        <w:spacing w:line="300" w:lineRule="auto"/>
        <w:contextualSpacing/>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技术部分正负偏离表</w:t>
      </w:r>
    </w:p>
    <w:p w14:paraId="0D9E2BCE">
      <w:pPr>
        <w:snapToGrid w:val="0"/>
        <w:spacing w:line="300" w:lineRule="auto"/>
        <w:ind w:firstLine="420" w:firstLineChars="200"/>
        <w:contextualSpacing/>
        <w:jc w:val="center"/>
        <w:rPr>
          <w:rFonts w:asciiTheme="minorEastAsia" w:hAnsiTheme="minorEastAsia" w:eastAsiaTheme="minorEastAsia"/>
          <w:szCs w:val="21"/>
        </w:rPr>
      </w:pPr>
      <w:r>
        <w:rPr>
          <w:rFonts w:hint="eastAsia" w:asciiTheme="minorEastAsia" w:hAnsiTheme="minorEastAsia" w:eastAsiaTheme="minorEastAsia"/>
          <w:szCs w:val="21"/>
        </w:rPr>
        <w:t>（由交易响应人据实填写，表格不够自行添加）</w:t>
      </w:r>
    </w:p>
    <w:tbl>
      <w:tblPr>
        <w:tblStyle w:val="14"/>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14:paraId="04FA8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426CCA4A">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726D7C9">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1CED3563">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竞</w:t>
            </w:r>
            <w:r>
              <w:rPr>
                <w:rFonts w:hint="eastAsia" w:asciiTheme="minorEastAsia" w:hAnsiTheme="minorEastAsia" w:eastAsiaTheme="minorEastAsia"/>
                <w:szCs w:val="21"/>
                <w:lang w:eastAsia="zh-CN"/>
              </w:rPr>
              <w:t>价</w:t>
            </w:r>
            <w:r>
              <w:rPr>
                <w:rFonts w:hint="eastAsia" w:asciiTheme="minorEastAsia" w:hAnsiTheme="minorEastAsia" w:eastAsiaTheme="minorEastAsia"/>
                <w:szCs w:val="21"/>
              </w:rPr>
              <w:t>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3C5098DE">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竞</w:t>
            </w:r>
            <w:r>
              <w:rPr>
                <w:rFonts w:hint="eastAsia" w:asciiTheme="minorEastAsia" w:hAnsiTheme="minorEastAsia" w:eastAsiaTheme="minorEastAsia"/>
                <w:szCs w:val="21"/>
                <w:lang w:eastAsia="zh-CN"/>
              </w:rPr>
              <w:t>价</w:t>
            </w:r>
            <w:r>
              <w:rPr>
                <w:rFonts w:hint="eastAsia" w:asciiTheme="minorEastAsia" w:hAnsiTheme="minorEastAsia" w:eastAsiaTheme="minorEastAsia"/>
                <w:szCs w:val="21"/>
              </w:rPr>
              <w:t>文件响应情况</w:t>
            </w:r>
          </w:p>
        </w:tc>
        <w:tc>
          <w:tcPr>
            <w:tcW w:w="1417" w:type="dxa"/>
            <w:tcBorders>
              <w:top w:val="single" w:color="auto" w:sz="12" w:space="0"/>
              <w:left w:val="single" w:color="auto" w:sz="6" w:space="0"/>
              <w:bottom w:val="single" w:color="auto" w:sz="6" w:space="0"/>
              <w:right w:val="single" w:color="auto" w:sz="12" w:space="0"/>
            </w:tcBorders>
          </w:tcPr>
          <w:p w14:paraId="1625E7CB">
            <w:pPr>
              <w:spacing w:line="340" w:lineRule="exact"/>
              <w:jc w:val="center"/>
              <w:rPr>
                <w:rFonts w:asciiTheme="minorEastAsia" w:hAnsiTheme="minorEastAsia" w:eastAsiaTheme="minorEastAsia"/>
                <w:szCs w:val="21"/>
              </w:rPr>
            </w:pPr>
          </w:p>
          <w:p w14:paraId="55BD460F">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偏离说明</w:t>
            </w:r>
          </w:p>
        </w:tc>
      </w:tr>
      <w:tr w14:paraId="5125E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709C9833">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63" w:type="dxa"/>
            <w:tcBorders>
              <w:top w:val="single" w:color="auto" w:sz="6" w:space="0"/>
              <w:left w:val="single" w:color="auto" w:sz="6" w:space="0"/>
              <w:bottom w:val="single" w:color="auto" w:sz="6" w:space="0"/>
              <w:right w:val="single" w:color="auto" w:sz="6" w:space="0"/>
            </w:tcBorders>
            <w:vAlign w:val="center"/>
          </w:tcPr>
          <w:p w14:paraId="233D1D96">
            <w:pPr>
              <w:spacing w:line="340" w:lineRule="exact"/>
              <w:jc w:val="center"/>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50963B93">
            <w:pPr>
              <w:spacing w:line="340" w:lineRule="exact"/>
              <w:jc w:val="center"/>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66CBAEB9">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313D4C92">
            <w:pPr>
              <w:spacing w:line="340" w:lineRule="exact"/>
              <w:rPr>
                <w:rFonts w:asciiTheme="minorEastAsia" w:hAnsiTheme="minorEastAsia" w:eastAsiaTheme="minorEastAsia"/>
                <w:szCs w:val="21"/>
              </w:rPr>
            </w:pPr>
          </w:p>
        </w:tc>
      </w:tr>
      <w:tr w14:paraId="6CC08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649" w:type="dxa"/>
            <w:tcBorders>
              <w:top w:val="single" w:color="auto" w:sz="6" w:space="0"/>
              <w:left w:val="single" w:color="auto" w:sz="12" w:space="0"/>
              <w:bottom w:val="single" w:color="auto" w:sz="6" w:space="0"/>
              <w:right w:val="single" w:color="auto" w:sz="6" w:space="0"/>
            </w:tcBorders>
          </w:tcPr>
          <w:p w14:paraId="49CBB89A">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63" w:type="dxa"/>
            <w:tcBorders>
              <w:top w:val="single" w:color="auto" w:sz="6" w:space="0"/>
              <w:left w:val="single" w:color="auto" w:sz="6" w:space="0"/>
              <w:bottom w:val="single" w:color="auto" w:sz="6" w:space="0"/>
              <w:right w:val="single" w:color="auto" w:sz="6" w:space="0"/>
            </w:tcBorders>
            <w:vAlign w:val="center"/>
          </w:tcPr>
          <w:p w14:paraId="04419027">
            <w:pPr>
              <w:spacing w:line="340" w:lineRule="exact"/>
              <w:jc w:val="center"/>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0DFC0903">
            <w:pPr>
              <w:spacing w:line="340" w:lineRule="exact"/>
              <w:jc w:val="center"/>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36BC9701">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1501B083">
            <w:pPr>
              <w:spacing w:line="340" w:lineRule="exact"/>
              <w:rPr>
                <w:rFonts w:asciiTheme="minorEastAsia" w:hAnsiTheme="minorEastAsia" w:eastAsiaTheme="minorEastAsia"/>
                <w:szCs w:val="21"/>
              </w:rPr>
            </w:pPr>
          </w:p>
        </w:tc>
      </w:tr>
      <w:tr w14:paraId="0D31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33F526CE">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63" w:type="dxa"/>
            <w:tcBorders>
              <w:top w:val="single" w:color="auto" w:sz="6" w:space="0"/>
              <w:left w:val="single" w:color="auto" w:sz="6" w:space="0"/>
              <w:bottom w:val="single" w:color="auto" w:sz="6" w:space="0"/>
              <w:right w:val="single" w:color="auto" w:sz="6" w:space="0"/>
            </w:tcBorders>
            <w:vAlign w:val="center"/>
          </w:tcPr>
          <w:p w14:paraId="0A45A590">
            <w:pPr>
              <w:spacing w:line="340" w:lineRule="exact"/>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5A373C22">
            <w:pPr>
              <w:spacing w:line="340" w:lineRule="exact"/>
              <w:ind w:firstLine="420" w:firstLineChars="200"/>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5C49E81F">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0ACE295F">
            <w:pPr>
              <w:spacing w:line="340" w:lineRule="exact"/>
              <w:rPr>
                <w:rFonts w:asciiTheme="minorEastAsia" w:hAnsiTheme="minorEastAsia" w:eastAsiaTheme="minorEastAsia"/>
                <w:szCs w:val="21"/>
              </w:rPr>
            </w:pPr>
          </w:p>
        </w:tc>
      </w:tr>
      <w:tr w14:paraId="52735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6" w:space="0"/>
              <w:right w:val="single" w:color="auto" w:sz="6" w:space="0"/>
            </w:tcBorders>
          </w:tcPr>
          <w:p w14:paraId="140AAAE6">
            <w:pPr>
              <w:spacing w:line="340" w:lineRule="exact"/>
              <w:jc w:val="center"/>
              <w:rPr>
                <w:rFonts w:asciiTheme="minorEastAsia" w:hAnsiTheme="minorEastAsia" w:eastAsiaTheme="minorEastAsia"/>
                <w:szCs w:val="21"/>
              </w:rPr>
            </w:pPr>
          </w:p>
        </w:tc>
        <w:tc>
          <w:tcPr>
            <w:tcW w:w="1263" w:type="dxa"/>
            <w:tcBorders>
              <w:top w:val="single" w:color="auto" w:sz="6" w:space="0"/>
              <w:left w:val="single" w:color="auto" w:sz="6" w:space="0"/>
              <w:bottom w:val="single" w:color="auto" w:sz="6" w:space="0"/>
              <w:right w:val="single" w:color="auto" w:sz="6" w:space="0"/>
            </w:tcBorders>
            <w:vAlign w:val="center"/>
          </w:tcPr>
          <w:p w14:paraId="51C67673">
            <w:pPr>
              <w:spacing w:line="340" w:lineRule="exact"/>
              <w:jc w:val="center"/>
              <w:rPr>
                <w:rFonts w:asciiTheme="minorEastAsia" w:hAnsiTheme="minorEastAsia" w:eastAsiaTheme="minorEastAsia"/>
                <w:szCs w:val="21"/>
              </w:rPr>
            </w:pPr>
          </w:p>
        </w:tc>
        <w:tc>
          <w:tcPr>
            <w:tcW w:w="2706" w:type="dxa"/>
            <w:tcBorders>
              <w:top w:val="single" w:color="auto" w:sz="6" w:space="0"/>
              <w:left w:val="single" w:color="auto" w:sz="6" w:space="0"/>
              <w:bottom w:val="single" w:color="auto" w:sz="6" w:space="0"/>
              <w:right w:val="single" w:color="auto" w:sz="6" w:space="0"/>
            </w:tcBorders>
            <w:vAlign w:val="center"/>
          </w:tcPr>
          <w:p w14:paraId="5A6B50B3">
            <w:pPr>
              <w:spacing w:line="340" w:lineRule="exact"/>
              <w:rPr>
                <w:rFonts w:asciiTheme="minorEastAsia" w:hAnsiTheme="minorEastAsia" w:eastAsiaTheme="minorEastAsia"/>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5FE5F770">
            <w:pPr>
              <w:spacing w:line="340" w:lineRule="exact"/>
              <w:rPr>
                <w:rFonts w:asciiTheme="minorEastAsia" w:hAnsiTheme="minorEastAsia" w:eastAsiaTheme="minorEastAsia"/>
                <w:szCs w:val="21"/>
              </w:rPr>
            </w:pPr>
          </w:p>
        </w:tc>
        <w:tc>
          <w:tcPr>
            <w:tcW w:w="1417" w:type="dxa"/>
            <w:tcBorders>
              <w:top w:val="single" w:color="auto" w:sz="6" w:space="0"/>
              <w:left w:val="single" w:color="auto" w:sz="6" w:space="0"/>
              <w:bottom w:val="single" w:color="auto" w:sz="6" w:space="0"/>
              <w:right w:val="single" w:color="auto" w:sz="12" w:space="0"/>
            </w:tcBorders>
          </w:tcPr>
          <w:p w14:paraId="586D369C">
            <w:pPr>
              <w:spacing w:line="340" w:lineRule="exact"/>
              <w:rPr>
                <w:rFonts w:asciiTheme="minorEastAsia" w:hAnsiTheme="minorEastAsia" w:eastAsiaTheme="minorEastAsia"/>
                <w:szCs w:val="21"/>
              </w:rPr>
            </w:pPr>
          </w:p>
        </w:tc>
      </w:tr>
    </w:tbl>
    <w:p w14:paraId="50AFCCDA">
      <w:pPr>
        <w:rPr>
          <w:rFonts w:asciiTheme="minorEastAsia" w:hAnsiTheme="minorEastAsia" w:eastAsiaTheme="minorEastAsia"/>
          <w:b/>
          <w:szCs w:val="21"/>
        </w:rPr>
      </w:pPr>
      <w:r>
        <w:rPr>
          <w:rFonts w:hint="eastAsia" w:asciiTheme="minorEastAsia" w:hAnsiTheme="minorEastAsia" w:eastAsiaTheme="minorEastAsia"/>
          <w:b/>
          <w:szCs w:val="21"/>
        </w:rPr>
        <w:t>注：</w:t>
      </w:r>
    </w:p>
    <w:p w14:paraId="645214AE">
      <w:pPr>
        <w:snapToGrid w:val="0"/>
        <w:spacing w:line="300" w:lineRule="auto"/>
        <w:ind w:firstLine="420" w:firstLineChars="200"/>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1、交易响应人</w:t>
      </w:r>
      <w:r>
        <w:rPr>
          <w:rFonts w:hint="eastAsia" w:asciiTheme="minorEastAsia" w:hAnsiTheme="minorEastAsia" w:eastAsiaTheme="minorEastAsia"/>
          <w:color w:val="000000"/>
          <w:szCs w:val="21"/>
        </w:rPr>
        <w:t>提交的竞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文件中与竞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文件“项目需求”中的技术部分的要求有不同时，应逐条填列在偏离表中，否则将认为交易响应人接受竞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文件的所有要求。完全响应部分可不填到此表中。</w:t>
      </w:r>
    </w:p>
    <w:p w14:paraId="4C538306">
      <w:pPr>
        <w:snapToGrid w:val="0"/>
        <w:spacing w:line="30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szCs w:val="21"/>
        </w:rPr>
        <w:t>“偏离说明”一栏选择“正偏离”、“负偏离”进行填写。正偏离的确认和</w:t>
      </w:r>
      <w:r>
        <w:rPr>
          <w:rFonts w:hint="eastAsia" w:asciiTheme="minorEastAsia" w:hAnsiTheme="minorEastAsia" w:eastAsiaTheme="minorEastAsia"/>
          <w:color w:val="000000"/>
          <w:szCs w:val="21"/>
        </w:rPr>
        <w:t>负偏离的是否响应竞</w:t>
      </w:r>
      <w:r>
        <w:rPr>
          <w:rFonts w:hint="eastAsia" w:asciiTheme="minorEastAsia" w:hAnsiTheme="minorEastAsia" w:eastAsiaTheme="minorEastAsia"/>
          <w:color w:val="000000"/>
          <w:szCs w:val="21"/>
          <w:lang w:eastAsia="zh-CN"/>
        </w:rPr>
        <w:t>价</w:t>
      </w:r>
      <w:r>
        <w:rPr>
          <w:rFonts w:hint="eastAsia" w:asciiTheme="minorEastAsia" w:hAnsiTheme="minorEastAsia" w:eastAsiaTheme="minorEastAsia"/>
          <w:color w:val="000000"/>
          <w:szCs w:val="21"/>
        </w:rPr>
        <w:t>文件，经评审专家认定。</w:t>
      </w:r>
    </w:p>
    <w:p w14:paraId="27F294FE">
      <w:pPr>
        <w:snapToGrid w:val="0"/>
        <w:spacing w:line="30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3、交易响应人如果虚假响应，将被暂停参加当年度及下年度海安高新区境内所有公共资源交易活动。</w:t>
      </w:r>
    </w:p>
    <w:p w14:paraId="451258E1">
      <w:pPr>
        <w:snapToGrid w:val="0"/>
        <w:spacing w:line="300" w:lineRule="auto"/>
        <w:ind w:firstLine="420" w:firstLineChars="200"/>
        <w:contextualSpacing/>
        <w:rPr>
          <w:rFonts w:asciiTheme="minorEastAsia" w:hAnsiTheme="minorEastAsia" w:eastAsiaTheme="minorEastAsia"/>
          <w:sz w:val="24"/>
        </w:rPr>
      </w:pPr>
      <w:r>
        <w:rPr>
          <w:rFonts w:hint="eastAsia" w:asciiTheme="minorEastAsia" w:hAnsiTheme="minorEastAsia" w:eastAsiaTheme="minorEastAsia"/>
          <w:bCs/>
          <w:szCs w:val="21"/>
        </w:rPr>
        <w:t>4、交易响应人若提供其他增值服务，可以在表中自行据实填写。</w:t>
      </w:r>
    </w:p>
    <w:sectPr>
      <w:pgSz w:w="11850" w:h="16783"/>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imsun (Founder Extended)">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83A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9D587">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749D587">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DDD14"/>
    <w:multiLevelType w:val="singleLevel"/>
    <w:tmpl w:val="F57DDD14"/>
    <w:lvl w:ilvl="0" w:tentative="0">
      <w:start w:val="6"/>
      <w:numFmt w:val="decimal"/>
      <w:suff w:val="nothing"/>
      <w:lvlText w:val="%1、"/>
      <w:lvlJc w:val="left"/>
    </w:lvl>
  </w:abstractNum>
  <w:abstractNum w:abstractNumId="1">
    <w:nsid w:val="1587E3A0"/>
    <w:multiLevelType w:val="singleLevel"/>
    <w:tmpl w:val="1587E3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ZWVlOTdkYzc3ZjYwNWNjZjFiYmFjOTRlM2E5MjgifQ=="/>
  </w:docVars>
  <w:rsids>
    <w:rsidRoot w:val="7D840D7C"/>
    <w:rsid w:val="00000375"/>
    <w:rsid w:val="000007DA"/>
    <w:rsid w:val="00003814"/>
    <w:rsid w:val="00003BA3"/>
    <w:rsid w:val="00011F25"/>
    <w:rsid w:val="0001311E"/>
    <w:rsid w:val="000154A9"/>
    <w:rsid w:val="00021C72"/>
    <w:rsid w:val="0002285D"/>
    <w:rsid w:val="000237D4"/>
    <w:rsid w:val="000249C1"/>
    <w:rsid w:val="00025AAC"/>
    <w:rsid w:val="0002624D"/>
    <w:rsid w:val="00030EE7"/>
    <w:rsid w:val="00033DDE"/>
    <w:rsid w:val="00034247"/>
    <w:rsid w:val="0003472D"/>
    <w:rsid w:val="00036176"/>
    <w:rsid w:val="00037DB5"/>
    <w:rsid w:val="000407C8"/>
    <w:rsid w:val="0004197D"/>
    <w:rsid w:val="00044C5D"/>
    <w:rsid w:val="000460A3"/>
    <w:rsid w:val="00050170"/>
    <w:rsid w:val="00052990"/>
    <w:rsid w:val="000565B5"/>
    <w:rsid w:val="00057AE0"/>
    <w:rsid w:val="000614B1"/>
    <w:rsid w:val="00072287"/>
    <w:rsid w:val="00080745"/>
    <w:rsid w:val="00080993"/>
    <w:rsid w:val="00081F4B"/>
    <w:rsid w:val="000825E1"/>
    <w:rsid w:val="00084FD9"/>
    <w:rsid w:val="00087B95"/>
    <w:rsid w:val="00091647"/>
    <w:rsid w:val="00094FD3"/>
    <w:rsid w:val="000956D5"/>
    <w:rsid w:val="00095BED"/>
    <w:rsid w:val="000A731B"/>
    <w:rsid w:val="000B2364"/>
    <w:rsid w:val="000B6E86"/>
    <w:rsid w:val="000C1D92"/>
    <w:rsid w:val="000C29AF"/>
    <w:rsid w:val="000D26D4"/>
    <w:rsid w:val="000D2CBE"/>
    <w:rsid w:val="000D572F"/>
    <w:rsid w:val="000E0F91"/>
    <w:rsid w:val="000E5692"/>
    <w:rsid w:val="000E7997"/>
    <w:rsid w:val="000F2857"/>
    <w:rsid w:val="000F7D48"/>
    <w:rsid w:val="000F7E81"/>
    <w:rsid w:val="0010213E"/>
    <w:rsid w:val="0010740E"/>
    <w:rsid w:val="00107853"/>
    <w:rsid w:val="001078E2"/>
    <w:rsid w:val="00120390"/>
    <w:rsid w:val="00120929"/>
    <w:rsid w:val="0012347D"/>
    <w:rsid w:val="0012547F"/>
    <w:rsid w:val="00125622"/>
    <w:rsid w:val="001263BF"/>
    <w:rsid w:val="00127CFE"/>
    <w:rsid w:val="00130601"/>
    <w:rsid w:val="0013078A"/>
    <w:rsid w:val="00142F85"/>
    <w:rsid w:val="00142FD8"/>
    <w:rsid w:val="0014465C"/>
    <w:rsid w:val="001458F1"/>
    <w:rsid w:val="0014770C"/>
    <w:rsid w:val="00150A9B"/>
    <w:rsid w:val="00151DAB"/>
    <w:rsid w:val="00152054"/>
    <w:rsid w:val="00154FB8"/>
    <w:rsid w:val="001605E1"/>
    <w:rsid w:val="00161979"/>
    <w:rsid w:val="001659D0"/>
    <w:rsid w:val="00171F69"/>
    <w:rsid w:val="00172005"/>
    <w:rsid w:val="001761FA"/>
    <w:rsid w:val="00181CCF"/>
    <w:rsid w:val="00183562"/>
    <w:rsid w:val="00186134"/>
    <w:rsid w:val="00190433"/>
    <w:rsid w:val="00190B5E"/>
    <w:rsid w:val="00192417"/>
    <w:rsid w:val="001936E3"/>
    <w:rsid w:val="00195AAE"/>
    <w:rsid w:val="001A6051"/>
    <w:rsid w:val="001A6C43"/>
    <w:rsid w:val="001B06E4"/>
    <w:rsid w:val="001B1DAB"/>
    <w:rsid w:val="001B2F0D"/>
    <w:rsid w:val="001B43A1"/>
    <w:rsid w:val="001B67F1"/>
    <w:rsid w:val="001C2684"/>
    <w:rsid w:val="001C2ED4"/>
    <w:rsid w:val="001C4567"/>
    <w:rsid w:val="001C76EE"/>
    <w:rsid w:val="001D3132"/>
    <w:rsid w:val="001D5A7C"/>
    <w:rsid w:val="001D6D09"/>
    <w:rsid w:val="001E1F7E"/>
    <w:rsid w:val="001E1FC6"/>
    <w:rsid w:val="001E2A4C"/>
    <w:rsid w:val="001E5385"/>
    <w:rsid w:val="001E5684"/>
    <w:rsid w:val="001F14D3"/>
    <w:rsid w:val="001F3986"/>
    <w:rsid w:val="001F4110"/>
    <w:rsid w:val="002019B6"/>
    <w:rsid w:val="00203698"/>
    <w:rsid w:val="00206806"/>
    <w:rsid w:val="00207764"/>
    <w:rsid w:val="00211267"/>
    <w:rsid w:val="00211C56"/>
    <w:rsid w:val="00214BC1"/>
    <w:rsid w:val="0021559A"/>
    <w:rsid w:val="00217D6F"/>
    <w:rsid w:val="002213CF"/>
    <w:rsid w:val="0022333B"/>
    <w:rsid w:val="00225CF9"/>
    <w:rsid w:val="00227326"/>
    <w:rsid w:val="00227AAA"/>
    <w:rsid w:val="00232DCD"/>
    <w:rsid w:val="00236F3C"/>
    <w:rsid w:val="00240705"/>
    <w:rsid w:val="002410DF"/>
    <w:rsid w:val="002414E8"/>
    <w:rsid w:val="00242011"/>
    <w:rsid w:val="00244DC5"/>
    <w:rsid w:val="002463B3"/>
    <w:rsid w:val="00246CC2"/>
    <w:rsid w:val="00251B2B"/>
    <w:rsid w:val="002530CC"/>
    <w:rsid w:val="00253426"/>
    <w:rsid w:val="00254560"/>
    <w:rsid w:val="002566A8"/>
    <w:rsid w:val="0026021C"/>
    <w:rsid w:val="00261694"/>
    <w:rsid w:val="00263A6A"/>
    <w:rsid w:val="00274676"/>
    <w:rsid w:val="00275BFF"/>
    <w:rsid w:val="00280DCF"/>
    <w:rsid w:val="00282009"/>
    <w:rsid w:val="002837A1"/>
    <w:rsid w:val="002845A9"/>
    <w:rsid w:val="00293F2D"/>
    <w:rsid w:val="00294106"/>
    <w:rsid w:val="0029581C"/>
    <w:rsid w:val="00295FC0"/>
    <w:rsid w:val="0029607C"/>
    <w:rsid w:val="002961E5"/>
    <w:rsid w:val="002A3CC9"/>
    <w:rsid w:val="002A45B3"/>
    <w:rsid w:val="002B26A7"/>
    <w:rsid w:val="002B33B9"/>
    <w:rsid w:val="002B35D6"/>
    <w:rsid w:val="002B5AB9"/>
    <w:rsid w:val="002B7393"/>
    <w:rsid w:val="002B7A2A"/>
    <w:rsid w:val="002C07AE"/>
    <w:rsid w:val="002C11BC"/>
    <w:rsid w:val="002C2DE4"/>
    <w:rsid w:val="002C4ADE"/>
    <w:rsid w:val="002C5D99"/>
    <w:rsid w:val="002D1CEC"/>
    <w:rsid w:val="002D3ADA"/>
    <w:rsid w:val="002D5A9A"/>
    <w:rsid w:val="002E304E"/>
    <w:rsid w:val="002E3F95"/>
    <w:rsid w:val="002E7FF8"/>
    <w:rsid w:val="002F35EB"/>
    <w:rsid w:val="002F41B0"/>
    <w:rsid w:val="002F7D54"/>
    <w:rsid w:val="00303569"/>
    <w:rsid w:val="003038BD"/>
    <w:rsid w:val="003067C2"/>
    <w:rsid w:val="00306973"/>
    <w:rsid w:val="00307B8F"/>
    <w:rsid w:val="003129A3"/>
    <w:rsid w:val="00314F16"/>
    <w:rsid w:val="00316D80"/>
    <w:rsid w:val="00321D15"/>
    <w:rsid w:val="00321DC3"/>
    <w:rsid w:val="00333882"/>
    <w:rsid w:val="00333CFB"/>
    <w:rsid w:val="00334448"/>
    <w:rsid w:val="00336015"/>
    <w:rsid w:val="003430EB"/>
    <w:rsid w:val="00352046"/>
    <w:rsid w:val="00354A7E"/>
    <w:rsid w:val="00355558"/>
    <w:rsid w:val="00357343"/>
    <w:rsid w:val="003603B3"/>
    <w:rsid w:val="00363090"/>
    <w:rsid w:val="00365CBE"/>
    <w:rsid w:val="00367EAE"/>
    <w:rsid w:val="00372A07"/>
    <w:rsid w:val="00374ED0"/>
    <w:rsid w:val="00375C7B"/>
    <w:rsid w:val="00375CB2"/>
    <w:rsid w:val="003760A1"/>
    <w:rsid w:val="00376377"/>
    <w:rsid w:val="00376CE1"/>
    <w:rsid w:val="00381D37"/>
    <w:rsid w:val="00381FE7"/>
    <w:rsid w:val="003822D6"/>
    <w:rsid w:val="0038432C"/>
    <w:rsid w:val="00386147"/>
    <w:rsid w:val="0038719B"/>
    <w:rsid w:val="003903E2"/>
    <w:rsid w:val="003904EC"/>
    <w:rsid w:val="00392E61"/>
    <w:rsid w:val="00394923"/>
    <w:rsid w:val="003949F4"/>
    <w:rsid w:val="00396619"/>
    <w:rsid w:val="0039722C"/>
    <w:rsid w:val="003A5C26"/>
    <w:rsid w:val="003A6D26"/>
    <w:rsid w:val="003B19B4"/>
    <w:rsid w:val="003B2F98"/>
    <w:rsid w:val="003B41B7"/>
    <w:rsid w:val="003B60B5"/>
    <w:rsid w:val="003B650E"/>
    <w:rsid w:val="003C34BA"/>
    <w:rsid w:val="003C3963"/>
    <w:rsid w:val="003C3E94"/>
    <w:rsid w:val="003D014F"/>
    <w:rsid w:val="003D1454"/>
    <w:rsid w:val="003D3A00"/>
    <w:rsid w:val="003D4A81"/>
    <w:rsid w:val="003D7AA8"/>
    <w:rsid w:val="003E5DBA"/>
    <w:rsid w:val="003E66BA"/>
    <w:rsid w:val="00404CD0"/>
    <w:rsid w:val="00405B07"/>
    <w:rsid w:val="00407A7A"/>
    <w:rsid w:val="00410D08"/>
    <w:rsid w:val="0041583E"/>
    <w:rsid w:val="00426522"/>
    <w:rsid w:val="00426DE1"/>
    <w:rsid w:val="00427908"/>
    <w:rsid w:val="00430329"/>
    <w:rsid w:val="004310C0"/>
    <w:rsid w:val="00431946"/>
    <w:rsid w:val="0043214A"/>
    <w:rsid w:val="004346DA"/>
    <w:rsid w:val="0043592A"/>
    <w:rsid w:val="00444299"/>
    <w:rsid w:val="004463FC"/>
    <w:rsid w:val="0045085E"/>
    <w:rsid w:val="00454415"/>
    <w:rsid w:val="00464856"/>
    <w:rsid w:val="0046766A"/>
    <w:rsid w:val="0047018F"/>
    <w:rsid w:val="0047258F"/>
    <w:rsid w:val="00474B02"/>
    <w:rsid w:val="0048497E"/>
    <w:rsid w:val="004901ED"/>
    <w:rsid w:val="00490305"/>
    <w:rsid w:val="00491153"/>
    <w:rsid w:val="00491E26"/>
    <w:rsid w:val="004927AF"/>
    <w:rsid w:val="00494605"/>
    <w:rsid w:val="004977BA"/>
    <w:rsid w:val="004A0506"/>
    <w:rsid w:val="004A054D"/>
    <w:rsid w:val="004A08E2"/>
    <w:rsid w:val="004A17F4"/>
    <w:rsid w:val="004B0941"/>
    <w:rsid w:val="004B0A0A"/>
    <w:rsid w:val="004B11DD"/>
    <w:rsid w:val="004B2E6A"/>
    <w:rsid w:val="004B3848"/>
    <w:rsid w:val="004B57D7"/>
    <w:rsid w:val="004B5BA1"/>
    <w:rsid w:val="004B7617"/>
    <w:rsid w:val="004C0A55"/>
    <w:rsid w:val="004C5FD4"/>
    <w:rsid w:val="004D2920"/>
    <w:rsid w:val="004D3C71"/>
    <w:rsid w:val="004D442A"/>
    <w:rsid w:val="004D4873"/>
    <w:rsid w:val="004E6B4A"/>
    <w:rsid w:val="004F23B5"/>
    <w:rsid w:val="0050362C"/>
    <w:rsid w:val="00506E39"/>
    <w:rsid w:val="00507017"/>
    <w:rsid w:val="00510FED"/>
    <w:rsid w:val="005128AE"/>
    <w:rsid w:val="00512A84"/>
    <w:rsid w:val="00513E99"/>
    <w:rsid w:val="00523C67"/>
    <w:rsid w:val="00523C90"/>
    <w:rsid w:val="00526A75"/>
    <w:rsid w:val="00527F80"/>
    <w:rsid w:val="00530348"/>
    <w:rsid w:val="0053105D"/>
    <w:rsid w:val="005320A1"/>
    <w:rsid w:val="0053250D"/>
    <w:rsid w:val="00532F72"/>
    <w:rsid w:val="005339AD"/>
    <w:rsid w:val="00541F6D"/>
    <w:rsid w:val="00542501"/>
    <w:rsid w:val="00542951"/>
    <w:rsid w:val="0054768C"/>
    <w:rsid w:val="00553A73"/>
    <w:rsid w:val="00553E5C"/>
    <w:rsid w:val="00555030"/>
    <w:rsid w:val="00556912"/>
    <w:rsid w:val="005569DC"/>
    <w:rsid w:val="00556FFE"/>
    <w:rsid w:val="005628E9"/>
    <w:rsid w:val="0056479A"/>
    <w:rsid w:val="00575A1D"/>
    <w:rsid w:val="00576210"/>
    <w:rsid w:val="00576DC0"/>
    <w:rsid w:val="0058076B"/>
    <w:rsid w:val="005807A4"/>
    <w:rsid w:val="00581F3A"/>
    <w:rsid w:val="0058392C"/>
    <w:rsid w:val="005840A3"/>
    <w:rsid w:val="00584A6F"/>
    <w:rsid w:val="00585B14"/>
    <w:rsid w:val="0058672E"/>
    <w:rsid w:val="00590C6B"/>
    <w:rsid w:val="005913E3"/>
    <w:rsid w:val="0059459C"/>
    <w:rsid w:val="00597E4D"/>
    <w:rsid w:val="005A125B"/>
    <w:rsid w:val="005A5279"/>
    <w:rsid w:val="005A78E2"/>
    <w:rsid w:val="005B019A"/>
    <w:rsid w:val="005B32CF"/>
    <w:rsid w:val="005B5205"/>
    <w:rsid w:val="005B5896"/>
    <w:rsid w:val="005C239D"/>
    <w:rsid w:val="005C2D39"/>
    <w:rsid w:val="005C3AA0"/>
    <w:rsid w:val="005C6396"/>
    <w:rsid w:val="005D072A"/>
    <w:rsid w:val="005D1FF9"/>
    <w:rsid w:val="005D2095"/>
    <w:rsid w:val="005D406A"/>
    <w:rsid w:val="005D40B0"/>
    <w:rsid w:val="005D7A36"/>
    <w:rsid w:val="005E1C7F"/>
    <w:rsid w:val="005E28EB"/>
    <w:rsid w:val="005E4008"/>
    <w:rsid w:val="005E4448"/>
    <w:rsid w:val="005E6DED"/>
    <w:rsid w:val="005F00FB"/>
    <w:rsid w:val="005F1BD4"/>
    <w:rsid w:val="005F1D58"/>
    <w:rsid w:val="005F366E"/>
    <w:rsid w:val="006009F9"/>
    <w:rsid w:val="00600E48"/>
    <w:rsid w:val="00602A8F"/>
    <w:rsid w:val="00603BD2"/>
    <w:rsid w:val="00605E87"/>
    <w:rsid w:val="006063E8"/>
    <w:rsid w:val="00607C2E"/>
    <w:rsid w:val="00613D2E"/>
    <w:rsid w:val="00616287"/>
    <w:rsid w:val="00624DB9"/>
    <w:rsid w:val="006326A3"/>
    <w:rsid w:val="0063597B"/>
    <w:rsid w:val="00637F40"/>
    <w:rsid w:val="00643303"/>
    <w:rsid w:val="006451EE"/>
    <w:rsid w:val="0064551D"/>
    <w:rsid w:val="00650BD4"/>
    <w:rsid w:val="00653754"/>
    <w:rsid w:val="00655CAE"/>
    <w:rsid w:val="00656EB4"/>
    <w:rsid w:val="00657E7F"/>
    <w:rsid w:val="00660322"/>
    <w:rsid w:val="00662CB3"/>
    <w:rsid w:val="00662ED5"/>
    <w:rsid w:val="00666CB8"/>
    <w:rsid w:val="0067074D"/>
    <w:rsid w:val="0067295C"/>
    <w:rsid w:val="006804B5"/>
    <w:rsid w:val="00680FDA"/>
    <w:rsid w:val="00681CE7"/>
    <w:rsid w:val="006824D7"/>
    <w:rsid w:val="006827DC"/>
    <w:rsid w:val="00683A39"/>
    <w:rsid w:val="0068538A"/>
    <w:rsid w:val="00690A47"/>
    <w:rsid w:val="006926E7"/>
    <w:rsid w:val="00692EF8"/>
    <w:rsid w:val="00692FA5"/>
    <w:rsid w:val="00694B5E"/>
    <w:rsid w:val="00695738"/>
    <w:rsid w:val="00695F6C"/>
    <w:rsid w:val="00696FAA"/>
    <w:rsid w:val="00697D9F"/>
    <w:rsid w:val="006A3099"/>
    <w:rsid w:val="006A4992"/>
    <w:rsid w:val="006B1024"/>
    <w:rsid w:val="006B3509"/>
    <w:rsid w:val="006B38CE"/>
    <w:rsid w:val="006B7403"/>
    <w:rsid w:val="006B792D"/>
    <w:rsid w:val="006C06E7"/>
    <w:rsid w:val="006C2687"/>
    <w:rsid w:val="006D166F"/>
    <w:rsid w:val="006D2E9E"/>
    <w:rsid w:val="006D3031"/>
    <w:rsid w:val="006D6F63"/>
    <w:rsid w:val="006E25CA"/>
    <w:rsid w:val="006E48D3"/>
    <w:rsid w:val="006F1066"/>
    <w:rsid w:val="006F4248"/>
    <w:rsid w:val="006F5730"/>
    <w:rsid w:val="007003C7"/>
    <w:rsid w:val="00701506"/>
    <w:rsid w:val="007015A9"/>
    <w:rsid w:val="0070468B"/>
    <w:rsid w:val="007050B7"/>
    <w:rsid w:val="00705901"/>
    <w:rsid w:val="0071025B"/>
    <w:rsid w:val="007112DD"/>
    <w:rsid w:val="00711725"/>
    <w:rsid w:val="00714168"/>
    <w:rsid w:val="007154E9"/>
    <w:rsid w:val="00715DD9"/>
    <w:rsid w:val="00723CC8"/>
    <w:rsid w:val="007260DC"/>
    <w:rsid w:val="0073105C"/>
    <w:rsid w:val="00735802"/>
    <w:rsid w:val="00735C49"/>
    <w:rsid w:val="0073726E"/>
    <w:rsid w:val="007375D4"/>
    <w:rsid w:val="007403DA"/>
    <w:rsid w:val="0074263B"/>
    <w:rsid w:val="00743DAF"/>
    <w:rsid w:val="00745764"/>
    <w:rsid w:val="00746CCC"/>
    <w:rsid w:val="00747042"/>
    <w:rsid w:val="00751788"/>
    <w:rsid w:val="00752866"/>
    <w:rsid w:val="00756277"/>
    <w:rsid w:val="00760107"/>
    <w:rsid w:val="007615D1"/>
    <w:rsid w:val="00764D6D"/>
    <w:rsid w:val="00765789"/>
    <w:rsid w:val="0077094F"/>
    <w:rsid w:val="00772B5B"/>
    <w:rsid w:val="00775E1E"/>
    <w:rsid w:val="007766E4"/>
    <w:rsid w:val="0078128E"/>
    <w:rsid w:val="0078158E"/>
    <w:rsid w:val="007839B3"/>
    <w:rsid w:val="00786F61"/>
    <w:rsid w:val="00793144"/>
    <w:rsid w:val="00795659"/>
    <w:rsid w:val="007A573F"/>
    <w:rsid w:val="007A6320"/>
    <w:rsid w:val="007A68D8"/>
    <w:rsid w:val="007B011E"/>
    <w:rsid w:val="007B274D"/>
    <w:rsid w:val="007B43E1"/>
    <w:rsid w:val="007C429D"/>
    <w:rsid w:val="007C499B"/>
    <w:rsid w:val="007D1EA7"/>
    <w:rsid w:val="007D6D99"/>
    <w:rsid w:val="007D75D0"/>
    <w:rsid w:val="007E1B68"/>
    <w:rsid w:val="007E2975"/>
    <w:rsid w:val="007E51EA"/>
    <w:rsid w:val="007E5E0A"/>
    <w:rsid w:val="007F20A8"/>
    <w:rsid w:val="007F28C0"/>
    <w:rsid w:val="008005EF"/>
    <w:rsid w:val="008039AA"/>
    <w:rsid w:val="00807488"/>
    <w:rsid w:val="00810C4F"/>
    <w:rsid w:val="00814EA7"/>
    <w:rsid w:val="00816093"/>
    <w:rsid w:val="00816B10"/>
    <w:rsid w:val="00817FDA"/>
    <w:rsid w:val="00821215"/>
    <w:rsid w:val="00821EC1"/>
    <w:rsid w:val="00822A43"/>
    <w:rsid w:val="00826737"/>
    <w:rsid w:val="00827D20"/>
    <w:rsid w:val="00837967"/>
    <w:rsid w:val="008405C0"/>
    <w:rsid w:val="008406D9"/>
    <w:rsid w:val="008407E1"/>
    <w:rsid w:val="008409A4"/>
    <w:rsid w:val="00840D80"/>
    <w:rsid w:val="00840EEE"/>
    <w:rsid w:val="00843D3F"/>
    <w:rsid w:val="00843E05"/>
    <w:rsid w:val="008445FB"/>
    <w:rsid w:val="00844921"/>
    <w:rsid w:val="008473ED"/>
    <w:rsid w:val="0085023F"/>
    <w:rsid w:val="00851785"/>
    <w:rsid w:val="0085181E"/>
    <w:rsid w:val="00851826"/>
    <w:rsid w:val="00854169"/>
    <w:rsid w:val="008550ED"/>
    <w:rsid w:val="00857593"/>
    <w:rsid w:val="00861521"/>
    <w:rsid w:val="00863212"/>
    <w:rsid w:val="0086611D"/>
    <w:rsid w:val="00867FCF"/>
    <w:rsid w:val="00870BD4"/>
    <w:rsid w:val="008730CA"/>
    <w:rsid w:val="00875815"/>
    <w:rsid w:val="00875BCC"/>
    <w:rsid w:val="00875DA9"/>
    <w:rsid w:val="00877456"/>
    <w:rsid w:val="0088017F"/>
    <w:rsid w:val="00882D96"/>
    <w:rsid w:val="00883677"/>
    <w:rsid w:val="00884B89"/>
    <w:rsid w:val="008926A4"/>
    <w:rsid w:val="00893473"/>
    <w:rsid w:val="00895456"/>
    <w:rsid w:val="008A0EA5"/>
    <w:rsid w:val="008A20D2"/>
    <w:rsid w:val="008A2FA9"/>
    <w:rsid w:val="008A410F"/>
    <w:rsid w:val="008A4F97"/>
    <w:rsid w:val="008A6478"/>
    <w:rsid w:val="008A6655"/>
    <w:rsid w:val="008A6BA7"/>
    <w:rsid w:val="008B0AE3"/>
    <w:rsid w:val="008B46D7"/>
    <w:rsid w:val="008B4EC9"/>
    <w:rsid w:val="008B6E08"/>
    <w:rsid w:val="008C0AD5"/>
    <w:rsid w:val="008C0B1A"/>
    <w:rsid w:val="008C16F7"/>
    <w:rsid w:val="008C234C"/>
    <w:rsid w:val="008C341B"/>
    <w:rsid w:val="008C395F"/>
    <w:rsid w:val="008C5916"/>
    <w:rsid w:val="008C658F"/>
    <w:rsid w:val="008C71D9"/>
    <w:rsid w:val="008C7C61"/>
    <w:rsid w:val="008D0A88"/>
    <w:rsid w:val="008D0F6C"/>
    <w:rsid w:val="008D1D38"/>
    <w:rsid w:val="008D3D5C"/>
    <w:rsid w:val="008D6D13"/>
    <w:rsid w:val="008D7362"/>
    <w:rsid w:val="008D7BE4"/>
    <w:rsid w:val="008E68A3"/>
    <w:rsid w:val="008E7DAA"/>
    <w:rsid w:val="008F042B"/>
    <w:rsid w:val="00900A4A"/>
    <w:rsid w:val="00903EEE"/>
    <w:rsid w:val="00910DCF"/>
    <w:rsid w:val="00911C31"/>
    <w:rsid w:val="009147F5"/>
    <w:rsid w:val="00914ED2"/>
    <w:rsid w:val="009162DD"/>
    <w:rsid w:val="009208BF"/>
    <w:rsid w:val="00922DF5"/>
    <w:rsid w:val="00932283"/>
    <w:rsid w:val="00932D9C"/>
    <w:rsid w:val="00936020"/>
    <w:rsid w:val="00937BCF"/>
    <w:rsid w:val="00944747"/>
    <w:rsid w:val="0094648B"/>
    <w:rsid w:val="00947E6B"/>
    <w:rsid w:val="00952F16"/>
    <w:rsid w:val="0095352E"/>
    <w:rsid w:val="00953B9A"/>
    <w:rsid w:val="009546CE"/>
    <w:rsid w:val="009656FC"/>
    <w:rsid w:val="00965963"/>
    <w:rsid w:val="00970743"/>
    <w:rsid w:val="00974379"/>
    <w:rsid w:val="00975F3B"/>
    <w:rsid w:val="009800AC"/>
    <w:rsid w:val="0098091E"/>
    <w:rsid w:val="009810F3"/>
    <w:rsid w:val="00981E64"/>
    <w:rsid w:val="009822C6"/>
    <w:rsid w:val="00985361"/>
    <w:rsid w:val="009858AD"/>
    <w:rsid w:val="0099481F"/>
    <w:rsid w:val="00994F90"/>
    <w:rsid w:val="0099798B"/>
    <w:rsid w:val="00997A08"/>
    <w:rsid w:val="009A0CC1"/>
    <w:rsid w:val="009A119B"/>
    <w:rsid w:val="009A212D"/>
    <w:rsid w:val="009A327F"/>
    <w:rsid w:val="009A7236"/>
    <w:rsid w:val="009A7858"/>
    <w:rsid w:val="009B0985"/>
    <w:rsid w:val="009B24FC"/>
    <w:rsid w:val="009B2C47"/>
    <w:rsid w:val="009B57EC"/>
    <w:rsid w:val="009B6244"/>
    <w:rsid w:val="009C0A06"/>
    <w:rsid w:val="009C5B8C"/>
    <w:rsid w:val="009D17B6"/>
    <w:rsid w:val="009D1DF8"/>
    <w:rsid w:val="009D232E"/>
    <w:rsid w:val="009D39FA"/>
    <w:rsid w:val="009D5EC7"/>
    <w:rsid w:val="009D72B5"/>
    <w:rsid w:val="009D77BD"/>
    <w:rsid w:val="009E0C09"/>
    <w:rsid w:val="009E1A4D"/>
    <w:rsid w:val="009E1F66"/>
    <w:rsid w:val="009E30AA"/>
    <w:rsid w:val="009E4A87"/>
    <w:rsid w:val="009E4A8C"/>
    <w:rsid w:val="009E52EF"/>
    <w:rsid w:val="009E5718"/>
    <w:rsid w:val="009E6B6A"/>
    <w:rsid w:val="009E7AA4"/>
    <w:rsid w:val="009F03D7"/>
    <w:rsid w:val="009F1B3C"/>
    <w:rsid w:val="009F24DD"/>
    <w:rsid w:val="009F6968"/>
    <w:rsid w:val="00A11DB9"/>
    <w:rsid w:val="00A154A4"/>
    <w:rsid w:val="00A15F22"/>
    <w:rsid w:val="00A2439B"/>
    <w:rsid w:val="00A245B1"/>
    <w:rsid w:val="00A2491A"/>
    <w:rsid w:val="00A25CE4"/>
    <w:rsid w:val="00A3044C"/>
    <w:rsid w:val="00A3443E"/>
    <w:rsid w:val="00A35521"/>
    <w:rsid w:val="00A3720B"/>
    <w:rsid w:val="00A4067C"/>
    <w:rsid w:val="00A4284F"/>
    <w:rsid w:val="00A44112"/>
    <w:rsid w:val="00A45562"/>
    <w:rsid w:val="00A52F8A"/>
    <w:rsid w:val="00A5350D"/>
    <w:rsid w:val="00A571FF"/>
    <w:rsid w:val="00A616E3"/>
    <w:rsid w:val="00A61A17"/>
    <w:rsid w:val="00A6370B"/>
    <w:rsid w:val="00A65848"/>
    <w:rsid w:val="00A73F0D"/>
    <w:rsid w:val="00A74A84"/>
    <w:rsid w:val="00A74CE4"/>
    <w:rsid w:val="00A7500E"/>
    <w:rsid w:val="00A76BBA"/>
    <w:rsid w:val="00A850A9"/>
    <w:rsid w:val="00A871B0"/>
    <w:rsid w:val="00A968CE"/>
    <w:rsid w:val="00AA06BE"/>
    <w:rsid w:val="00AA1462"/>
    <w:rsid w:val="00AA4085"/>
    <w:rsid w:val="00AB14BC"/>
    <w:rsid w:val="00AB3837"/>
    <w:rsid w:val="00AB441A"/>
    <w:rsid w:val="00AB4605"/>
    <w:rsid w:val="00AB5535"/>
    <w:rsid w:val="00AB5D1B"/>
    <w:rsid w:val="00AB5DCD"/>
    <w:rsid w:val="00AB6087"/>
    <w:rsid w:val="00AB74A2"/>
    <w:rsid w:val="00AC2235"/>
    <w:rsid w:val="00AC38A8"/>
    <w:rsid w:val="00AC6B7D"/>
    <w:rsid w:val="00AC78E1"/>
    <w:rsid w:val="00AD0362"/>
    <w:rsid w:val="00AD4F0E"/>
    <w:rsid w:val="00AD5A2E"/>
    <w:rsid w:val="00AD65B4"/>
    <w:rsid w:val="00AE059D"/>
    <w:rsid w:val="00AE2676"/>
    <w:rsid w:val="00AE38C7"/>
    <w:rsid w:val="00AE41E5"/>
    <w:rsid w:val="00AE6B3A"/>
    <w:rsid w:val="00AE7CD3"/>
    <w:rsid w:val="00AF0CD2"/>
    <w:rsid w:val="00AF0FCB"/>
    <w:rsid w:val="00AF371B"/>
    <w:rsid w:val="00AF42BB"/>
    <w:rsid w:val="00AF4585"/>
    <w:rsid w:val="00AF5609"/>
    <w:rsid w:val="00AF724D"/>
    <w:rsid w:val="00AF75CD"/>
    <w:rsid w:val="00B00047"/>
    <w:rsid w:val="00B00D6A"/>
    <w:rsid w:val="00B02359"/>
    <w:rsid w:val="00B0391C"/>
    <w:rsid w:val="00B053F8"/>
    <w:rsid w:val="00B07FC8"/>
    <w:rsid w:val="00B10121"/>
    <w:rsid w:val="00B10648"/>
    <w:rsid w:val="00B15584"/>
    <w:rsid w:val="00B15B4F"/>
    <w:rsid w:val="00B16120"/>
    <w:rsid w:val="00B16B26"/>
    <w:rsid w:val="00B16C99"/>
    <w:rsid w:val="00B207C2"/>
    <w:rsid w:val="00B22565"/>
    <w:rsid w:val="00B23D13"/>
    <w:rsid w:val="00B251FE"/>
    <w:rsid w:val="00B253E0"/>
    <w:rsid w:val="00B31EC2"/>
    <w:rsid w:val="00B42C99"/>
    <w:rsid w:val="00B4718A"/>
    <w:rsid w:val="00B51172"/>
    <w:rsid w:val="00B5253E"/>
    <w:rsid w:val="00B54A0D"/>
    <w:rsid w:val="00B55F23"/>
    <w:rsid w:val="00B56238"/>
    <w:rsid w:val="00B60805"/>
    <w:rsid w:val="00B62ED1"/>
    <w:rsid w:val="00B63DAF"/>
    <w:rsid w:val="00B640F4"/>
    <w:rsid w:val="00B64ED4"/>
    <w:rsid w:val="00B66392"/>
    <w:rsid w:val="00B72672"/>
    <w:rsid w:val="00B73986"/>
    <w:rsid w:val="00B74576"/>
    <w:rsid w:val="00B7734E"/>
    <w:rsid w:val="00B7785B"/>
    <w:rsid w:val="00B80B43"/>
    <w:rsid w:val="00B80CFC"/>
    <w:rsid w:val="00B814F2"/>
    <w:rsid w:val="00B82132"/>
    <w:rsid w:val="00B83A27"/>
    <w:rsid w:val="00B91FDC"/>
    <w:rsid w:val="00B92154"/>
    <w:rsid w:val="00B92292"/>
    <w:rsid w:val="00B96433"/>
    <w:rsid w:val="00B97635"/>
    <w:rsid w:val="00BB04A6"/>
    <w:rsid w:val="00BB13BC"/>
    <w:rsid w:val="00BB2424"/>
    <w:rsid w:val="00BB42D3"/>
    <w:rsid w:val="00BB58FC"/>
    <w:rsid w:val="00BC1A83"/>
    <w:rsid w:val="00BC3741"/>
    <w:rsid w:val="00BC3EDD"/>
    <w:rsid w:val="00BC524D"/>
    <w:rsid w:val="00BC7863"/>
    <w:rsid w:val="00BD2B13"/>
    <w:rsid w:val="00BE1235"/>
    <w:rsid w:val="00BE403A"/>
    <w:rsid w:val="00BF1323"/>
    <w:rsid w:val="00BF4D2D"/>
    <w:rsid w:val="00BF613B"/>
    <w:rsid w:val="00BF73AC"/>
    <w:rsid w:val="00C012C8"/>
    <w:rsid w:val="00C0161E"/>
    <w:rsid w:val="00C13929"/>
    <w:rsid w:val="00C13B69"/>
    <w:rsid w:val="00C156CE"/>
    <w:rsid w:val="00C17860"/>
    <w:rsid w:val="00C200D2"/>
    <w:rsid w:val="00C213BC"/>
    <w:rsid w:val="00C21600"/>
    <w:rsid w:val="00C217AF"/>
    <w:rsid w:val="00C21DED"/>
    <w:rsid w:val="00C26135"/>
    <w:rsid w:val="00C27D3B"/>
    <w:rsid w:val="00C31114"/>
    <w:rsid w:val="00C375DE"/>
    <w:rsid w:val="00C41683"/>
    <w:rsid w:val="00C41A7C"/>
    <w:rsid w:val="00C46779"/>
    <w:rsid w:val="00C512E4"/>
    <w:rsid w:val="00C51478"/>
    <w:rsid w:val="00C56B98"/>
    <w:rsid w:val="00C61B39"/>
    <w:rsid w:val="00C70428"/>
    <w:rsid w:val="00C712F3"/>
    <w:rsid w:val="00C71F6F"/>
    <w:rsid w:val="00C739A1"/>
    <w:rsid w:val="00C739CF"/>
    <w:rsid w:val="00C73D2D"/>
    <w:rsid w:val="00C75C88"/>
    <w:rsid w:val="00C76FEA"/>
    <w:rsid w:val="00C80796"/>
    <w:rsid w:val="00C83929"/>
    <w:rsid w:val="00C844BE"/>
    <w:rsid w:val="00C867FE"/>
    <w:rsid w:val="00C91E05"/>
    <w:rsid w:val="00C93118"/>
    <w:rsid w:val="00C93E75"/>
    <w:rsid w:val="00CA009C"/>
    <w:rsid w:val="00CA092E"/>
    <w:rsid w:val="00CA3F31"/>
    <w:rsid w:val="00CA4EE4"/>
    <w:rsid w:val="00CB2674"/>
    <w:rsid w:val="00CB3B06"/>
    <w:rsid w:val="00CB4D3A"/>
    <w:rsid w:val="00CB68E4"/>
    <w:rsid w:val="00CB7933"/>
    <w:rsid w:val="00CC28EE"/>
    <w:rsid w:val="00CC2B10"/>
    <w:rsid w:val="00CC516D"/>
    <w:rsid w:val="00CC7512"/>
    <w:rsid w:val="00CD1073"/>
    <w:rsid w:val="00CD18AB"/>
    <w:rsid w:val="00CD1BC3"/>
    <w:rsid w:val="00CD2391"/>
    <w:rsid w:val="00CD262E"/>
    <w:rsid w:val="00CD6166"/>
    <w:rsid w:val="00CD64F4"/>
    <w:rsid w:val="00CE10C8"/>
    <w:rsid w:val="00CE22F0"/>
    <w:rsid w:val="00CE4B34"/>
    <w:rsid w:val="00D00254"/>
    <w:rsid w:val="00D006F3"/>
    <w:rsid w:val="00D007F7"/>
    <w:rsid w:val="00D031BC"/>
    <w:rsid w:val="00D04ADC"/>
    <w:rsid w:val="00D056C8"/>
    <w:rsid w:val="00D0589B"/>
    <w:rsid w:val="00D070A4"/>
    <w:rsid w:val="00D101A4"/>
    <w:rsid w:val="00D12C0C"/>
    <w:rsid w:val="00D1595D"/>
    <w:rsid w:val="00D1614D"/>
    <w:rsid w:val="00D165D6"/>
    <w:rsid w:val="00D2383A"/>
    <w:rsid w:val="00D250BF"/>
    <w:rsid w:val="00D26F5E"/>
    <w:rsid w:val="00D31DB1"/>
    <w:rsid w:val="00D43032"/>
    <w:rsid w:val="00D430CE"/>
    <w:rsid w:val="00D435A1"/>
    <w:rsid w:val="00D462C8"/>
    <w:rsid w:val="00D46BA5"/>
    <w:rsid w:val="00D50261"/>
    <w:rsid w:val="00D53335"/>
    <w:rsid w:val="00D53C86"/>
    <w:rsid w:val="00D577F8"/>
    <w:rsid w:val="00D57F67"/>
    <w:rsid w:val="00D61E1B"/>
    <w:rsid w:val="00D62705"/>
    <w:rsid w:val="00D6426B"/>
    <w:rsid w:val="00D66D56"/>
    <w:rsid w:val="00D67048"/>
    <w:rsid w:val="00D7214D"/>
    <w:rsid w:val="00D73B8E"/>
    <w:rsid w:val="00D74C12"/>
    <w:rsid w:val="00D74C46"/>
    <w:rsid w:val="00D80784"/>
    <w:rsid w:val="00D82154"/>
    <w:rsid w:val="00D823C5"/>
    <w:rsid w:val="00D8504C"/>
    <w:rsid w:val="00D85B47"/>
    <w:rsid w:val="00D8718C"/>
    <w:rsid w:val="00D90202"/>
    <w:rsid w:val="00D90207"/>
    <w:rsid w:val="00D90292"/>
    <w:rsid w:val="00D97D2A"/>
    <w:rsid w:val="00DA0F7F"/>
    <w:rsid w:val="00DA4CFC"/>
    <w:rsid w:val="00DA5C35"/>
    <w:rsid w:val="00DB09B9"/>
    <w:rsid w:val="00DB1B76"/>
    <w:rsid w:val="00DB3017"/>
    <w:rsid w:val="00DB317A"/>
    <w:rsid w:val="00DB6848"/>
    <w:rsid w:val="00DC142D"/>
    <w:rsid w:val="00DC2EE1"/>
    <w:rsid w:val="00DC4CCC"/>
    <w:rsid w:val="00DC7CC5"/>
    <w:rsid w:val="00DD3EDB"/>
    <w:rsid w:val="00DD47EF"/>
    <w:rsid w:val="00DE1269"/>
    <w:rsid w:val="00DE2CE2"/>
    <w:rsid w:val="00DE426F"/>
    <w:rsid w:val="00DE6F08"/>
    <w:rsid w:val="00DE742E"/>
    <w:rsid w:val="00DF1121"/>
    <w:rsid w:val="00DF17D7"/>
    <w:rsid w:val="00DF1F54"/>
    <w:rsid w:val="00DF2F87"/>
    <w:rsid w:val="00DF35F6"/>
    <w:rsid w:val="00DF3883"/>
    <w:rsid w:val="00DF69FB"/>
    <w:rsid w:val="00E027CB"/>
    <w:rsid w:val="00E02C6D"/>
    <w:rsid w:val="00E037D0"/>
    <w:rsid w:val="00E113DF"/>
    <w:rsid w:val="00E12B56"/>
    <w:rsid w:val="00E15AB5"/>
    <w:rsid w:val="00E201E3"/>
    <w:rsid w:val="00E205BB"/>
    <w:rsid w:val="00E2362E"/>
    <w:rsid w:val="00E2597C"/>
    <w:rsid w:val="00E27A5F"/>
    <w:rsid w:val="00E34504"/>
    <w:rsid w:val="00E34A17"/>
    <w:rsid w:val="00E3654C"/>
    <w:rsid w:val="00E37E8A"/>
    <w:rsid w:val="00E420B4"/>
    <w:rsid w:val="00E42B7E"/>
    <w:rsid w:val="00E42D22"/>
    <w:rsid w:val="00E4323E"/>
    <w:rsid w:val="00E443EC"/>
    <w:rsid w:val="00E457F7"/>
    <w:rsid w:val="00E458DF"/>
    <w:rsid w:val="00E459B7"/>
    <w:rsid w:val="00E46023"/>
    <w:rsid w:val="00E46B22"/>
    <w:rsid w:val="00E47C2D"/>
    <w:rsid w:val="00E54780"/>
    <w:rsid w:val="00E564F3"/>
    <w:rsid w:val="00E5752D"/>
    <w:rsid w:val="00E66DEF"/>
    <w:rsid w:val="00E72A52"/>
    <w:rsid w:val="00E74642"/>
    <w:rsid w:val="00E76B6D"/>
    <w:rsid w:val="00E775F4"/>
    <w:rsid w:val="00E87020"/>
    <w:rsid w:val="00E87BA4"/>
    <w:rsid w:val="00E90420"/>
    <w:rsid w:val="00E90824"/>
    <w:rsid w:val="00E97479"/>
    <w:rsid w:val="00EA17FE"/>
    <w:rsid w:val="00EA1ADC"/>
    <w:rsid w:val="00EA2B0F"/>
    <w:rsid w:val="00EA3ED0"/>
    <w:rsid w:val="00EA551E"/>
    <w:rsid w:val="00EA72AC"/>
    <w:rsid w:val="00EB110E"/>
    <w:rsid w:val="00EB35C2"/>
    <w:rsid w:val="00EB3E1C"/>
    <w:rsid w:val="00EB62A8"/>
    <w:rsid w:val="00EC0E9F"/>
    <w:rsid w:val="00EC2376"/>
    <w:rsid w:val="00EC2E2B"/>
    <w:rsid w:val="00EC3E70"/>
    <w:rsid w:val="00EC79C7"/>
    <w:rsid w:val="00EC7E52"/>
    <w:rsid w:val="00ED1A82"/>
    <w:rsid w:val="00ED2293"/>
    <w:rsid w:val="00ED3FB1"/>
    <w:rsid w:val="00ED4F44"/>
    <w:rsid w:val="00ED60B0"/>
    <w:rsid w:val="00ED6281"/>
    <w:rsid w:val="00ED715E"/>
    <w:rsid w:val="00ED75E7"/>
    <w:rsid w:val="00EE2019"/>
    <w:rsid w:val="00EE2544"/>
    <w:rsid w:val="00EE48BF"/>
    <w:rsid w:val="00EE5886"/>
    <w:rsid w:val="00EE6008"/>
    <w:rsid w:val="00EE74B3"/>
    <w:rsid w:val="00EE7A9B"/>
    <w:rsid w:val="00EF1024"/>
    <w:rsid w:val="00EF21E9"/>
    <w:rsid w:val="00EF222D"/>
    <w:rsid w:val="00EF3AA1"/>
    <w:rsid w:val="00EF3FBF"/>
    <w:rsid w:val="00EF49BE"/>
    <w:rsid w:val="00EF6432"/>
    <w:rsid w:val="00EF6A51"/>
    <w:rsid w:val="00F00FEB"/>
    <w:rsid w:val="00F02A31"/>
    <w:rsid w:val="00F04355"/>
    <w:rsid w:val="00F048BE"/>
    <w:rsid w:val="00F06BAB"/>
    <w:rsid w:val="00F06F6A"/>
    <w:rsid w:val="00F126DC"/>
    <w:rsid w:val="00F14D35"/>
    <w:rsid w:val="00F14E98"/>
    <w:rsid w:val="00F15A07"/>
    <w:rsid w:val="00F2066E"/>
    <w:rsid w:val="00F23E0A"/>
    <w:rsid w:val="00F246A9"/>
    <w:rsid w:val="00F314D3"/>
    <w:rsid w:val="00F35380"/>
    <w:rsid w:val="00F36113"/>
    <w:rsid w:val="00F365FE"/>
    <w:rsid w:val="00F371F4"/>
    <w:rsid w:val="00F42205"/>
    <w:rsid w:val="00F42975"/>
    <w:rsid w:val="00F435C1"/>
    <w:rsid w:val="00F44D59"/>
    <w:rsid w:val="00F45962"/>
    <w:rsid w:val="00F466A6"/>
    <w:rsid w:val="00F46AD0"/>
    <w:rsid w:val="00F473C8"/>
    <w:rsid w:val="00F50583"/>
    <w:rsid w:val="00F50818"/>
    <w:rsid w:val="00F51CD3"/>
    <w:rsid w:val="00F52767"/>
    <w:rsid w:val="00F52B1F"/>
    <w:rsid w:val="00F530F2"/>
    <w:rsid w:val="00F53FEC"/>
    <w:rsid w:val="00F54A15"/>
    <w:rsid w:val="00F55ED0"/>
    <w:rsid w:val="00F619D3"/>
    <w:rsid w:val="00F638BF"/>
    <w:rsid w:val="00F66128"/>
    <w:rsid w:val="00F70833"/>
    <w:rsid w:val="00F71293"/>
    <w:rsid w:val="00F7246A"/>
    <w:rsid w:val="00F7705E"/>
    <w:rsid w:val="00F8040C"/>
    <w:rsid w:val="00F841DB"/>
    <w:rsid w:val="00F9253F"/>
    <w:rsid w:val="00F936EF"/>
    <w:rsid w:val="00F940E5"/>
    <w:rsid w:val="00F953D8"/>
    <w:rsid w:val="00FA0909"/>
    <w:rsid w:val="00FA2C27"/>
    <w:rsid w:val="00FA2FAF"/>
    <w:rsid w:val="00FA44BA"/>
    <w:rsid w:val="00FA5B9A"/>
    <w:rsid w:val="00FA7F2C"/>
    <w:rsid w:val="00FB017E"/>
    <w:rsid w:val="00FB752F"/>
    <w:rsid w:val="00FC22C4"/>
    <w:rsid w:val="00FC71AE"/>
    <w:rsid w:val="00FD25A4"/>
    <w:rsid w:val="00FD35F6"/>
    <w:rsid w:val="00FD378F"/>
    <w:rsid w:val="00FD470E"/>
    <w:rsid w:val="00FD5A0D"/>
    <w:rsid w:val="00FE04B3"/>
    <w:rsid w:val="00FE1160"/>
    <w:rsid w:val="00FE1198"/>
    <w:rsid w:val="00FE1C51"/>
    <w:rsid w:val="00FE2789"/>
    <w:rsid w:val="00FE3E3F"/>
    <w:rsid w:val="00FE7CF5"/>
    <w:rsid w:val="00FF3107"/>
    <w:rsid w:val="00FF7103"/>
    <w:rsid w:val="010019A2"/>
    <w:rsid w:val="011944FF"/>
    <w:rsid w:val="01471753"/>
    <w:rsid w:val="015B3C33"/>
    <w:rsid w:val="01817A32"/>
    <w:rsid w:val="01C45175"/>
    <w:rsid w:val="01CE3A0A"/>
    <w:rsid w:val="01EC3E90"/>
    <w:rsid w:val="01F85E84"/>
    <w:rsid w:val="022A323E"/>
    <w:rsid w:val="02713C02"/>
    <w:rsid w:val="03020CFD"/>
    <w:rsid w:val="03B25883"/>
    <w:rsid w:val="04B055BB"/>
    <w:rsid w:val="050E6959"/>
    <w:rsid w:val="052B2F21"/>
    <w:rsid w:val="05FE0636"/>
    <w:rsid w:val="060A7680"/>
    <w:rsid w:val="061D5328"/>
    <w:rsid w:val="0653664A"/>
    <w:rsid w:val="06591E35"/>
    <w:rsid w:val="06CE625A"/>
    <w:rsid w:val="06CF1909"/>
    <w:rsid w:val="06EE0132"/>
    <w:rsid w:val="073C31C4"/>
    <w:rsid w:val="07527CC0"/>
    <w:rsid w:val="076C2BD4"/>
    <w:rsid w:val="07C332B6"/>
    <w:rsid w:val="08211EA8"/>
    <w:rsid w:val="089953A7"/>
    <w:rsid w:val="08F04266"/>
    <w:rsid w:val="09694E89"/>
    <w:rsid w:val="0A151BB1"/>
    <w:rsid w:val="0A8F670B"/>
    <w:rsid w:val="0AC21C32"/>
    <w:rsid w:val="0AC86CBC"/>
    <w:rsid w:val="0AFF5911"/>
    <w:rsid w:val="0B185EBC"/>
    <w:rsid w:val="0B1F72A3"/>
    <w:rsid w:val="0B384C85"/>
    <w:rsid w:val="0B4A4B3C"/>
    <w:rsid w:val="0BA23811"/>
    <w:rsid w:val="0BCF121A"/>
    <w:rsid w:val="0C85352A"/>
    <w:rsid w:val="0DAE0D8D"/>
    <w:rsid w:val="0DD56120"/>
    <w:rsid w:val="0DE71226"/>
    <w:rsid w:val="0DFC68F8"/>
    <w:rsid w:val="0E0864F9"/>
    <w:rsid w:val="0E15736C"/>
    <w:rsid w:val="0E273325"/>
    <w:rsid w:val="0E9454E6"/>
    <w:rsid w:val="0FBD30AD"/>
    <w:rsid w:val="0FC805D7"/>
    <w:rsid w:val="102F2B0F"/>
    <w:rsid w:val="10C66AC3"/>
    <w:rsid w:val="110B144C"/>
    <w:rsid w:val="11407A9B"/>
    <w:rsid w:val="114F130A"/>
    <w:rsid w:val="119970F9"/>
    <w:rsid w:val="11E81847"/>
    <w:rsid w:val="12573F56"/>
    <w:rsid w:val="125F2137"/>
    <w:rsid w:val="12E800C4"/>
    <w:rsid w:val="13411CBB"/>
    <w:rsid w:val="13D23751"/>
    <w:rsid w:val="14776ADC"/>
    <w:rsid w:val="14A92AFF"/>
    <w:rsid w:val="15454F12"/>
    <w:rsid w:val="154D390F"/>
    <w:rsid w:val="15EE7D7F"/>
    <w:rsid w:val="160F7636"/>
    <w:rsid w:val="161A13B0"/>
    <w:rsid w:val="16390C06"/>
    <w:rsid w:val="16BC1C2B"/>
    <w:rsid w:val="183F2B14"/>
    <w:rsid w:val="1842423C"/>
    <w:rsid w:val="1865622B"/>
    <w:rsid w:val="18AF4DAD"/>
    <w:rsid w:val="18C1177B"/>
    <w:rsid w:val="18D81444"/>
    <w:rsid w:val="19017DC9"/>
    <w:rsid w:val="19596863"/>
    <w:rsid w:val="196C3709"/>
    <w:rsid w:val="19882A4F"/>
    <w:rsid w:val="198B40AC"/>
    <w:rsid w:val="19F6114F"/>
    <w:rsid w:val="1A483B1F"/>
    <w:rsid w:val="1A550AD2"/>
    <w:rsid w:val="1A5F7CB5"/>
    <w:rsid w:val="1A6C3655"/>
    <w:rsid w:val="1B1A295C"/>
    <w:rsid w:val="1B1A632D"/>
    <w:rsid w:val="1B727773"/>
    <w:rsid w:val="1B9E2247"/>
    <w:rsid w:val="1BA50EE0"/>
    <w:rsid w:val="1BAF5EC7"/>
    <w:rsid w:val="1BF0033E"/>
    <w:rsid w:val="1CB3587E"/>
    <w:rsid w:val="1CC63804"/>
    <w:rsid w:val="1CFC46D4"/>
    <w:rsid w:val="1D1C3424"/>
    <w:rsid w:val="1D3E2EFC"/>
    <w:rsid w:val="1D4806BC"/>
    <w:rsid w:val="1D934392"/>
    <w:rsid w:val="1E2178B5"/>
    <w:rsid w:val="1E7D602E"/>
    <w:rsid w:val="1E8B4C70"/>
    <w:rsid w:val="1EBB0459"/>
    <w:rsid w:val="1F455F33"/>
    <w:rsid w:val="1F6309B0"/>
    <w:rsid w:val="1FB86E4C"/>
    <w:rsid w:val="1FBE6A14"/>
    <w:rsid w:val="1FE2196A"/>
    <w:rsid w:val="20D62A51"/>
    <w:rsid w:val="215574A2"/>
    <w:rsid w:val="21600BDA"/>
    <w:rsid w:val="2173382E"/>
    <w:rsid w:val="217E73DC"/>
    <w:rsid w:val="21EB5ABA"/>
    <w:rsid w:val="22163325"/>
    <w:rsid w:val="22372975"/>
    <w:rsid w:val="2298148A"/>
    <w:rsid w:val="22CA4DA5"/>
    <w:rsid w:val="233637E1"/>
    <w:rsid w:val="234E47FE"/>
    <w:rsid w:val="24661991"/>
    <w:rsid w:val="24714543"/>
    <w:rsid w:val="24FD3B3B"/>
    <w:rsid w:val="25517D3A"/>
    <w:rsid w:val="2572746B"/>
    <w:rsid w:val="25C007DB"/>
    <w:rsid w:val="25DF4FB1"/>
    <w:rsid w:val="26453A11"/>
    <w:rsid w:val="26BD10CE"/>
    <w:rsid w:val="2751016E"/>
    <w:rsid w:val="276F6717"/>
    <w:rsid w:val="27EC7E96"/>
    <w:rsid w:val="285D1998"/>
    <w:rsid w:val="28724840"/>
    <w:rsid w:val="28C518F8"/>
    <w:rsid w:val="29913146"/>
    <w:rsid w:val="29F64FFC"/>
    <w:rsid w:val="2A0A27B1"/>
    <w:rsid w:val="2A0D1A99"/>
    <w:rsid w:val="2A1C40F0"/>
    <w:rsid w:val="2A405689"/>
    <w:rsid w:val="2A7B7E85"/>
    <w:rsid w:val="2B292005"/>
    <w:rsid w:val="2B406E77"/>
    <w:rsid w:val="2B935881"/>
    <w:rsid w:val="2BF34134"/>
    <w:rsid w:val="2C2A1AB8"/>
    <w:rsid w:val="2C4672B2"/>
    <w:rsid w:val="2CDA1F00"/>
    <w:rsid w:val="2D123109"/>
    <w:rsid w:val="2D8A7AE2"/>
    <w:rsid w:val="2D9B79BD"/>
    <w:rsid w:val="2DB908B3"/>
    <w:rsid w:val="2DC648A3"/>
    <w:rsid w:val="2DDF0F19"/>
    <w:rsid w:val="2E19750B"/>
    <w:rsid w:val="2EB55486"/>
    <w:rsid w:val="2FCA785D"/>
    <w:rsid w:val="2FF95846"/>
    <w:rsid w:val="3000145C"/>
    <w:rsid w:val="301E705B"/>
    <w:rsid w:val="30526522"/>
    <w:rsid w:val="306476AE"/>
    <w:rsid w:val="308534D9"/>
    <w:rsid w:val="312468DD"/>
    <w:rsid w:val="31446228"/>
    <w:rsid w:val="31F70283"/>
    <w:rsid w:val="3211568E"/>
    <w:rsid w:val="32765A7E"/>
    <w:rsid w:val="32E60304"/>
    <w:rsid w:val="33390B41"/>
    <w:rsid w:val="339F6763"/>
    <w:rsid w:val="33A51F6D"/>
    <w:rsid w:val="34A712EE"/>
    <w:rsid w:val="35795CC4"/>
    <w:rsid w:val="3589578A"/>
    <w:rsid w:val="35A336B2"/>
    <w:rsid w:val="35CD4AB6"/>
    <w:rsid w:val="36024432"/>
    <w:rsid w:val="36566FB0"/>
    <w:rsid w:val="366C0B20"/>
    <w:rsid w:val="369122BA"/>
    <w:rsid w:val="369E3778"/>
    <w:rsid w:val="36A77B03"/>
    <w:rsid w:val="36E458F6"/>
    <w:rsid w:val="36FD7AAB"/>
    <w:rsid w:val="37641224"/>
    <w:rsid w:val="385B5E6B"/>
    <w:rsid w:val="38866C49"/>
    <w:rsid w:val="388760E5"/>
    <w:rsid w:val="38C42F04"/>
    <w:rsid w:val="38D8777E"/>
    <w:rsid w:val="38E30ECC"/>
    <w:rsid w:val="38EF24BC"/>
    <w:rsid w:val="39684387"/>
    <w:rsid w:val="3B0901C8"/>
    <w:rsid w:val="3C3F42CF"/>
    <w:rsid w:val="3D3C3BEE"/>
    <w:rsid w:val="3D7529B0"/>
    <w:rsid w:val="3DAF3B6E"/>
    <w:rsid w:val="3DDF2834"/>
    <w:rsid w:val="3E2911C9"/>
    <w:rsid w:val="3E416D36"/>
    <w:rsid w:val="3E557982"/>
    <w:rsid w:val="3EE6168C"/>
    <w:rsid w:val="3F0A7128"/>
    <w:rsid w:val="3F2301EA"/>
    <w:rsid w:val="3F2D1834"/>
    <w:rsid w:val="3F9129F3"/>
    <w:rsid w:val="3FAA26B9"/>
    <w:rsid w:val="3FFD5A90"/>
    <w:rsid w:val="40343A2F"/>
    <w:rsid w:val="40391026"/>
    <w:rsid w:val="40421B18"/>
    <w:rsid w:val="404925C6"/>
    <w:rsid w:val="40A326A6"/>
    <w:rsid w:val="413B0C02"/>
    <w:rsid w:val="41971386"/>
    <w:rsid w:val="41BE41FA"/>
    <w:rsid w:val="420642A7"/>
    <w:rsid w:val="420833C8"/>
    <w:rsid w:val="429A6A15"/>
    <w:rsid w:val="42D24F90"/>
    <w:rsid w:val="42E35002"/>
    <w:rsid w:val="42ED6C90"/>
    <w:rsid w:val="42F1486D"/>
    <w:rsid w:val="43686B13"/>
    <w:rsid w:val="43710B98"/>
    <w:rsid w:val="43C71A8C"/>
    <w:rsid w:val="445C25EB"/>
    <w:rsid w:val="44953938"/>
    <w:rsid w:val="44CB735A"/>
    <w:rsid w:val="454E1683"/>
    <w:rsid w:val="45F05894"/>
    <w:rsid w:val="468B5630"/>
    <w:rsid w:val="46FA6014"/>
    <w:rsid w:val="479C35DF"/>
    <w:rsid w:val="47D657D4"/>
    <w:rsid w:val="4843728A"/>
    <w:rsid w:val="48437833"/>
    <w:rsid w:val="486C43D7"/>
    <w:rsid w:val="48B35C60"/>
    <w:rsid w:val="48D46E99"/>
    <w:rsid w:val="49092B1F"/>
    <w:rsid w:val="49117305"/>
    <w:rsid w:val="496D4E83"/>
    <w:rsid w:val="49CE41FB"/>
    <w:rsid w:val="49DF71A3"/>
    <w:rsid w:val="49E94799"/>
    <w:rsid w:val="49FD7926"/>
    <w:rsid w:val="4A8138AB"/>
    <w:rsid w:val="4A866950"/>
    <w:rsid w:val="4A8A3166"/>
    <w:rsid w:val="4ABE46B5"/>
    <w:rsid w:val="4B0E7FA0"/>
    <w:rsid w:val="4B674FC8"/>
    <w:rsid w:val="4B970DAB"/>
    <w:rsid w:val="4C695623"/>
    <w:rsid w:val="4C9A392D"/>
    <w:rsid w:val="4D333764"/>
    <w:rsid w:val="4D3E6592"/>
    <w:rsid w:val="4D420C4C"/>
    <w:rsid w:val="4DE72D03"/>
    <w:rsid w:val="4E405462"/>
    <w:rsid w:val="4E787023"/>
    <w:rsid w:val="4E9F2EED"/>
    <w:rsid w:val="4EAD5D22"/>
    <w:rsid w:val="4EB17480"/>
    <w:rsid w:val="4EDD6607"/>
    <w:rsid w:val="4F357947"/>
    <w:rsid w:val="4F59258F"/>
    <w:rsid w:val="4F6719EF"/>
    <w:rsid w:val="4FF14D24"/>
    <w:rsid w:val="50660D12"/>
    <w:rsid w:val="50687C82"/>
    <w:rsid w:val="509251CF"/>
    <w:rsid w:val="50B04FB2"/>
    <w:rsid w:val="50B13D6A"/>
    <w:rsid w:val="50BE6EDC"/>
    <w:rsid w:val="5153495F"/>
    <w:rsid w:val="517B6609"/>
    <w:rsid w:val="51A9372B"/>
    <w:rsid w:val="51AA2B4D"/>
    <w:rsid w:val="521C11F4"/>
    <w:rsid w:val="528120F2"/>
    <w:rsid w:val="5291234E"/>
    <w:rsid w:val="529F67BC"/>
    <w:rsid w:val="52FD57F5"/>
    <w:rsid w:val="536424E3"/>
    <w:rsid w:val="53C30205"/>
    <w:rsid w:val="544C546E"/>
    <w:rsid w:val="564207B8"/>
    <w:rsid w:val="567A1252"/>
    <w:rsid w:val="56E24ECE"/>
    <w:rsid w:val="576F6717"/>
    <w:rsid w:val="57D05BA6"/>
    <w:rsid w:val="58B455AC"/>
    <w:rsid w:val="5A0A227A"/>
    <w:rsid w:val="5A3953EC"/>
    <w:rsid w:val="5A427C66"/>
    <w:rsid w:val="5A7057DC"/>
    <w:rsid w:val="5B211282"/>
    <w:rsid w:val="5B461090"/>
    <w:rsid w:val="5B4E6197"/>
    <w:rsid w:val="5B940F45"/>
    <w:rsid w:val="5BD40D92"/>
    <w:rsid w:val="5BE25364"/>
    <w:rsid w:val="5BF00BB1"/>
    <w:rsid w:val="5C0220BA"/>
    <w:rsid w:val="5C9B253E"/>
    <w:rsid w:val="5D215AB6"/>
    <w:rsid w:val="5D447EDE"/>
    <w:rsid w:val="5D483A2B"/>
    <w:rsid w:val="5D802DFC"/>
    <w:rsid w:val="5DC37886"/>
    <w:rsid w:val="5DDB6408"/>
    <w:rsid w:val="5E8D019B"/>
    <w:rsid w:val="5EA7453C"/>
    <w:rsid w:val="5F1C1610"/>
    <w:rsid w:val="5F423BEE"/>
    <w:rsid w:val="5FCA6D02"/>
    <w:rsid w:val="5FF64967"/>
    <w:rsid w:val="600B3A20"/>
    <w:rsid w:val="602B6AA7"/>
    <w:rsid w:val="605E7955"/>
    <w:rsid w:val="60AB2827"/>
    <w:rsid w:val="60C5514D"/>
    <w:rsid w:val="60FA04B0"/>
    <w:rsid w:val="61A125BF"/>
    <w:rsid w:val="61CB512A"/>
    <w:rsid w:val="61F555BE"/>
    <w:rsid w:val="6446666F"/>
    <w:rsid w:val="647B56B6"/>
    <w:rsid w:val="64933E74"/>
    <w:rsid w:val="65007729"/>
    <w:rsid w:val="65080F3A"/>
    <w:rsid w:val="652C5AFB"/>
    <w:rsid w:val="65E54122"/>
    <w:rsid w:val="6609720B"/>
    <w:rsid w:val="664F7FD9"/>
    <w:rsid w:val="669B2BD8"/>
    <w:rsid w:val="67533A2B"/>
    <w:rsid w:val="6758676B"/>
    <w:rsid w:val="6784541A"/>
    <w:rsid w:val="67931B01"/>
    <w:rsid w:val="679B17E2"/>
    <w:rsid w:val="683E7CBF"/>
    <w:rsid w:val="686E6EA8"/>
    <w:rsid w:val="68D062F3"/>
    <w:rsid w:val="691B22AB"/>
    <w:rsid w:val="6A850FAD"/>
    <w:rsid w:val="6B0C2C93"/>
    <w:rsid w:val="6B144D07"/>
    <w:rsid w:val="6B2D2C81"/>
    <w:rsid w:val="6B5C40A1"/>
    <w:rsid w:val="6C001311"/>
    <w:rsid w:val="6C040046"/>
    <w:rsid w:val="6C9672F7"/>
    <w:rsid w:val="6CB85B9B"/>
    <w:rsid w:val="6D103B91"/>
    <w:rsid w:val="6D2D20B0"/>
    <w:rsid w:val="6D41349F"/>
    <w:rsid w:val="6D6E3620"/>
    <w:rsid w:val="6DE74955"/>
    <w:rsid w:val="6E270646"/>
    <w:rsid w:val="6E687D40"/>
    <w:rsid w:val="6E7206C2"/>
    <w:rsid w:val="704E6431"/>
    <w:rsid w:val="715B032D"/>
    <w:rsid w:val="7168679A"/>
    <w:rsid w:val="71692858"/>
    <w:rsid w:val="7175630F"/>
    <w:rsid w:val="71DC725B"/>
    <w:rsid w:val="720219C6"/>
    <w:rsid w:val="720372FF"/>
    <w:rsid w:val="72A736C1"/>
    <w:rsid w:val="72BD3952"/>
    <w:rsid w:val="72C13360"/>
    <w:rsid w:val="733D188A"/>
    <w:rsid w:val="73506AF8"/>
    <w:rsid w:val="73AE4625"/>
    <w:rsid w:val="73D94517"/>
    <w:rsid w:val="740A6BBE"/>
    <w:rsid w:val="7458558A"/>
    <w:rsid w:val="748E5B2A"/>
    <w:rsid w:val="750F74E4"/>
    <w:rsid w:val="75153B55"/>
    <w:rsid w:val="751D6EAE"/>
    <w:rsid w:val="755458BC"/>
    <w:rsid w:val="757C394C"/>
    <w:rsid w:val="758A1C1E"/>
    <w:rsid w:val="75C3794F"/>
    <w:rsid w:val="76571F4C"/>
    <w:rsid w:val="76BE751C"/>
    <w:rsid w:val="76C20675"/>
    <w:rsid w:val="7720212D"/>
    <w:rsid w:val="773669CC"/>
    <w:rsid w:val="775A6197"/>
    <w:rsid w:val="77A77A35"/>
    <w:rsid w:val="78380ABB"/>
    <w:rsid w:val="78E20029"/>
    <w:rsid w:val="799F3C44"/>
    <w:rsid w:val="7A204B41"/>
    <w:rsid w:val="7A9B797B"/>
    <w:rsid w:val="7B386B54"/>
    <w:rsid w:val="7B424F78"/>
    <w:rsid w:val="7B8C7534"/>
    <w:rsid w:val="7BB00E61"/>
    <w:rsid w:val="7C01727F"/>
    <w:rsid w:val="7C501917"/>
    <w:rsid w:val="7CF27A39"/>
    <w:rsid w:val="7D840D7C"/>
    <w:rsid w:val="7DA220E4"/>
    <w:rsid w:val="7DED0A22"/>
    <w:rsid w:val="7E430CD8"/>
    <w:rsid w:val="7E590F57"/>
    <w:rsid w:val="7E621E65"/>
    <w:rsid w:val="7E6B0BE3"/>
    <w:rsid w:val="7E8A1304"/>
    <w:rsid w:val="7EDF6548"/>
    <w:rsid w:val="7F363366"/>
    <w:rsid w:val="7F5D2316"/>
    <w:rsid w:val="7F6873CC"/>
    <w:rsid w:val="7F7724CF"/>
    <w:rsid w:val="7FCB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6"/>
    <w:basedOn w:val="1"/>
    <w:next w:val="5"/>
    <w:link w:val="49"/>
    <w:qFormat/>
    <w:uiPriority w:val="0"/>
    <w:pPr>
      <w:keepNext/>
      <w:jc w:val="center"/>
      <w:outlineLvl w:val="5"/>
    </w:pPr>
    <w:rPr>
      <w:b/>
      <w:sz w:val="4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autoRedefine/>
    <w:qFormat/>
    <w:uiPriority w:val="0"/>
    <w:pPr>
      <w:tabs>
        <w:tab w:val="left" w:pos="480"/>
      </w:tabs>
      <w:spacing w:line="500" w:lineRule="exact"/>
      <w:ind w:left="359" w:hanging="359" w:hangingChars="171"/>
    </w:pPr>
    <w:rPr>
      <w:rFonts w:ascii="黑体" w:hAnsi="宋体"/>
    </w:rPr>
  </w:style>
  <w:style w:type="paragraph" w:styleId="5">
    <w:name w:val="Normal Indent"/>
    <w:basedOn w:val="1"/>
    <w:autoRedefine/>
    <w:qFormat/>
    <w:uiPriority w:val="0"/>
    <w:pPr>
      <w:ind w:firstLine="420" w:firstLineChars="200"/>
    </w:pPr>
  </w:style>
  <w:style w:type="paragraph" w:styleId="6">
    <w:name w:val="Body Text"/>
    <w:basedOn w:val="1"/>
    <w:link w:val="47"/>
    <w:autoRedefine/>
    <w:qFormat/>
    <w:uiPriority w:val="0"/>
    <w:pPr>
      <w:autoSpaceDE w:val="0"/>
      <w:autoSpaceDN w:val="0"/>
      <w:adjustRightInd w:val="0"/>
      <w:jc w:val="left"/>
    </w:pPr>
    <w:rPr>
      <w:rFonts w:eastAsia="仿宋_GB2312"/>
      <w:kern w:val="0"/>
      <w:sz w:val="30"/>
      <w:szCs w:val="21"/>
    </w:rPr>
  </w:style>
  <w:style w:type="paragraph" w:styleId="7">
    <w:name w:val="Body Text Indent"/>
    <w:basedOn w:val="1"/>
    <w:next w:val="8"/>
    <w:link w:val="44"/>
    <w:autoRedefine/>
    <w:qFormat/>
    <w:uiPriority w:val="0"/>
    <w:pPr>
      <w:spacing w:after="120"/>
      <w:ind w:left="420" w:leftChars="200"/>
    </w:pPr>
  </w:style>
  <w:style w:type="paragraph" w:styleId="8">
    <w:name w:val="Body Text First Indent 2"/>
    <w:basedOn w:val="7"/>
    <w:autoRedefine/>
    <w:qFormat/>
    <w:uiPriority w:val="0"/>
    <w:pPr>
      <w:ind w:firstLine="420" w:firstLineChars="200"/>
    </w:pPr>
  </w:style>
  <w:style w:type="paragraph" w:styleId="9">
    <w:name w:val="Date"/>
    <w:basedOn w:val="1"/>
    <w:next w:val="1"/>
    <w:link w:val="41"/>
    <w:autoRedefine/>
    <w:qFormat/>
    <w:uiPriority w:val="0"/>
    <w:pPr>
      <w:ind w:left="100" w:leftChars="2500"/>
    </w:pPr>
  </w:style>
  <w:style w:type="paragraph" w:styleId="10">
    <w:name w:val="Balloon Text"/>
    <w:basedOn w:val="1"/>
    <w:link w:val="39"/>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widowControl/>
      <w:spacing w:beforeAutospacing="1" w:afterAutospacing="1"/>
      <w:jc w:val="left"/>
    </w:pPr>
    <w:rPr>
      <w:rFonts w:hint="eastAsia" w:ascii="宋体" w:hAnsi="宋体"/>
      <w:kern w:val="0"/>
      <w:sz w:val="24"/>
    </w:r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FollowedHyperlink"/>
    <w:basedOn w:val="16"/>
    <w:autoRedefine/>
    <w:qFormat/>
    <w:uiPriority w:val="0"/>
    <w:rPr>
      <w:color w:val="800080"/>
      <w:u w:val="none"/>
    </w:rPr>
  </w:style>
  <w:style w:type="character" w:styleId="19">
    <w:name w:val="Emphasis"/>
    <w:basedOn w:val="16"/>
    <w:autoRedefine/>
    <w:qFormat/>
    <w:uiPriority w:val="0"/>
    <w:rPr>
      <w:b/>
    </w:rPr>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333333"/>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0"/>
    <w:rPr>
      <w:sz w:val="21"/>
      <w:szCs w:val="21"/>
    </w:rPr>
  </w:style>
  <w:style w:type="character" w:styleId="27">
    <w:name w:val="HTML Cite"/>
    <w:basedOn w:val="16"/>
    <w:qFormat/>
    <w:uiPriority w:val="0"/>
  </w:style>
  <w:style w:type="character" w:styleId="28">
    <w:name w:val="HTML Keyboard"/>
    <w:basedOn w:val="16"/>
    <w:qFormat/>
    <w:uiPriority w:val="0"/>
    <w:rPr>
      <w:rFonts w:hint="default" w:ascii="monospace" w:hAnsi="monospace" w:eastAsia="monospace" w:cs="monospace"/>
      <w:sz w:val="20"/>
    </w:rPr>
  </w:style>
  <w:style w:type="character" w:styleId="29">
    <w:name w:val="HTML Sample"/>
    <w:basedOn w:val="16"/>
    <w:qFormat/>
    <w:uiPriority w:val="0"/>
    <w:rPr>
      <w:rFonts w:ascii="monospace" w:hAnsi="monospace" w:eastAsia="monospace" w:cs="monospace"/>
      <w:u w:val="none"/>
    </w:rPr>
  </w:style>
  <w:style w:type="character" w:customStyle="1" w:styleId="30">
    <w:name w:val="style11"/>
    <w:basedOn w:val="16"/>
    <w:qFormat/>
    <w:uiPriority w:val="0"/>
  </w:style>
  <w:style w:type="character" w:customStyle="1" w:styleId="31">
    <w:name w:val="style111"/>
    <w:qFormat/>
    <w:uiPriority w:val="0"/>
    <w:rPr>
      <w:sz w:val="22"/>
      <w:szCs w:val="22"/>
    </w:rPr>
  </w:style>
  <w:style w:type="paragraph" w:styleId="32">
    <w:name w:val="List Paragraph"/>
    <w:basedOn w:val="1"/>
    <w:unhideWhenUsed/>
    <w:qFormat/>
    <w:uiPriority w:val="99"/>
    <w:pPr>
      <w:ind w:firstLine="420" w:firstLineChars="200"/>
    </w:pPr>
  </w:style>
  <w:style w:type="character" w:customStyle="1" w:styleId="33">
    <w:name w:val="font31"/>
    <w:basedOn w:val="16"/>
    <w:qFormat/>
    <w:uiPriority w:val="0"/>
    <w:rPr>
      <w:rFonts w:hint="default" w:ascii="Tahoma" w:hAnsi="Tahoma" w:eastAsia="Tahoma" w:cs="Tahoma"/>
      <w:color w:val="000000"/>
      <w:sz w:val="22"/>
      <w:szCs w:val="22"/>
      <w:u w:val="none"/>
    </w:rPr>
  </w:style>
  <w:style w:type="character" w:customStyle="1" w:styleId="34">
    <w:name w:val="font11"/>
    <w:basedOn w:val="16"/>
    <w:autoRedefine/>
    <w:qFormat/>
    <w:uiPriority w:val="0"/>
    <w:rPr>
      <w:rFonts w:hint="eastAsia" w:ascii="宋体" w:hAnsi="宋体" w:eastAsia="宋体" w:cs="宋体"/>
      <w:color w:val="000000"/>
      <w:sz w:val="22"/>
      <w:szCs w:val="22"/>
      <w:u w:val="none"/>
    </w:rPr>
  </w:style>
  <w:style w:type="character" w:customStyle="1" w:styleId="35">
    <w:name w:val="font01"/>
    <w:basedOn w:val="16"/>
    <w:autoRedefine/>
    <w:qFormat/>
    <w:uiPriority w:val="0"/>
    <w:rPr>
      <w:rFonts w:hint="eastAsia" w:ascii="宋体" w:hAnsi="宋体" w:eastAsia="宋体" w:cs="宋体"/>
      <w:i/>
      <w:color w:val="000000"/>
      <w:sz w:val="22"/>
      <w:szCs w:val="22"/>
      <w:u w:val="none"/>
    </w:rPr>
  </w:style>
  <w:style w:type="character" w:customStyle="1" w:styleId="36">
    <w:name w:val="hover"/>
    <w:basedOn w:val="16"/>
    <w:qFormat/>
    <w:uiPriority w:val="0"/>
    <w:rPr>
      <w:color w:val="5FB878"/>
    </w:rPr>
  </w:style>
  <w:style w:type="character" w:customStyle="1" w:styleId="37">
    <w:name w:val="hover1"/>
    <w:basedOn w:val="16"/>
    <w:qFormat/>
    <w:uiPriority w:val="0"/>
    <w:rPr>
      <w:color w:val="5FB878"/>
    </w:rPr>
  </w:style>
  <w:style w:type="character" w:customStyle="1" w:styleId="38">
    <w:name w:val="hover2"/>
    <w:basedOn w:val="16"/>
    <w:qFormat/>
    <w:uiPriority w:val="0"/>
    <w:rPr>
      <w:color w:val="FFFFFF"/>
    </w:rPr>
  </w:style>
  <w:style w:type="character" w:customStyle="1" w:styleId="39">
    <w:name w:val="批注框文本 Char"/>
    <w:basedOn w:val="16"/>
    <w:link w:val="10"/>
    <w:qFormat/>
    <w:uiPriority w:val="0"/>
    <w:rPr>
      <w:kern w:val="2"/>
      <w:sz w:val="18"/>
      <w:szCs w:val="18"/>
    </w:rPr>
  </w:style>
  <w:style w:type="character" w:customStyle="1" w:styleId="40">
    <w:name w:val="font21"/>
    <w:basedOn w:val="16"/>
    <w:qFormat/>
    <w:uiPriority w:val="0"/>
    <w:rPr>
      <w:rFonts w:hint="eastAsia" w:ascii="宋体" w:hAnsi="宋体" w:eastAsia="宋体" w:cs="宋体"/>
      <w:b/>
      <w:color w:val="000000"/>
      <w:sz w:val="22"/>
      <w:szCs w:val="22"/>
      <w:u w:val="none"/>
    </w:rPr>
  </w:style>
  <w:style w:type="character" w:customStyle="1" w:styleId="41">
    <w:name w:val="日期 Char"/>
    <w:basedOn w:val="16"/>
    <w:link w:val="9"/>
    <w:qFormat/>
    <w:uiPriority w:val="0"/>
    <w:rPr>
      <w:kern w:val="2"/>
      <w:sz w:val="21"/>
      <w:szCs w:val="24"/>
    </w:rPr>
  </w:style>
  <w:style w:type="character" w:customStyle="1" w:styleId="42">
    <w:name w:val="正文缩进2格 Char"/>
    <w:link w:val="43"/>
    <w:qFormat/>
    <w:locked/>
    <w:uiPriority w:val="0"/>
    <w:rPr>
      <w:rFonts w:ascii="仿宋_GB2312" w:hAnsi="宋体" w:eastAsia="仿宋_GB2312"/>
      <w:kern w:val="2"/>
      <w:sz w:val="31"/>
      <w:szCs w:val="28"/>
    </w:rPr>
  </w:style>
  <w:style w:type="paragraph" w:customStyle="1" w:styleId="43">
    <w:name w:val="正文缩进2格"/>
    <w:basedOn w:val="1"/>
    <w:link w:val="42"/>
    <w:qFormat/>
    <w:uiPriority w:val="0"/>
    <w:pPr>
      <w:spacing w:line="600" w:lineRule="exact"/>
      <w:ind w:firstLine="639" w:firstLineChars="206"/>
    </w:pPr>
    <w:rPr>
      <w:rFonts w:ascii="仿宋_GB2312" w:hAnsi="宋体" w:eastAsia="仿宋_GB2312"/>
      <w:sz w:val="31"/>
      <w:szCs w:val="28"/>
    </w:rPr>
  </w:style>
  <w:style w:type="character" w:customStyle="1" w:styleId="44">
    <w:name w:val="正文文本缩进 Char"/>
    <w:link w:val="7"/>
    <w:qFormat/>
    <w:uiPriority w:val="0"/>
    <w:rPr>
      <w:kern w:val="2"/>
      <w:sz w:val="21"/>
      <w:szCs w:val="24"/>
    </w:rPr>
  </w:style>
  <w:style w:type="paragraph" w:customStyle="1" w:styleId="4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7">
    <w:name w:val="正文文本 Char"/>
    <w:basedOn w:val="16"/>
    <w:link w:val="6"/>
    <w:qFormat/>
    <w:uiPriority w:val="0"/>
    <w:rPr>
      <w:kern w:val="2"/>
      <w:sz w:val="21"/>
      <w:szCs w:val="24"/>
    </w:rPr>
  </w:style>
  <w:style w:type="character" w:customStyle="1" w:styleId="48">
    <w:name w:val="active15"/>
    <w:basedOn w:val="16"/>
    <w:qFormat/>
    <w:uiPriority w:val="0"/>
    <w:rPr>
      <w:color w:val="FFFFFF"/>
      <w:bdr w:val="single" w:color="0F5BB9" w:sz="6" w:space="0"/>
      <w:shd w:val="clear" w:color="auto" w:fill="0F5BB9"/>
    </w:rPr>
  </w:style>
  <w:style w:type="character" w:customStyle="1" w:styleId="49">
    <w:name w:val="标题 6 Char"/>
    <w:basedOn w:val="16"/>
    <w:link w:val="4"/>
    <w:qFormat/>
    <w:uiPriority w:val="0"/>
    <w:rPr>
      <w:rFonts w:ascii="Times New Roman" w:hAnsi="Times New Roman"/>
      <w:b/>
      <w:kern w:val="2"/>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14</Pages>
  <Words>6665</Words>
  <Characters>6720</Characters>
  <Lines>144</Lines>
  <Paragraphs>40</Paragraphs>
  <TotalTime>0</TotalTime>
  <ScaleCrop>false</ScaleCrop>
  <LinksUpToDate>false</LinksUpToDate>
  <CharactersWithSpaces>7337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2020-08-24T08:05:00Z</dcterms:created>
  <dc:creator>木萌之初</dc:creator>
  <cp:lastModifiedBy>舞</cp:lastModifiedBy>
  <cp:lastPrinted>2024-12-13T02:35:00Z</cp:lastPrinted>
  <dcterms:modified xsi:type="dcterms:W3CDTF">2025-05-14T09:57:15Z</dcterms:modified>
  <cp:revision>951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8A3E1C6C83304B5E845F1ACB099183BB_13</vt:lpwstr>
  </property>
  <property fmtid="{D5CDD505-2E9C-101B-9397-08002B2CF9AE}" pid="4" name="KSOTemplateDocerSaveRecord">
    <vt:lpwstr>eyJoZGlkIjoiMDAxNTRkNjk3YTc5YmM0Y2IyY2ZjOWJlOTJmYmUxZjMiLCJ1c2VySWQiOiIzNzY1MjgyODAifQ==</vt:lpwstr>
  </property>
</Properties>
</file>