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360" w:lineRule="auto"/>
        <w:jc w:val="center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阶梯教室用固定联排课桌椅技术指标与要求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固定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联排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课桌椅采用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全拆装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结构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，安装维修方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规格及尺寸：轴距520±3mm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座高440mm±5mm，座深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0±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mm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桌面基础高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度为750mm，宽度为350mm，使用空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台阶高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度在100mm-200mm之间，深度900mm（具体以现场实测为准）。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</w:rPr>
        <w:t>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eastAsia="zh-CN"/>
        </w:rPr>
        <w:t>板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及背板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yellow"/>
          <w:u w:val="none"/>
          <w:lang w:eastAsia="zh-CN"/>
        </w:rPr>
        <w:t>课桌椅座板和背板，需根据甲方要求开模定制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yellow"/>
          <w:u w:val="none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采用一级全新原生PP工程塑料，高精度一体注塑成型，抗压、耐磨、耐冲击。座板规格宽（420±10mm）*深（420±10mm）,座面底部与座板固定组件接触外围轮廓做起沿包围结构处理，轮廓与座板座板固定组件间隙不大于1mm，座板尾部也需做40mm高度圈沿处理，座板厚度最薄处不小于5mm，所有角部圆角过渡。同时座板后部带有不低于25mm的下凹，造型符合人体工学要求。背板规格宽（420±10mm）*高（380±10mm），顶部带流线造型，内凹弧度具有较强包裹感，所有角部圆角过渡，符合人体工程学，坐靠舒适。座板及背板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val="en-US" w:eastAsia="zh-CN"/>
        </w:rPr>
        <w:t>符合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GB28481-2012《塑料家具中有害物质限量》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eastAsia="zh-CN"/>
        </w:rPr>
        <w:t>、GB/T24128-2018《塑料塑料防霉剂的防霉效果评估》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质量标准要求，邻苯二甲酸酯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DBP≤0.001%、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BBP≤0.001%、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DEHP≤0.001%、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DNOP≤0.001%、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DINP≤0.005%、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DIDP≤0.005%，重金属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可溶性铅≤0.02mg/kg、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可溶性镉≤0.02mg/kg、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可溶性铬≤0.02mg/kg、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可溶性汞≤0.02mg/kg，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多环芳烃苯并[a]芘≤0.05mg/kg、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16 种多环芳烃(PAH)总量≤0.7mg/kg，防霉性能要求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黑曲霉、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球毛壳霉、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绳状青霉、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出芽短梗霉、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绿粘帚霉五种霉均达到0级。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2、桌面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采用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质环保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刨花板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面贴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浸渍胶膜纸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厚度2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mm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桌面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宽度为330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±2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mm，P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VC封边条厚度不低于1.5mm，热熔胶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封边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桌面位于通道侧的桌角进行倒圆R10mm处理，有效防止尖角划伤使用者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基材刨花板符合GB/T4897-2015《刨花板》、GB/T35601-2017《绿色产品评价人造板和木质地板》、GB/T15102-2017《浸渍胶膜纸饰面纤维板和刨花板》质量标准要求，静曲强度≥12.0MPa，弹性模量≥2500MPa，2h吸水厚度膨胀率≤2%，板面握螺钉力≥1600N，板边握螺钉力≥1300N，表面耐干热、表面耐污染腐蚀≥4级，▲甲醛释放量≤0.015mg/m³，（符合GB/T 39200-2021《人造板及其制品甲醛释放量分级》 ENF级标准）▲内胶合强度≥0.40MPa，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表面胶合强度≥0.95MPa，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内结合强度≥0.35MPa，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表面耐磨-磨耗值≤35mg/100r，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表面耐香烟灼烧达到4级以上。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3、封边条：采用优质PVC封边条，符合QB/T4463-2013《家具用封边条技术要求》质量标准要求，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耐光色牢度（灰色样卡）≥4级，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甲醛释放量≤0.1mg/L,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氯乙烯单体≤0.02mg/kg，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耐开裂性≥1级。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4、桌面支撑臂，采用不低于2mm厚度的热轧钢板，冲压折弯一体成型，静电喷涂处理，支臂托举桌面部位的长度不小于150mm，与立腿使用的课桌椅钢管结合部位长度不小于85mm，整体外观呈L型开放角度为110°±2°的内凹型弧线造型，且冲压出弧度与立腿使用的课桌椅钢管外圆面相匹配。热轧钢板符合《轻工产品金属镀层和化学处理层的 耐腐蚀试验方法 中性盐雾QB/T 3826-1999试验(NSS)法》质量标准要求，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耐腐蚀试验中性盐雾试验300h等级不低于9级。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5、书网：采用静电喷涂前直径不低于4.0mm钢筋折弯焊接成型，每人位书网长451mm深243mm高104mm,挡书用斜钢筋折弯角度100°，横向4根纵向10根钢筋组成网状结构，方便存放书包等物品，不残留纸屑等较小垃圾物。采用环氧树脂静电粉末喷涂工艺，涂层附着力≤1级，重金属含量可溶性铅≤3mg/kg，可溶性镉≤1mg/kg，可溶性铬≤1mg/kg，可溶性汞≤1mg/kg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6、横梁：采用优质冷轧钢管,采用静电喷涂，规格为80mm*40mm，壁厚不低于3.0mm。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7、课桌椅钢管立腿：采用优质国标钢管，课桌椅钢管的直径φ70mm，壁厚≥2mm，立腿向后折弯开放角度为160°±2°，立腿底盘为椭圆形倒碗状结构，环套立腿圆钢管并牢固焊接，表面静电喷涂处理，底盘椭圆长轴240mm短轴200mm碗高45mm,采用不低于2mm热轧钢板冲压成型，盘面设置三个φ24膨胀螺栓用沉孔，立腿套孔与φ24单孔孔中心距为54mm，与φ24双孔平行中心距为105mm，两个同侧φ24孔中心距也为105mm，形成扭矩安装效果，使底盘与地面固定更加稳固。表面静电喷涂处理，结实牢固，承受力大。课桌椅钢管符合GB/T 3325-2017《金属家具通用技术条件》、QB/T3826-1999《轻工产品金属镀层和化学处理层的耐腐蚀试验方法 中性盐雾试验(NSS)法》质量标准要求，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耐腐蚀试验中性盐雾试验300h等级不低于9级，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观性能要求金属件喷涂层应无漏喷、锈蚀和脱色、掉色现象；涂层应光滑均匀，色泽一致，并应无流挂、疙瘩、皱皮、飞漆等缺陷。采用环氧树脂静电粉末喷涂工艺，涂层附着力≤1级，重金属含量可溶性铅≤3mg/kg，可溶性镉≤1mg/kg，可溶性铬≤1mg/kg，可溶性汞≤1mg/kg（符合HG/T 2006-2006《热固性粉末涂料》标准。（以上标“▲”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8、座板固定组件：座位支撑件采用不低于3mm热轧钢板，整体L形，长123mm宽115mm高81mm，一端通过四个φ9通孔与与横梁连接，一端与座板固定架连接，与阻尼器及弹簧一起铆合，座板固定机构采用不低于2.5mm热轧钢板，冲压成前宽后窄的规格为210mm*130mm的托盘造型，与座面板完美贴合，固定牢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Arial" w:hAnsi="Arial" w:cs="Arial"/>
          <w:b/>
          <w:color w:val="00000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9、背板固定组件：整体由下U形固定件、背板托盘、桌面支撑架三部分组成。下U形固定件厚度不低于4.0mm,通过四个φ9沉孔与横梁固定，并且下U形顶端与背板托盘焊接固定；背板托盘为厚度不低于2.0的热轧钢板经冲压而成，通过4个φ7沉孔与背板固定，另一端与桌面支撑架焊接成一个整体；桌面支撑架为L形，采用厚度为5mm，宽度为25mm的热轧钢板冲压折弯而成，与桌面通过2个φ7沉孔连接。背板固定组件起到固定背板的作用，并且通过自身结构特点把横梁、座板、桌面三者有机结合在一起，结构紧凑，牢固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10、回位功能：采用弹簧加阻尼回位结构。簧丝直径不小于3.0mm，外径20mm，有效圈数8，自由高度30mm，弹簧符合GB/T3325-2017《金属家具通用技术条件》、QB/T3826-1999《轻工产品金属镀层和化学处理层的耐腐蚀试验方法 中性盐雾试验(NSS)法》、GB/T4336-2016《碳素钢和中低合金钢 多元素合量的测定火花放电原子发射光谱法(常规法)》质量标准要求，金属表面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耐腐蚀试验之中性盐雾试验300h镀(涂)层本身的耐腐蚀等级不小于9级，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中性盐雾试验300h-镀(涂)层对基体的保护等级不小于9级，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外观性能要求表面应无剥落、返锈、毛刺，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表面应无烧焦、起泡、针孔、裂纹、花斑(不包括镀彩锌)和划痕。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以上标“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▲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”的技术要求，需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提供两年内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带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CMA</w:t>
      </w:r>
      <w:r>
        <w:rPr>
          <w:rFonts w:hint="eastAsia" w:asciiTheme="minorEastAsia" w:hAnsiTheme="minorEastAsia" w:cstheme="minorEastAsia"/>
          <w:snapToGrid/>
          <w:color w:val="000000"/>
          <w:kern w:val="2"/>
          <w:sz w:val="24"/>
          <w:szCs w:val="24"/>
          <w:highlight w:val="none"/>
          <w:lang w:val="en-US" w:eastAsia="zh-CN" w:bidi="ar-SA"/>
        </w:rPr>
        <w:t>标识的第三方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检测报告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进行佐证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bidi="ar"/>
        </w:rPr>
        <w:t>）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TUxMTVlYWQ5NGI1ZTY4OWM2M2U0OWNjZTExMDMifQ=="/>
  </w:docVars>
  <w:rsids>
    <w:rsidRoot w:val="6D487A17"/>
    <w:rsid w:val="02285B67"/>
    <w:rsid w:val="02DF39F5"/>
    <w:rsid w:val="03800D34"/>
    <w:rsid w:val="04902BC5"/>
    <w:rsid w:val="05AC4062"/>
    <w:rsid w:val="07035CC2"/>
    <w:rsid w:val="070F3276"/>
    <w:rsid w:val="073F20CF"/>
    <w:rsid w:val="07CC279A"/>
    <w:rsid w:val="080D5C31"/>
    <w:rsid w:val="09820BAF"/>
    <w:rsid w:val="0BCF21E4"/>
    <w:rsid w:val="0D044784"/>
    <w:rsid w:val="0D9A0C44"/>
    <w:rsid w:val="0E6F0614"/>
    <w:rsid w:val="0EFD3991"/>
    <w:rsid w:val="0F3F5F47"/>
    <w:rsid w:val="0FDC6611"/>
    <w:rsid w:val="101443EB"/>
    <w:rsid w:val="12AA1929"/>
    <w:rsid w:val="18B57797"/>
    <w:rsid w:val="1C026332"/>
    <w:rsid w:val="1F1A34E5"/>
    <w:rsid w:val="20534F0B"/>
    <w:rsid w:val="20551A84"/>
    <w:rsid w:val="22F22FE5"/>
    <w:rsid w:val="235D05EE"/>
    <w:rsid w:val="28186680"/>
    <w:rsid w:val="29B06256"/>
    <w:rsid w:val="2AE966AE"/>
    <w:rsid w:val="2C4D49B8"/>
    <w:rsid w:val="313B72D2"/>
    <w:rsid w:val="330E4E42"/>
    <w:rsid w:val="35725E7F"/>
    <w:rsid w:val="359D0C72"/>
    <w:rsid w:val="35BD7F3B"/>
    <w:rsid w:val="35DD22DA"/>
    <w:rsid w:val="36783FFA"/>
    <w:rsid w:val="3AC66459"/>
    <w:rsid w:val="3B70684C"/>
    <w:rsid w:val="3CA8662A"/>
    <w:rsid w:val="3E8718EC"/>
    <w:rsid w:val="3E8E35FE"/>
    <w:rsid w:val="3EB412B6"/>
    <w:rsid w:val="3F67457A"/>
    <w:rsid w:val="404B5C4A"/>
    <w:rsid w:val="41214BFD"/>
    <w:rsid w:val="46C25D23"/>
    <w:rsid w:val="4A25750C"/>
    <w:rsid w:val="4BED458C"/>
    <w:rsid w:val="4CA62A48"/>
    <w:rsid w:val="4D2A003F"/>
    <w:rsid w:val="4E0B4C6B"/>
    <w:rsid w:val="4E405C28"/>
    <w:rsid w:val="4EA42878"/>
    <w:rsid w:val="4ED96210"/>
    <w:rsid w:val="4F5A1407"/>
    <w:rsid w:val="506233CE"/>
    <w:rsid w:val="523E560F"/>
    <w:rsid w:val="539B25ED"/>
    <w:rsid w:val="53A0079E"/>
    <w:rsid w:val="53DC50DF"/>
    <w:rsid w:val="5505119A"/>
    <w:rsid w:val="55514205"/>
    <w:rsid w:val="563F3A75"/>
    <w:rsid w:val="59BF16B5"/>
    <w:rsid w:val="5A6279C1"/>
    <w:rsid w:val="5DCA5FA9"/>
    <w:rsid w:val="5E9D546B"/>
    <w:rsid w:val="5F1F0C4B"/>
    <w:rsid w:val="5F4E6765"/>
    <w:rsid w:val="612956DC"/>
    <w:rsid w:val="617D3332"/>
    <w:rsid w:val="61CE6104"/>
    <w:rsid w:val="66EE0131"/>
    <w:rsid w:val="67A17C61"/>
    <w:rsid w:val="68E8136C"/>
    <w:rsid w:val="69635503"/>
    <w:rsid w:val="6BDE1A06"/>
    <w:rsid w:val="6C9715B6"/>
    <w:rsid w:val="6D487A17"/>
    <w:rsid w:val="6E373315"/>
    <w:rsid w:val="6F8F7052"/>
    <w:rsid w:val="71947510"/>
    <w:rsid w:val="734463A5"/>
    <w:rsid w:val="734D7008"/>
    <w:rsid w:val="73571C35"/>
    <w:rsid w:val="74335E53"/>
    <w:rsid w:val="75C37218"/>
    <w:rsid w:val="764010A6"/>
    <w:rsid w:val="774B6BCA"/>
    <w:rsid w:val="77F02658"/>
    <w:rsid w:val="793B3DA7"/>
    <w:rsid w:val="7A6A5650"/>
    <w:rsid w:val="7ABE4C8F"/>
    <w:rsid w:val="7BB029AD"/>
    <w:rsid w:val="7BDA2027"/>
    <w:rsid w:val="7E8A2199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2404</Words>
  <Characters>3037</Characters>
  <Lines>0</Lines>
  <Paragraphs>0</Paragraphs>
  <TotalTime>3</TotalTime>
  <ScaleCrop>false</ScaleCrop>
  <LinksUpToDate>false</LinksUpToDate>
  <CharactersWithSpaces>3048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2024-12-07T00:45:00Z</dcterms:created>
  <dc:creator>薛洪伟</dc:creator>
  <cp:lastModifiedBy>王苗苗</cp:lastModifiedBy>
  <dcterms:modified xsi:type="dcterms:W3CDTF">2025-01-13T03:06:04Z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D5F796715ADA4CD689B9FDFCE51533CF_13</vt:lpwstr>
  </property>
</Properties>
</file>