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leftChars="0"/>
        <w:rPr>
          <w:rFonts w:cs="Times New Roman"/>
          <w:color w:val="auto"/>
          <w:sz w:val="24"/>
          <w:highlight w:val="none"/>
        </w:rPr>
      </w:pPr>
      <w:r>
        <w:rPr>
          <w:rFonts w:hint="eastAsia" w:cs="Times New Roman"/>
          <w:color w:val="auto"/>
          <w:sz w:val="24"/>
          <w:highlight w:val="none"/>
        </w:rPr>
        <w:t>对各</w:t>
      </w:r>
      <w:r>
        <w:rPr>
          <w:rFonts w:hint="eastAsia" w:cs="Times New Roman"/>
          <w:color w:val="auto"/>
          <w:sz w:val="24"/>
          <w:highlight w:val="none"/>
          <w:lang w:val="en-US" w:eastAsia="zh-CN"/>
        </w:rPr>
        <w:t>投标</w:t>
      </w:r>
      <w:r>
        <w:rPr>
          <w:rFonts w:hint="eastAsia" w:cs="Times New Roman"/>
          <w:color w:val="auto"/>
          <w:sz w:val="24"/>
          <w:highlight w:val="none"/>
        </w:rPr>
        <w:t>文件进行详细评审打分，满分为100分。详细评分标准如下表：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1276"/>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vAlign w:val="center"/>
          </w:tcPr>
          <w:p>
            <w:pPr>
              <w:spacing w:line="360" w:lineRule="auto"/>
              <w:jc w:val="center"/>
              <w:rPr>
                <w:rFonts w:cs="Times New Roman"/>
                <w:b/>
                <w:color w:val="auto"/>
                <w:kern w:val="0"/>
                <w:sz w:val="24"/>
                <w:highlight w:val="none"/>
              </w:rPr>
            </w:pPr>
            <w:r>
              <w:rPr>
                <w:rFonts w:hint="eastAsia" w:cs="Times New Roman"/>
                <w:b/>
                <w:color w:val="auto"/>
                <w:kern w:val="0"/>
                <w:sz w:val="24"/>
                <w:highlight w:val="none"/>
              </w:rPr>
              <w:t>序号</w:t>
            </w:r>
          </w:p>
        </w:tc>
        <w:tc>
          <w:tcPr>
            <w:tcW w:w="1701" w:type="dxa"/>
            <w:vAlign w:val="center"/>
          </w:tcPr>
          <w:p>
            <w:pPr>
              <w:spacing w:line="360" w:lineRule="auto"/>
              <w:jc w:val="center"/>
              <w:rPr>
                <w:rFonts w:cs="Times New Roman"/>
                <w:b/>
                <w:color w:val="auto"/>
                <w:kern w:val="0"/>
                <w:sz w:val="24"/>
                <w:highlight w:val="none"/>
              </w:rPr>
            </w:pPr>
            <w:r>
              <w:rPr>
                <w:rFonts w:hint="eastAsia" w:cs="Times New Roman"/>
                <w:b/>
                <w:color w:val="auto"/>
                <w:kern w:val="0"/>
                <w:sz w:val="24"/>
                <w:highlight w:val="none"/>
              </w:rPr>
              <w:t>评价因素</w:t>
            </w:r>
          </w:p>
        </w:tc>
        <w:tc>
          <w:tcPr>
            <w:tcW w:w="1276" w:type="dxa"/>
            <w:vAlign w:val="center"/>
          </w:tcPr>
          <w:p>
            <w:pPr>
              <w:spacing w:line="360" w:lineRule="auto"/>
              <w:jc w:val="center"/>
              <w:rPr>
                <w:rFonts w:cs="Times New Roman"/>
                <w:b/>
                <w:color w:val="auto"/>
                <w:kern w:val="0"/>
                <w:sz w:val="24"/>
                <w:highlight w:val="none"/>
              </w:rPr>
            </w:pPr>
            <w:r>
              <w:rPr>
                <w:rFonts w:hint="eastAsia" w:cs="Times New Roman"/>
                <w:b/>
                <w:color w:val="auto"/>
                <w:kern w:val="0"/>
                <w:sz w:val="24"/>
                <w:highlight w:val="none"/>
              </w:rPr>
              <w:t>分值</w:t>
            </w:r>
          </w:p>
          <w:p>
            <w:pPr>
              <w:spacing w:line="360" w:lineRule="auto"/>
              <w:jc w:val="center"/>
              <w:rPr>
                <w:rFonts w:cs="Times New Roman"/>
                <w:b/>
                <w:color w:val="auto"/>
                <w:kern w:val="0"/>
                <w:sz w:val="24"/>
                <w:highlight w:val="none"/>
              </w:rPr>
            </w:pPr>
            <w:r>
              <w:rPr>
                <w:rFonts w:hint="eastAsia" w:cs="Times New Roman"/>
                <w:b/>
                <w:color w:val="auto"/>
                <w:kern w:val="0"/>
                <w:sz w:val="24"/>
                <w:highlight w:val="none"/>
              </w:rPr>
              <w:t>（满分）</w:t>
            </w:r>
          </w:p>
        </w:tc>
        <w:tc>
          <w:tcPr>
            <w:tcW w:w="5805" w:type="dxa"/>
            <w:vAlign w:val="center"/>
          </w:tcPr>
          <w:p>
            <w:pPr>
              <w:spacing w:line="360" w:lineRule="auto"/>
              <w:jc w:val="center"/>
              <w:rPr>
                <w:rFonts w:cs="Times New Roman"/>
                <w:b/>
                <w:color w:val="auto"/>
                <w:kern w:val="0"/>
                <w:sz w:val="24"/>
                <w:highlight w:val="none"/>
              </w:rPr>
            </w:pPr>
            <w:r>
              <w:rPr>
                <w:rFonts w:hint="eastAsia" w:cs="Times New Roman"/>
                <w:b/>
                <w:color w:val="auto"/>
                <w:kern w:val="0"/>
                <w:sz w:val="24"/>
                <w:highlight w:val="none"/>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4"/>
            <w:vAlign w:val="center"/>
          </w:tcPr>
          <w:p>
            <w:pPr>
              <w:spacing w:line="360" w:lineRule="auto"/>
              <w:jc w:val="center"/>
              <w:rPr>
                <w:rFonts w:cs="Times New Roman"/>
                <w:b/>
                <w:color w:val="auto"/>
                <w:kern w:val="0"/>
                <w:sz w:val="24"/>
                <w:highlight w:val="none"/>
              </w:rPr>
            </w:pPr>
            <w:r>
              <w:rPr>
                <w:rFonts w:hint="eastAsia" w:ascii="宋体" w:hAnsi="宋体" w:cs="宋体"/>
                <w:b/>
                <w:color w:val="auto"/>
                <w:kern w:val="0"/>
                <w:sz w:val="24"/>
                <w:highlight w:val="none"/>
              </w:rPr>
              <w:t>Ⅰ</w:t>
            </w:r>
            <w:r>
              <w:rPr>
                <w:rFonts w:cs="Times New Roman"/>
                <w:b/>
                <w:color w:val="auto"/>
                <w:kern w:val="0"/>
                <w:sz w:val="24"/>
                <w:highlight w:val="none"/>
              </w:rPr>
              <w:t>、报价部分（满分90分）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360" w:lineRule="auto"/>
              <w:ind w:left="0" w:leftChars="0"/>
              <w:rPr>
                <w:rFonts w:hint="eastAsia" w:cs="Times New Roman"/>
                <w:color w:val="auto"/>
                <w:sz w:val="24"/>
                <w:highlight w:val="none"/>
              </w:rPr>
            </w:pPr>
            <w:r>
              <w:rPr>
                <w:rFonts w:hint="eastAsia" w:cs="Times New Roman"/>
                <w:color w:val="auto"/>
                <w:sz w:val="24"/>
                <w:highlight w:val="none"/>
              </w:rPr>
              <w:t>1</w:t>
            </w:r>
          </w:p>
        </w:tc>
        <w:tc>
          <w:tcPr>
            <w:tcW w:w="1701" w:type="dxa"/>
            <w:vAlign w:val="center"/>
          </w:tcPr>
          <w:p>
            <w:pPr>
              <w:spacing w:after="0" w:line="360" w:lineRule="auto"/>
              <w:ind w:left="0" w:leftChars="0"/>
              <w:rPr>
                <w:rFonts w:hint="default" w:cs="Times New Roman"/>
                <w:color w:val="auto"/>
                <w:sz w:val="24"/>
                <w:highlight w:val="none"/>
                <w:lang w:val="en-US" w:eastAsia="zh-CN"/>
              </w:rPr>
            </w:pPr>
            <w:r>
              <w:rPr>
                <w:rFonts w:hint="eastAsia" w:cs="Times New Roman"/>
                <w:color w:val="auto"/>
                <w:sz w:val="24"/>
                <w:highlight w:val="none"/>
              </w:rPr>
              <w:t>报价</w:t>
            </w:r>
          </w:p>
        </w:tc>
        <w:tc>
          <w:tcPr>
            <w:tcW w:w="1276" w:type="dxa"/>
            <w:vAlign w:val="center"/>
          </w:tcPr>
          <w:p>
            <w:pPr>
              <w:spacing w:after="0" w:line="360" w:lineRule="auto"/>
              <w:jc w:val="center"/>
              <w:rPr>
                <w:rFonts w:hint="eastAsia" w:cs="Times New Roman"/>
                <w:color w:val="auto"/>
                <w:sz w:val="24"/>
                <w:highlight w:val="none"/>
              </w:rPr>
            </w:pPr>
            <w:r>
              <w:rPr>
                <w:rFonts w:hint="eastAsia" w:cs="Times New Roman"/>
                <w:color w:val="auto"/>
                <w:sz w:val="24"/>
                <w:highlight w:val="none"/>
              </w:rPr>
              <w:t>90</w:t>
            </w:r>
          </w:p>
        </w:tc>
        <w:tc>
          <w:tcPr>
            <w:tcW w:w="5805" w:type="dxa"/>
            <w:vAlign w:val="center"/>
          </w:tcPr>
          <w:p>
            <w:pPr>
              <w:spacing w:after="0" w:line="360" w:lineRule="auto"/>
              <w:ind w:left="0" w:leftChars="0"/>
              <w:rPr>
                <w:rFonts w:hint="eastAsia" w:cs="Times New Roman"/>
                <w:sz w:val="24"/>
                <w:highlight w:val="none"/>
              </w:rPr>
            </w:pPr>
            <w:r>
              <w:rPr>
                <w:rFonts w:hint="eastAsia" w:cs="Times New Roman"/>
                <w:sz w:val="24"/>
                <w:highlight w:val="none"/>
              </w:rPr>
              <w:t>1、评审基准价：采用</w:t>
            </w:r>
            <w:r>
              <w:rPr>
                <w:rFonts w:hint="eastAsia" w:cs="Times New Roman"/>
                <w:sz w:val="24"/>
                <w:highlight w:val="none"/>
                <w:lang w:val="en-US" w:eastAsia="zh-CN"/>
              </w:rPr>
              <w:t>投标</w:t>
            </w:r>
            <w:r>
              <w:rPr>
                <w:rFonts w:hint="eastAsia" w:cs="Times New Roman"/>
                <w:sz w:val="24"/>
                <w:highlight w:val="none"/>
              </w:rPr>
              <w:t>人最低</w:t>
            </w:r>
            <w:r>
              <w:rPr>
                <w:rFonts w:hint="eastAsia" w:cs="Times New Roman"/>
                <w:sz w:val="24"/>
                <w:highlight w:val="none"/>
                <w:lang w:val="en-US" w:eastAsia="zh-CN"/>
              </w:rPr>
              <w:t>含税总</w:t>
            </w:r>
            <w:r>
              <w:rPr>
                <w:rFonts w:hint="eastAsia" w:cs="Times New Roman"/>
                <w:sz w:val="24"/>
                <w:highlight w:val="none"/>
              </w:rPr>
              <w:t>报价作为评审基准价。</w:t>
            </w:r>
          </w:p>
          <w:p>
            <w:pPr>
              <w:spacing w:after="0" w:line="360" w:lineRule="auto"/>
              <w:ind w:left="0" w:leftChars="0"/>
              <w:rPr>
                <w:rFonts w:hint="default" w:cs="Times New Roman"/>
                <w:color w:val="auto"/>
                <w:sz w:val="24"/>
                <w:highlight w:val="none"/>
                <w:lang w:val="en-US" w:eastAsia="zh-CN"/>
              </w:rPr>
            </w:pPr>
            <w:r>
              <w:rPr>
                <w:rFonts w:hint="eastAsia" w:cs="Times New Roman"/>
                <w:color w:val="auto"/>
                <w:sz w:val="24"/>
                <w:highlight w:val="none"/>
                <w:lang w:val="en-US" w:eastAsia="zh-CN"/>
              </w:rPr>
              <w:t>2、</w:t>
            </w:r>
            <w:r>
              <w:rPr>
                <w:rFonts w:hint="eastAsia" w:cs="Times New Roman"/>
                <w:color w:val="auto"/>
                <w:sz w:val="24"/>
                <w:highlight w:val="none"/>
              </w:rPr>
              <w:t>投标人的报价每超出</w:t>
            </w:r>
            <w:r>
              <w:rPr>
                <w:rFonts w:hint="default" w:cs="Times New Roman"/>
                <w:color w:val="auto"/>
                <w:sz w:val="24"/>
                <w:highlight w:val="none"/>
              </w:rPr>
              <w:t>评审基准价的1</w:t>
            </w:r>
            <w:r>
              <w:rPr>
                <w:rFonts w:hint="eastAsia" w:cs="Times New Roman"/>
                <w:color w:val="auto"/>
                <w:sz w:val="24"/>
                <w:highlight w:val="none"/>
                <w:lang w:val="en-US" w:eastAsia="zh-CN"/>
              </w:rPr>
              <w:t>‰</w:t>
            </w:r>
            <w:r>
              <w:rPr>
                <w:rFonts w:hint="default" w:cs="Times New Roman"/>
                <w:color w:val="auto"/>
                <w:sz w:val="24"/>
                <w:highlight w:val="none"/>
              </w:rPr>
              <w:t>，将依据内</w:t>
            </w:r>
            <w:r>
              <w:rPr>
                <w:rFonts w:hint="eastAsia" w:cs="Times New Roman"/>
                <w:color w:val="auto"/>
                <w:sz w:val="24"/>
                <w:highlight w:val="none"/>
                <w:lang w:val="en-US" w:eastAsia="zh-CN"/>
              </w:rPr>
              <w:t>插</w:t>
            </w:r>
            <w:r>
              <w:rPr>
                <w:rFonts w:hint="default" w:cs="Times New Roman"/>
                <w:color w:val="auto"/>
                <w:sz w:val="24"/>
                <w:highlight w:val="none"/>
              </w:rPr>
              <w:t>法原则相应扣除1分，</w:t>
            </w:r>
            <w:r>
              <w:rPr>
                <w:rFonts w:hint="eastAsia" w:cs="Times New Roman"/>
                <w:color w:val="auto"/>
                <w:sz w:val="24"/>
                <w:highlight w:val="none"/>
                <w:lang w:val="en-US" w:eastAsia="zh-CN"/>
              </w:rPr>
              <w:t>以此类推，最后得分保留2位小数。</w:t>
            </w:r>
          </w:p>
          <w:p>
            <w:pPr>
              <w:spacing w:after="0" w:line="360" w:lineRule="auto"/>
              <w:ind w:left="0" w:leftChars="0"/>
              <w:rPr>
                <w:rFonts w:hint="default" w:cs="Times New Roman"/>
                <w:color w:val="auto"/>
                <w:sz w:val="24"/>
                <w:highlight w:val="none"/>
                <w:lang w:val="en-US" w:eastAsia="zh-CN"/>
              </w:rPr>
            </w:pPr>
            <w:r>
              <w:rPr>
                <w:rFonts w:hint="eastAsia" w:cs="Times New Roman"/>
                <w:color w:val="auto"/>
                <w:sz w:val="24"/>
                <w:highlight w:val="none"/>
                <w:lang w:val="en-US" w:eastAsia="zh-CN"/>
              </w:rPr>
              <w:t>扣分计算：</w:t>
            </w:r>
            <w:r>
              <w:rPr>
                <w:rFonts w:hint="default" w:cs="Times New Roman"/>
                <w:color w:val="auto"/>
                <w:sz w:val="24"/>
                <w:highlight w:val="none"/>
              </w:rPr>
              <w:t>(投标报价−评审基准价)</w:t>
            </w:r>
            <w:r>
              <w:rPr>
                <w:rFonts w:hint="eastAsia" w:cs="Times New Roman"/>
                <w:color w:val="auto"/>
                <w:sz w:val="24"/>
                <w:highlight w:val="none"/>
                <w:lang w:val="en-US" w:eastAsia="zh-CN"/>
              </w:rPr>
              <w:t>÷</w:t>
            </w:r>
            <w:r>
              <w:rPr>
                <w:rFonts w:hint="default" w:cs="Times New Roman"/>
                <w:color w:val="auto"/>
                <w:sz w:val="24"/>
                <w:highlight w:val="none"/>
              </w:rPr>
              <w:t>评审基准价×100%</w:t>
            </w:r>
            <w:r>
              <w:rPr>
                <w:rFonts w:hint="eastAsia" w:cs="Times New Roman"/>
                <w:color w:val="auto"/>
                <w:sz w:val="24"/>
                <w:highlight w:val="none"/>
                <w:lang w:val="en-US" w:eastAsia="zh-CN"/>
              </w:rPr>
              <w:t>÷1%</w:t>
            </w:r>
          </w:p>
          <w:p>
            <w:pPr>
              <w:spacing w:after="0" w:line="360" w:lineRule="auto"/>
              <w:ind w:left="0" w:leftChars="0"/>
              <w:rPr>
                <w:rFonts w:hint="eastAsia" w:cs="Times New Roman"/>
                <w:color w:val="auto"/>
                <w:sz w:val="24"/>
                <w:highlight w:val="none"/>
              </w:rPr>
            </w:pPr>
            <w:r>
              <w:rPr>
                <w:rFonts w:hint="eastAsia" w:cs="Times New Roman"/>
                <w:sz w:val="24"/>
                <w:highlight w:val="none"/>
              </w:rPr>
              <w:t>3、</w:t>
            </w:r>
            <w:r>
              <w:rPr>
                <w:rFonts w:hint="eastAsia" w:cs="Times New Roman"/>
                <w:sz w:val="24"/>
                <w:highlight w:val="none"/>
                <w:lang w:val="en-US" w:eastAsia="zh-CN"/>
              </w:rPr>
              <w:t>投标</w:t>
            </w:r>
            <w:r>
              <w:rPr>
                <w:rFonts w:hint="eastAsia" w:cs="Times New Roman"/>
                <w:sz w:val="24"/>
                <w:highlight w:val="none"/>
              </w:rPr>
              <w:t>人报价高于限价，作废处理。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4"/>
            <w:vAlign w:val="center"/>
          </w:tcPr>
          <w:p>
            <w:pPr>
              <w:spacing w:line="360" w:lineRule="auto"/>
              <w:jc w:val="center"/>
              <w:rPr>
                <w:rFonts w:cs="Times New Roman"/>
                <w:color w:val="auto"/>
                <w:kern w:val="0"/>
                <w:sz w:val="24"/>
                <w:highlight w:val="none"/>
              </w:rPr>
            </w:pPr>
            <w:r>
              <w:rPr>
                <w:rFonts w:hint="eastAsia" w:cs="Times New Roman"/>
                <w:b/>
                <w:color w:val="auto"/>
                <w:kern w:val="0"/>
                <w:sz w:val="24"/>
                <w:highlight w:val="none"/>
              </w:rPr>
              <w:t>Ⅱ、商务技术部分（满分为10分）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tcBorders>
            <w:vAlign w:val="center"/>
          </w:tcPr>
          <w:p>
            <w:pPr>
              <w:pStyle w:val="3"/>
              <w:tabs>
                <w:tab w:val="left" w:pos="2880"/>
              </w:tabs>
              <w:adjustRightInd w:val="0"/>
              <w:snapToGrid w:val="0"/>
              <w:spacing w:after="0" w:line="360" w:lineRule="auto"/>
              <w:ind w:left="0" w:leftChars="0"/>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1</w:t>
            </w:r>
          </w:p>
        </w:tc>
        <w:tc>
          <w:tcPr>
            <w:tcW w:w="1701"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投标文件完整性</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p>
        </w:tc>
        <w:tc>
          <w:tcPr>
            <w:tcW w:w="5805" w:type="dxa"/>
            <w:tcBorders>
              <w:top w:val="single" w:color="auto" w:sz="4" w:space="0"/>
              <w:bottom w:val="single" w:color="auto" w:sz="4" w:space="0"/>
              <w:right w:val="single" w:color="auto" w:sz="4" w:space="0"/>
            </w:tcBorders>
            <w:vAlign w:val="center"/>
          </w:tcPr>
          <w:p>
            <w:pPr>
              <w:adjustRightInd w:val="0"/>
              <w:snapToGrid w:val="0"/>
              <w:spacing w:line="360" w:lineRule="auto"/>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投标文件较为完整真实得2分、有少部分漏项、错误或不完整即细微偏差得1分、有重大偏差而被裁决为有效的或有较多细微偏差的得0分。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
              <w:tabs>
                <w:tab w:val="left" w:pos="2880"/>
              </w:tabs>
              <w:adjustRightInd w:val="0"/>
              <w:snapToGrid w:val="0"/>
              <w:spacing w:after="0" w:line="360" w:lineRule="auto"/>
              <w:ind w:left="0" w:leftChars="0"/>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p>
        </w:tc>
        <w:tc>
          <w:tcPr>
            <w:tcW w:w="1701" w:type="dxa"/>
            <w:tcBorders>
              <w:right w:val="single" w:color="auto" w:sz="4" w:space="0"/>
            </w:tcBorders>
            <w:vAlign w:val="center"/>
          </w:tcPr>
          <w:p>
            <w:pPr>
              <w:adjustRightInd w:val="0"/>
              <w:snapToGrid w:val="0"/>
              <w:spacing w:line="360" w:lineRule="auto"/>
              <w:jc w:val="center"/>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企业</w:t>
            </w:r>
          </w:p>
          <w:p>
            <w:pPr>
              <w:adjustRightInd w:val="0"/>
              <w:snapToGrid w:val="0"/>
              <w:spacing w:line="360" w:lineRule="auto"/>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综合实力</w:t>
            </w:r>
          </w:p>
        </w:tc>
        <w:tc>
          <w:tcPr>
            <w:tcW w:w="1276" w:type="dxa"/>
            <w:tcBorders>
              <w:left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宋体" w:cs="Times New Roman"/>
                <w:color w:val="auto"/>
                <w:kern w:val="2"/>
                <w:sz w:val="24"/>
                <w:szCs w:val="22"/>
                <w:highlight w:val="none"/>
                <w:lang w:val="en-US" w:eastAsia="zh-CN" w:bidi="ar-SA"/>
              </w:rPr>
            </w:pPr>
            <w:r>
              <w:rPr>
                <w:rFonts w:hint="eastAsia" w:cs="Times New Roman"/>
                <w:kern w:val="2"/>
                <w:sz w:val="24"/>
                <w:szCs w:val="22"/>
                <w:highlight w:val="none"/>
                <w:lang w:val="en-US" w:eastAsia="zh-CN" w:bidi="ar-SA"/>
              </w:rPr>
              <w:t>2</w:t>
            </w:r>
          </w:p>
        </w:tc>
        <w:tc>
          <w:tcPr>
            <w:tcW w:w="5805" w:type="dxa"/>
            <w:vAlign w:val="center"/>
          </w:tcPr>
          <w:p>
            <w:pPr>
              <w:adjustRightInd w:val="0"/>
              <w:snapToGrid w:val="0"/>
              <w:spacing w:line="360" w:lineRule="auto"/>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包括注册资金、资质、资信等级等，突出得</w:t>
            </w:r>
            <w:r>
              <w:rPr>
                <w:rFonts w:hint="eastAsia" w:cs="Times New Roman"/>
                <w:kern w:val="2"/>
                <w:sz w:val="24"/>
                <w:szCs w:val="22"/>
                <w:highlight w:val="none"/>
                <w:lang w:val="en-US" w:eastAsia="zh-CN" w:bidi="ar-SA"/>
              </w:rPr>
              <w:t>2</w:t>
            </w:r>
            <w:r>
              <w:rPr>
                <w:rFonts w:hint="eastAsia" w:ascii="Times New Roman" w:hAnsi="Times New Roman" w:eastAsia="宋体" w:cs="Times New Roman"/>
                <w:kern w:val="2"/>
                <w:sz w:val="24"/>
                <w:szCs w:val="22"/>
                <w:highlight w:val="none"/>
                <w:lang w:val="en-US" w:eastAsia="zh-CN" w:bidi="ar-SA"/>
              </w:rPr>
              <w:t>分、较好得</w:t>
            </w:r>
            <w:r>
              <w:rPr>
                <w:rFonts w:hint="eastAsia" w:cs="Times New Roman"/>
                <w:kern w:val="2"/>
                <w:sz w:val="24"/>
                <w:szCs w:val="22"/>
                <w:highlight w:val="none"/>
                <w:lang w:val="en-US" w:eastAsia="zh-CN" w:bidi="ar-SA"/>
              </w:rPr>
              <w:t>1.5</w:t>
            </w:r>
            <w:r>
              <w:rPr>
                <w:rFonts w:hint="eastAsia" w:ascii="Times New Roman" w:hAnsi="Times New Roman" w:eastAsia="宋体" w:cs="Times New Roman"/>
                <w:kern w:val="2"/>
                <w:sz w:val="24"/>
                <w:szCs w:val="22"/>
                <w:highlight w:val="none"/>
                <w:lang w:val="en-US" w:eastAsia="zh-CN" w:bidi="ar-SA"/>
              </w:rPr>
              <w:t>分、一般得</w:t>
            </w:r>
            <w:r>
              <w:rPr>
                <w:rFonts w:hint="eastAsia" w:cs="Times New Roman"/>
                <w:kern w:val="2"/>
                <w:sz w:val="24"/>
                <w:szCs w:val="22"/>
                <w:highlight w:val="none"/>
                <w:lang w:val="en-US" w:eastAsia="zh-CN" w:bidi="ar-SA"/>
              </w:rPr>
              <w:t>0-1</w:t>
            </w:r>
            <w:r>
              <w:rPr>
                <w:rFonts w:hint="eastAsia" w:ascii="Times New Roman" w:hAnsi="Times New Roman" w:eastAsia="宋体" w:cs="Times New Roman"/>
                <w:kern w:val="2"/>
                <w:sz w:val="24"/>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pStyle w:val="3"/>
              <w:tabs>
                <w:tab w:val="left" w:pos="2880"/>
              </w:tabs>
              <w:adjustRightInd w:val="0"/>
              <w:snapToGrid w:val="0"/>
              <w:spacing w:after="0" w:line="360" w:lineRule="auto"/>
              <w:ind w:left="0" w:leftChars="0"/>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3</w:t>
            </w:r>
          </w:p>
        </w:tc>
        <w:tc>
          <w:tcPr>
            <w:tcW w:w="1701"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业绩及信誉</w:t>
            </w:r>
          </w:p>
        </w:tc>
        <w:tc>
          <w:tcPr>
            <w:tcW w:w="1276"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360" w:lineRule="auto"/>
              <w:jc w:val="center"/>
              <w:rPr>
                <w:rFonts w:hint="eastAsia" w:ascii="Times New Roman" w:hAnsi="Times New Roman" w:eastAsia="宋体" w:cs="Times New Roman"/>
                <w:color w:val="auto"/>
                <w:kern w:val="2"/>
                <w:sz w:val="24"/>
                <w:szCs w:val="22"/>
                <w:highlight w:val="none"/>
                <w:lang w:val="en-US" w:eastAsia="zh-CN" w:bidi="ar-SA"/>
              </w:rPr>
            </w:pPr>
            <w:r>
              <w:rPr>
                <w:rFonts w:hint="eastAsia" w:cs="Times New Roman"/>
                <w:kern w:val="2"/>
                <w:sz w:val="24"/>
                <w:szCs w:val="22"/>
                <w:highlight w:val="none"/>
                <w:lang w:val="en-US" w:eastAsia="zh-CN" w:bidi="ar-SA"/>
              </w:rPr>
              <w:t>4</w:t>
            </w:r>
          </w:p>
        </w:tc>
        <w:tc>
          <w:tcPr>
            <w:tcW w:w="5805"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60" w:lineRule="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近三年内拥有</w:t>
            </w:r>
            <w:r>
              <w:rPr>
                <w:rFonts w:hint="eastAsia" w:cs="Times New Roman"/>
                <w:kern w:val="2"/>
                <w:sz w:val="24"/>
                <w:szCs w:val="22"/>
                <w:highlight w:val="none"/>
                <w:lang w:val="en-US" w:eastAsia="zh-CN" w:bidi="ar-SA"/>
              </w:rPr>
              <w:t>5</w:t>
            </w:r>
            <w:r>
              <w:rPr>
                <w:rFonts w:hint="eastAsia" w:ascii="Times New Roman" w:hAnsi="Times New Roman" w:eastAsia="宋体" w:cs="Times New Roman"/>
                <w:kern w:val="2"/>
                <w:sz w:val="24"/>
                <w:szCs w:val="22"/>
                <w:highlight w:val="none"/>
                <w:lang w:val="en-US" w:eastAsia="zh-CN" w:bidi="ar-SA"/>
              </w:rPr>
              <w:t>00万及以上供货业绩1个0.5分，2个得1分，最高得3分。</w:t>
            </w:r>
          </w:p>
          <w:p>
            <w:pPr>
              <w:adjustRightInd w:val="0"/>
              <w:snapToGrid w:val="0"/>
              <w:spacing w:line="360" w:lineRule="auto"/>
              <w:rPr>
                <w:rFonts w:hint="eastAsia"/>
                <w:color w:val="auto"/>
                <w:highlight w:val="none"/>
                <w:lang w:val="en-US" w:eastAsia="zh-CN"/>
              </w:rPr>
            </w:pPr>
            <w:r>
              <w:rPr>
                <w:rFonts w:hint="eastAsia" w:ascii="Times New Roman" w:hAnsi="Times New Roman" w:eastAsia="宋体" w:cs="Times New Roman"/>
                <w:kern w:val="2"/>
                <w:sz w:val="24"/>
                <w:szCs w:val="22"/>
                <w:highlight w:val="none"/>
                <w:lang w:val="en-US" w:eastAsia="zh-CN" w:bidi="ar-SA"/>
              </w:rPr>
              <w:t>供应商评价：在近两年来在采购人年度综合评价结果中连续两年或以上年度评为优秀的供应商加1分，否则不得分。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46" w:type="dxa"/>
            <w:vAlign w:val="center"/>
          </w:tcPr>
          <w:p>
            <w:pPr>
              <w:pStyle w:val="3"/>
              <w:tabs>
                <w:tab w:val="left" w:pos="2880"/>
              </w:tabs>
              <w:adjustRightInd w:val="0"/>
              <w:snapToGrid w:val="0"/>
              <w:spacing w:after="0" w:line="360" w:lineRule="auto"/>
              <w:ind w:left="0" w:leftChars="0"/>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4</w:t>
            </w:r>
          </w:p>
        </w:tc>
        <w:tc>
          <w:tcPr>
            <w:tcW w:w="1701"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保供措施及</w:t>
            </w:r>
          </w:p>
          <w:p>
            <w:pPr>
              <w:adjustRightInd w:val="0"/>
              <w:snapToGrid w:val="0"/>
              <w:spacing w:line="360" w:lineRule="auto"/>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售后服务</w:t>
            </w:r>
          </w:p>
        </w:tc>
        <w:tc>
          <w:tcPr>
            <w:tcW w:w="1276"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360" w:lineRule="auto"/>
              <w:jc w:val="center"/>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w:t>
            </w:r>
          </w:p>
        </w:tc>
        <w:tc>
          <w:tcPr>
            <w:tcW w:w="5805" w:type="dxa"/>
            <w:tcBorders>
              <w:top w:val="single" w:color="000000" w:sz="4" w:space="0"/>
              <w:left w:val="single" w:color="000000" w:sz="4" w:space="0"/>
              <w:bottom w:val="single" w:color="auto" w:sz="4" w:space="0"/>
              <w:right w:val="single" w:color="auto" w:sz="4" w:space="0"/>
            </w:tcBorders>
            <w:vAlign w:val="center"/>
          </w:tcPr>
          <w:p>
            <w:pPr>
              <w:adjustRightInd w:val="0"/>
              <w:snapToGrid w:val="0"/>
              <w:spacing w:line="360" w:lineRule="auto"/>
              <w:rPr>
                <w:rFonts w:hint="eastAsia"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完善、合理得2分、较好得1分、一般得0-0.5分。</w:t>
            </w:r>
          </w:p>
        </w:tc>
      </w:tr>
    </w:tbl>
    <w:p>
      <w:pPr>
        <w:rPr>
          <w:rFonts w:hint="eastAsia"/>
          <w:color w:val="auto"/>
          <w:highlight w:val="none"/>
        </w:rPr>
      </w:pPr>
    </w:p>
    <w:p>
      <w:pPr>
        <w:pStyle w:val="9"/>
        <w:ind w:left="0" w:leftChars="0" w:firstLine="0" w:firstLineChars="0"/>
        <w:rPr>
          <w:rFonts w:hint="eastAsia" w:eastAsia="宋体"/>
          <w:color w:val="auto"/>
          <w:sz w:val="21"/>
          <w:szCs w:val="22"/>
          <w:highlight w:val="none"/>
          <w:lang w:eastAsia="zh-CN"/>
        </w:rPr>
      </w:pPr>
      <w:r>
        <w:rPr>
          <w:rFonts w:hint="eastAsia"/>
          <w:b/>
          <w:bCs/>
          <w:color w:val="auto"/>
          <w:highlight w:val="none"/>
        </w:rPr>
        <w:t>注：</w:t>
      </w:r>
      <w:r>
        <w:rPr>
          <w:rFonts w:hint="eastAsia"/>
          <w:b/>
          <w:bCs/>
          <w:color w:val="auto"/>
          <w:sz w:val="21"/>
          <w:szCs w:val="22"/>
          <w:highlight w:val="none"/>
        </w:rPr>
        <w:t>在综合评分法下，当投标人得分相同时，可采用合理低价来确定中标候选人</w:t>
      </w:r>
      <w:r>
        <w:rPr>
          <w:rFonts w:hint="eastAsia"/>
          <w:b/>
          <w:bCs/>
          <w:color w:val="auto"/>
          <w:sz w:val="21"/>
          <w:szCs w:val="22"/>
          <w:highlight w:val="none"/>
          <w:lang w:eastAsia="zh-CN"/>
        </w:rPr>
        <w:t>。</w:t>
      </w:r>
    </w:p>
    <w:p>
      <w:pPr>
        <w:numPr>
          <w:ilvl w:val="0"/>
          <w:numId w:val="0"/>
        </w:numPr>
        <w:rPr>
          <w:rFonts w:hint="default"/>
          <w:color w:val="auto"/>
          <w:highlight w:val="none"/>
          <w:lang w:val="en-US" w:eastAsia="zh-CN"/>
        </w:rPr>
      </w:pPr>
    </w:p>
    <w:p>
      <w:pPr>
        <w:pStyle w:val="13"/>
        <w:rPr>
          <w:rFonts w:hint="eastAsia"/>
          <w:color w:val="auto"/>
          <w:highlight w:val="none"/>
        </w:rPr>
      </w:pPr>
    </w:p>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hint="eastAsia" w:cs="Times New Roman"/>
        <w:sz w:val="21"/>
        <w:szCs w:val="21"/>
        <w:lang w:val="en-US" w:eastAsia="zh-CN"/>
      </w:rPr>
    </w:pPr>
    <w:bookmarkStart w:id="0" w:name="_GoBack"/>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NDMxYzMxY2Q0NDYxZGY4YzFlODFiM2E5ZmYyZjQifQ=="/>
  </w:docVars>
  <w:rsids>
    <w:rsidRoot w:val="00000000"/>
    <w:rsid w:val="150F0169"/>
    <w:rsid w:val="4402351A"/>
    <w:rsid w:val="48F1107F"/>
    <w:rsid w:val="7150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3"/>
    <w:basedOn w:val="1"/>
    <w:next w:val="1"/>
    <w:unhideWhenUsed/>
    <w:qFormat/>
    <w:uiPriority w:val="9"/>
    <w:pPr>
      <w:keepNext/>
      <w:keepLines/>
      <w:spacing w:line="360" w:lineRule="auto"/>
      <w:ind w:firstLine="141" w:firstLineChars="50"/>
      <w:outlineLvl w:val="2"/>
    </w:pPr>
    <w:rPr>
      <w:rFonts w:ascii="Times New Roman" w:hAnsi="Times New Roman" w:eastAsia="宋体" w:cs="Times New Roman"/>
      <w:b/>
      <w:bCs/>
      <w:sz w:val="24"/>
      <w:szCs w:val="32"/>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Indent"/>
    <w:basedOn w:val="1"/>
    <w:next w:val="1"/>
    <w:unhideWhenUsed/>
    <w:qFormat/>
    <w:uiPriority w:val="0"/>
    <w:pPr>
      <w:spacing w:after="120"/>
      <w:ind w:left="420" w:leftChars="200"/>
    </w:pPr>
  </w:style>
  <w:style w:type="paragraph" w:styleId="4">
    <w:name w:val="Plain Text"/>
    <w:basedOn w:val="1"/>
    <w:qFormat/>
    <w:uiPriority w:val="0"/>
    <w:rPr>
      <w:rFonts w:ascii="宋体" w:hAnsi="Courier New" w:eastAsiaTheme="minorEastAsia" w:cstheme="minorBidi"/>
      <w:szCs w:val="22"/>
    </w:rPr>
  </w:style>
  <w:style w:type="paragraph" w:styleId="5">
    <w:name w:val="Body Text Indent 2"/>
    <w:basedOn w:val="1"/>
    <w:next w:val="6"/>
    <w:unhideWhenUsed/>
    <w:qFormat/>
    <w:uiPriority w:val="0"/>
    <w:pPr>
      <w:spacing w:after="120" w:line="480" w:lineRule="auto"/>
      <w:ind w:left="420" w:leftChars="200"/>
    </w:pPr>
  </w:style>
  <w:style w:type="paragraph" w:customStyle="1" w:styleId="6">
    <w:name w:val="z正文"/>
    <w:basedOn w:val="4"/>
    <w:qFormat/>
    <w:uiPriority w:val="99"/>
    <w:pPr>
      <w:tabs>
        <w:tab w:val="left" w:pos="525"/>
      </w:tabs>
      <w:snapToGrid w:val="0"/>
    </w:pPr>
    <w:rPr>
      <w:rFonts w:ascii="Times New Roman" w:hAnsi="宋体" w:cs="Times New Roman" w:eastAsiaTheme="minorEastAsia"/>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3"/>
    <w:next w:val="5"/>
    <w:unhideWhenUsed/>
    <w:qFormat/>
    <w:uiPriority w:val="99"/>
    <w:pPr>
      <w:ind w:firstLine="420" w:firstLineChars="200"/>
    </w:p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ormal (Web)1"/>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473</Words>
  <Characters>495</Characters>
  <Lines>0</Lines>
  <Paragraphs>0</Paragraphs>
  <TotalTime>0</TotalTime>
  <ScaleCrop>false</ScaleCrop>
  <LinksUpToDate>false</LinksUpToDate>
  <CharactersWithSpaces>495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2023-07-12T01:44:00Z</dcterms:created>
  <dc:creator>zZ</dc:creator>
  <cp:lastModifiedBy>兴辰宇月</cp:lastModifiedBy>
  <dcterms:modified xsi:type="dcterms:W3CDTF">2025-07-08T00:37:27Z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9AD4251A277C45649B8FE4005D074B07</vt:lpwstr>
  </property>
</Properties>
</file>