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F99F">
      <w:pPr>
        <w:pStyle w:val="2"/>
        <w:keepNext/>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_GB2312" w:hAnsi="仿宋_GB2312" w:eastAsia="仿宋_GB2312" w:cs="仿宋_GB2312"/>
          <w:b/>
          <w:bCs/>
          <w:i w:val="0"/>
          <w:iCs w:val="0"/>
          <w:color w:val="auto"/>
          <w:kern w:val="0"/>
          <w:sz w:val="44"/>
          <w:szCs w:val="44"/>
          <w:u w:val="none"/>
          <w:lang w:val="en-US" w:eastAsia="zh-CN" w:bidi="ar"/>
        </w:rPr>
      </w:pPr>
      <w:r>
        <w:rPr>
          <w:rFonts w:hint="eastAsia" w:ascii="仿宋_GB2312" w:hAnsi="仿宋_GB2312" w:eastAsia="仿宋_GB2312" w:cs="仿宋_GB2312"/>
          <w:b/>
          <w:bCs/>
          <w:i w:val="0"/>
          <w:iCs w:val="0"/>
          <w:color w:val="auto"/>
          <w:kern w:val="0"/>
          <w:sz w:val="44"/>
          <w:szCs w:val="44"/>
          <w:u w:val="none"/>
          <w:lang w:val="en-US" w:eastAsia="zh-CN" w:bidi="ar"/>
        </w:rPr>
        <w:t>柯桥供水公司公务车（多用途乘用车）</w:t>
      </w:r>
    </w:p>
    <w:p w14:paraId="45158004">
      <w:pPr>
        <w:pStyle w:val="2"/>
        <w:keepNext/>
        <w:keepLines w:val="0"/>
        <w:pageBreakBefore w:val="0"/>
        <w:widowControl/>
        <w:numPr>
          <w:ilvl w:val="0"/>
          <w:numId w:val="0"/>
        </w:numPr>
        <w:kinsoku/>
        <w:wordWrap/>
        <w:overflowPunct/>
        <w:topLinePunct w:val="0"/>
        <w:autoSpaceDE/>
        <w:autoSpaceDN/>
        <w:bidi w:val="0"/>
        <w:adjustRightInd/>
        <w:snapToGrid/>
        <w:spacing w:line="240" w:lineRule="exact"/>
        <w:ind w:leftChars="0"/>
        <w:jc w:val="center"/>
        <w:textAlignment w:val="auto"/>
        <w:rPr>
          <w:rFonts w:hint="eastAsia" w:ascii="仿宋_GB2312" w:hAnsi="仿宋_GB2312" w:eastAsia="仿宋_GB2312" w:cs="仿宋_GB2312"/>
          <w:b/>
          <w:bCs/>
          <w:i w:val="0"/>
          <w:iCs w:val="0"/>
          <w:color w:val="auto"/>
          <w:kern w:val="0"/>
          <w:sz w:val="44"/>
          <w:szCs w:val="44"/>
          <w:u w:val="none"/>
          <w:lang w:val="en-US" w:eastAsia="zh-CN" w:bidi="ar"/>
        </w:rPr>
      </w:pPr>
      <w:r>
        <w:rPr>
          <w:rFonts w:hint="eastAsia" w:ascii="仿宋_GB2312" w:hAnsi="仿宋_GB2312" w:eastAsia="仿宋_GB2312" w:cs="仿宋_GB2312"/>
          <w:b/>
          <w:bCs/>
          <w:i w:val="0"/>
          <w:iCs w:val="0"/>
          <w:color w:val="auto"/>
          <w:kern w:val="0"/>
          <w:sz w:val="44"/>
          <w:szCs w:val="44"/>
          <w:u w:val="none"/>
          <w:lang w:val="en-US" w:eastAsia="zh-CN" w:bidi="ar"/>
        </w:rPr>
        <w:t>采购项目</w:t>
      </w:r>
    </w:p>
    <w:p w14:paraId="51C12F23">
      <w:pPr>
        <w:numPr>
          <w:ilvl w:val="0"/>
          <w:numId w:val="2"/>
        </w:numPr>
        <w:rPr>
          <w:rFonts w:hint="eastAsia"/>
          <w:color w:val="auto"/>
          <w:lang w:val="en-US" w:eastAsia="zh-CN"/>
        </w:rPr>
      </w:pPr>
      <w:r>
        <w:rPr>
          <w:rFonts w:hint="eastAsia" w:ascii="仿宋" w:hAnsi="仿宋" w:eastAsia="仿宋" w:cs="仿宋"/>
          <w:b/>
          <w:bCs/>
          <w:color w:val="auto"/>
          <w:sz w:val="28"/>
          <w:szCs w:val="28"/>
          <w:highlight w:val="none"/>
          <w:lang w:val="en-US" w:eastAsia="zh-CN"/>
        </w:rPr>
        <w:t>采购清单</w:t>
      </w:r>
    </w:p>
    <w:tbl>
      <w:tblPr>
        <w:tblStyle w:val="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824"/>
        <w:gridCol w:w="1415"/>
        <w:gridCol w:w="1897"/>
        <w:gridCol w:w="990"/>
        <w:gridCol w:w="1155"/>
        <w:gridCol w:w="1260"/>
      </w:tblGrid>
      <w:tr w14:paraId="768C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95" w:type="dxa"/>
            <w:noWrap w:val="0"/>
            <w:vAlign w:val="center"/>
          </w:tcPr>
          <w:p w14:paraId="39D9AE7E">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序</w:t>
            </w:r>
            <w:r>
              <w:rPr>
                <w:rFonts w:hint="eastAsia" w:ascii="仿宋" w:hAnsi="仿宋" w:eastAsia="仿宋" w:cs="仿宋"/>
                <w:b/>
                <w:bCs/>
                <w:color w:val="auto"/>
                <w:sz w:val="28"/>
                <w:szCs w:val="28"/>
              </w:rPr>
              <w:t>号</w:t>
            </w:r>
          </w:p>
        </w:tc>
        <w:tc>
          <w:tcPr>
            <w:tcW w:w="1824" w:type="dxa"/>
            <w:noWrap w:val="0"/>
            <w:vAlign w:val="center"/>
          </w:tcPr>
          <w:p w14:paraId="6CF356D7">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货物名称</w:t>
            </w:r>
          </w:p>
        </w:tc>
        <w:tc>
          <w:tcPr>
            <w:tcW w:w="1415" w:type="dxa"/>
            <w:noWrap w:val="0"/>
            <w:vAlign w:val="center"/>
          </w:tcPr>
          <w:p w14:paraId="14C2B06A">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品牌</w:t>
            </w:r>
          </w:p>
        </w:tc>
        <w:tc>
          <w:tcPr>
            <w:tcW w:w="1897" w:type="dxa"/>
            <w:noWrap w:val="0"/>
            <w:vAlign w:val="center"/>
          </w:tcPr>
          <w:p w14:paraId="72B6CBB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型号</w:t>
            </w:r>
          </w:p>
        </w:tc>
        <w:tc>
          <w:tcPr>
            <w:tcW w:w="990" w:type="dxa"/>
            <w:noWrap w:val="0"/>
            <w:vAlign w:val="center"/>
          </w:tcPr>
          <w:p w14:paraId="0ED38096">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单位</w:t>
            </w:r>
          </w:p>
        </w:tc>
        <w:tc>
          <w:tcPr>
            <w:tcW w:w="1155" w:type="dxa"/>
            <w:noWrap w:val="0"/>
            <w:vAlign w:val="center"/>
          </w:tcPr>
          <w:p w14:paraId="444F450E">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数量</w:t>
            </w:r>
          </w:p>
        </w:tc>
        <w:tc>
          <w:tcPr>
            <w:tcW w:w="1260" w:type="dxa"/>
            <w:noWrap w:val="0"/>
            <w:vAlign w:val="center"/>
          </w:tcPr>
          <w:p w14:paraId="64452DAF">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上限</w:t>
            </w:r>
          </w:p>
          <w:p w14:paraId="37507B98">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单价（元）</w:t>
            </w:r>
          </w:p>
        </w:tc>
      </w:tr>
      <w:tr w14:paraId="48C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1195" w:type="dxa"/>
            <w:noWrap w:val="0"/>
            <w:vAlign w:val="center"/>
          </w:tcPr>
          <w:p w14:paraId="7EBB5ACB">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p>
        </w:tc>
        <w:tc>
          <w:tcPr>
            <w:tcW w:w="1824" w:type="dxa"/>
            <w:noWrap w:val="0"/>
            <w:vAlign w:val="center"/>
          </w:tcPr>
          <w:p w14:paraId="0BA4DF8C">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公务车</w:t>
            </w:r>
          </w:p>
          <w:p w14:paraId="75C83474">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（多用途</w:t>
            </w:r>
          </w:p>
          <w:p w14:paraId="6E1E3B16">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乘用车）</w:t>
            </w:r>
          </w:p>
        </w:tc>
        <w:tc>
          <w:tcPr>
            <w:tcW w:w="1415" w:type="dxa"/>
            <w:noWrap w:val="0"/>
            <w:vAlign w:val="center"/>
          </w:tcPr>
          <w:p w14:paraId="78F6E010">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广汽    </w:t>
            </w:r>
            <w:r>
              <w:rPr>
                <w:rFonts w:hint="eastAsia" w:ascii="仿宋" w:hAnsi="仿宋" w:eastAsia="仿宋" w:cs="仿宋"/>
                <w:b w:val="0"/>
                <w:bCs w:val="0"/>
                <w:color w:val="auto"/>
                <w:sz w:val="28"/>
                <w:szCs w:val="28"/>
              </w:rPr>
              <w:t>传祺</w:t>
            </w:r>
          </w:p>
        </w:tc>
        <w:tc>
          <w:tcPr>
            <w:tcW w:w="1897" w:type="dxa"/>
            <w:noWrap w:val="0"/>
            <w:vAlign w:val="center"/>
          </w:tcPr>
          <w:p w14:paraId="5EF39E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M8大师</w:t>
            </w:r>
          </w:p>
          <w:p w14:paraId="7094F8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350T 行政版</w:t>
            </w:r>
          </w:p>
        </w:tc>
        <w:tc>
          <w:tcPr>
            <w:tcW w:w="990" w:type="dxa"/>
            <w:noWrap w:val="0"/>
            <w:vAlign w:val="center"/>
          </w:tcPr>
          <w:p w14:paraId="04ADF3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color w:val="auto"/>
                <w:sz w:val="28"/>
                <w:szCs w:val="28"/>
                <w:lang w:val="en-US" w:eastAsia="zh-CN"/>
              </w:rPr>
              <w:t>辆</w:t>
            </w:r>
          </w:p>
        </w:tc>
        <w:tc>
          <w:tcPr>
            <w:tcW w:w="1155" w:type="dxa"/>
            <w:noWrap w:val="0"/>
            <w:vAlign w:val="center"/>
          </w:tcPr>
          <w:p w14:paraId="3F2914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260" w:type="dxa"/>
            <w:noWrap w:val="0"/>
            <w:vAlign w:val="center"/>
          </w:tcPr>
          <w:p w14:paraId="5CD07B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180000</w:t>
            </w:r>
          </w:p>
        </w:tc>
      </w:tr>
    </w:tbl>
    <w:p w14:paraId="3195A036">
      <w:pPr>
        <w:numPr>
          <w:ilvl w:val="0"/>
          <w:numId w:val="2"/>
        </w:numPr>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主要技术参数</w:t>
      </w:r>
    </w:p>
    <w:tbl>
      <w:tblPr>
        <w:tblStyle w:val="6"/>
        <w:tblW w:w="5760" w:type="pct"/>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7"/>
        <w:gridCol w:w="5760"/>
      </w:tblGrid>
      <w:tr w14:paraId="1956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135D00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长 × 宽 × 高(mm)</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042F9F2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5212 × 1893 × 1823</w:t>
            </w:r>
          </w:p>
        </w:tc>
      </w:tr>
      <w:tr w14:paraId="4EF2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31DC0A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轴距(mm)</w:t>
            </w:r>
          </w:p>
        </w:tc>
        <w:tc>
          <w:tcPr>
            <w:tcW w:w="2933" w:type="pct"/>
            <w:tcBorders>
              <w:top w:val="single" w:color="000000" w:sz="4" w:space="0"/>
              <w:left w:val="single" w:color="000000" w:sz="4" w:space="0"/>
              <w:bottom w:val="single" w:color="000000" w:sz="4" w:space="0"/>
              <w:right w:val="single" w:color="000000" w:sz="4" w:space="0"/>
            </w:tcBorders>
            <w:noWrap/>
            <w:vAlign w:val="center"/>
          </w:tcPr>
          <w:p w14:paraId="1E7A9A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3070</w:t>
            </w:r>
          </w:p>
        </w:tc>
      </w:tr>
      <w:tr w14:paraId="003D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730515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行李厢容积(L)</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72E1A2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七座模式：516</w:t>
            </w:r>
          </w:p>
        </w:tc>
      </w:tr>
      <w:tr w14:paraId="740D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C62EB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整备质量(kg)</w:t>
            </w:r>
          </w:p>
        </w:tc>
        <w:tc>
          <w:tcPr>
            <w:tcW w:w="2933" w:type="pct"/>
            <w:tcBorders>
              <w:top w:val="single" w:color="000000" w:sz="4" w:space="0"/>
              <w:left w:val="single" w:color="000000" w:sz="4" w:space="0"/>
              <w:bottom w:val="single" w:color="000000" w:sz="4" w:space="0"/>
              <w:right w:val="single" w:color="000000" w:sz="4" w:space="0"/>
            </w:tcBorders>
            <w:noWrap/>
            <w:vAlign w:val="center"/>
          </w:tcPr>
          <w:p w14:paraId="62F2D5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2060</w:t>
            </w:r>
          </w:p>
        </w:tc>
      </w:tr>
      <w:tr w14:paraId="4E54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7FDB65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发动机</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233C57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1.8TGDI发动机</w:t>
            </w:r>
          </w:p>
        </w:tc>
      </w:tr>
      <w:tr w14:paraId="543A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4ABBA1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变速箱形式</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1F58E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爱信8AT变速箱</w:t>
            </w:r>
          </w:p>
        </w:tc>
      </w:tr>
      <w:tr w14:paraId="1561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6FF311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发动机额定功率/转速(kW/rpm)</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93D3E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166/5250</w:t>
            </w:r>
          </w:p>
        </w:tc>
      </w:tr>
      <w:tr w14:paraId="6448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55F148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发动机最大扭矩/转速(N·m/rpm)</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764DBD2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350/1750-4000</w:t>
            </w:r>
          </w:p>
        </w:tc>
      </w:tr>
      <w:tr w14:paraId="20AE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0B22700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转向系统</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05571E3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R-EPS电动助力转向系统</w:t>
            </w:r>
          </w:p>
        </w:tc>
      </w:tr>
      <w:tr w14:paraId="1057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773FC1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制动系统：制动器类型</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80A2B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前：通风盘式 / 后：盘式</w:t>
            </w:r>
          </w:p>
        </w:tc>
      </w:tr>
      <w:tr w14:paraId="62E2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39B99B3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悬挂系统</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63475F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Fonts w:hint="eastAsia" w:ascii="仿宋" w:hAnsi="仿宋" w:eastAsia="仿宋" w:cs="仿宋"/>
                <w:i w:val="0"/>
                <w:iCs w:val="0"/>
                <w:color w:val="auto"/>
                <w:sz w:val="28"/>
                <w:szCs w:val="28"/>
                <w:u w:val="none"/>
              </w:rPr>
            </w:pPr>
            <w:r>
              <w:rPr>
                <w:rStyle w:val="11"/>
                <w:rFonts w:hint="eastAsia" w:ascii="仿宋" w:hAnsi="仿宋" w:eastAsia="仿宋" w:cs="仿宋"/>
                <w:color w:val="auto"/>
                <w:sz w:val="28"/>
                <w:szCs w:val="28"/>
                <w:lang w:val="en-US" w:eastAsia="zh-CN" w:bidi="ar"/>
              </w:rPr>
              <w:t>前麦弗逊/后多连杆</w:t>
            </w:r>
          </w:p>
        </w:tc>
      </w:tr>
      <w:tr w14:paraId="14F8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445680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Style w:val="11"/>
                <w:rFonts w:hint="default" w:ascii="仿宋" w:hAnsi="仿宋" w:eastAsia="仿宋" w:cs="仿宋"/>
                <w:color w:val="auto"/>
                <w:sz w:val="28"/>
                <w:szCs w:val="28"/>
                <w:lang w:val="en-US" w:eastAsia="zh-CN" w:bidi="ar"/>
              </w:rPr>
            </w:pPr>
            <w:r>
              <w:rPr>
                <w:rStyle w:val="11"/>
                <w:rFonts w:hint="eastAsia" w:ascii="仿宋" w:hAnsi="仿宋" w:eastAsia="仿宋" w:cs="仿宋"/>
                <w:color w:val="auto"/>
                <w:sz w:val="28"/>
                <w:szCs w:val="28"/>
                <w:lang w:val="en-US" w:eastAsia="zh-CN" w:bidi="ar"/>
              </w:rPr>
              <w:t>排放标准</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4FCFEE2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Style w:val="11"/>
                <w:rFonts w:hint="eastAsia" w:ascii="仿宋" w:hAnsi="仿宋" w:eastAsia="仿宋" w:cs="仿宋"/>
                <w:color w:val="auto"/>
                <w:sz w:val="28"/>
                <w:szCs w:val="28"/>
                <w:lang w:val="en-US" w:eastAsia="zh-CN" w:bidi="ar"/>
              </w:rPr>
            </w:pPr>
            <w:r>
              <w:rPr>
                <w:rStyle w:val="11"/>
                <w:rFonts w:hint="eastAsia" w:ascii="仿宋" w:hAnsi="仿宋" w:eastAsia="仿宋" w:cs="仿宋"/>
                <w:color w:val="auto"/>
                <w:sz w:val="28"/>
                <w:szCs w:val="28"/>
                <w:lang w:val="en-US" w:eastAsia="zh-CN" w:bidi="ar"/>
              </w:rPr>
              <w:t xml:space="preserve">国Ⅵ </w:t>
            </w:r>
          </w:p>
        </w:tc>
      </w:tr>
      <w:tr w14:paraId="3685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066" w:type="pct"/>
            <w:tcBorders>
              <w:top w:val="single" w:color="000000" w:sz="4" w:space="0"/>
              <w:left w:val="single" w:color="000000" w:sz="4" w:space="0"/>
              <w:bottom w:val="single" w:color="000000" w:sz="4" w:space="0"/>
              <w:right w:val="single" w:color="000000" w:sz="4" w:space="0"/>
            </w:tcBorders>
            <w:noWrap w:val="0"/>
            <w:vAlign w:val="center"/>
          </w:tcPr>
          <w:p w14:paraId="2B28AAC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Style w:val="11"/>
                <w:rFonts w:hint="default" w:ascii="仿宋" w:hAnsi="仿宋" w:eastAsia="仿宋" w:cs="仿宋"/>
                <w:color w:val="auto"/>
                <w:sz w:val="28"/>
                <w:szCs w:val="28"/>
                <w:lang w:val="en-US" w:eastAsia="zh-CN" w:bidi="ar"/>
              </w:rPr>
            </w:pPr>
            <w:r>
              <w:rPr>
                <w:rStyle w:val="11"/>
                <w:rFonts w:hint="eastAsia" w:ascii="仿宋" w:hAnsi="仿宋" w:eastAsia="仿宋" w:cs="仿宋"/>
                <w:color w:val="auto"/>
                <w:sz w:val="28"/>
                <w:szCs w:val="28"/>
                <w:lang w:val="en-US" w:eastAsia="zh-CN" w:bidi="ar"/>
              </w:rPr>
              <w:t>其他配置</w:t>
            </w:r>
          </w:p>
        </w:tc>
        <w:tc>
          <w:tcPr>
            <w:tcW w:w="2933" w:type="pct"/>
            <w:tcBorders>
              <w:top w:val="single" w:color="000000" w:sz="4" w:space="0"/>
              <w:left w:val="single" w:color="000000" w:sz="4" w:space="0"/>
              <w:bottom w:val="single" w:color="000000" w:sz="4" w:space="0"/>
              <w:right w:val="single" w:color="000000" w:sz="4" w:space="0"/>
            </w:tcBorders>
            <w:noWrap w:val="0"/>
            <w:vAlign w:val="center"/>
          </w:tcPr>
          <w:p w14:paraId="3A5FF7F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top"/>
              <w:rPr>
                <w:rStyle w:val="11"/>
                <w:rFonts w:hint="default" w:ascii="仿宋" w:hAnsi="仿宋" w:eastAsia="仿宋" w:cs="仿宋"/>
                <w:color w:val="auto"/>
                <w:sz w:val="28"/>
                <w:szCs w:val="28"/>
                <w:lang w:val="en-US" w:eastAsia="zh-CN" w:bidi="ar"/>
              </w:rPr>
            </w:pPr>
            <w:r>
              <w:rPr>
                <w:rStyle w:val="11"/>
                <w:rFonts w:hint="eastAsia" w:ascii="仿宋" w:hAnsi="仿宋" w:eastAsia="仿宋" w:cs="仿宋"/>
                <w:b w:val="0"/>
                <w:bCs w:val="0"/>
                <w:color w:val="auto"/>
                <w:sz w:val="28"/>
                <w:szCs w:val="28"/>
                <w:lang w:val="en-US" w:eastAsia="zh-CN" w:bidi="ar"/>
              </w:rPr>
              <w:t>脚垫、贴膜、行车记录仪</w:t>
            </w:r>
          </w:p>
        </w:tc>
      </w:tr>
    </w:tbl>
    <w:p w14:paraId="39A1C401">
      <w:pPr>
        <w:numPr>
          <w:ilvl w:val="0"/>
          <w:numId w:val="0"/>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三、商务要求</w:t>
      </w:r>
    </w:p>
    <w:p w14:paraId="254B94DB">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1.付款方式</w:t>
      </w:r>
    </w:p>
    <w:p w14:paraId="069765B3">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1.1合同签订后，由中标人实施供货，货物运至招标人指定地点并经验收合格后，在次月30日前支付实际供货金额的100%。</w:t>
      </w:r>
    </w:p>
    <w:p w14:paraId="404E652D">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1.2</w:t>
      </w:r>
      <w:bookmarkStart w:id="0" w:name="OLE_LINK6"/>
      <w:r>
        <w:rPr>
          <w:rFonts w:hint="eastAsia" w:ascii="仿宋" w:hAnsi="仿宋" w:eastAsia="仿宋" w:cs="仿宋"/>
          <w:b w:val="0"/>
          <w:bCs w:val="0"/>
          <w:color w:val="auto"/>
          <w:sz w:val="28"/>
          <w:szCs w:val="28"/>
          <w:highlight w:val="none"/>
          <w:lang w:val="zh-CN" w:eastAsia="zh-CN"/>
        </w:rPr>
        <w:t>中标人未能在约定的时间内完成供货或者未达到合同规定的质量要求的，招标人有权暂缓或拒绝支付货物款，直至终止合同。</w:t>
      </w:r>
      <w:bookmarkEnd w:id="0"/>
    </w:p>
    <w:p w14:paraId="56F1C040">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1.3发票应随供货进度同时提供（按照国家有关规定缴纳相应税费）。</w:t>
      </w:r>
    </w:p>
    <w:p w14:paraId="6FAA7597">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1.4合同履约保证金在供货完毕并经招标人验收合格后无任何违反合同的情况下，30个工作日内无息退还。</w:t>
      </w:r>
    </w:p>
    <w:p w14:paraId="1806292E">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2.违约责任</w:t>
      </w:r>
    </w:p>
    <w:p w14:paraId="37AB5170">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2.1</w:t>
      </w:r>
      <w:r>
        <w:rPr>
          <w:rFonts w:hint="eastAsia" w:ascii="仿宋" w:hAnsi="仿宋" w:eastAsia="仿宋" w:cs="仿宋"/>
          <w:b w:val="0"/>
          <w:bCs w:val="0"/>
          <w:color w:val="auto"/>
          <w:sz w:val="28"/>
          <w:szCs w:val="28"/>
          <w:highlight w:val="none"/>
          <w:lang w:val="zh-CN" w:eastAsia="zh-CN"/>
        </w:rPr>
        <w:t>供货完成经验收，不能达到招标文件规定的“质量要求”，无偿退还，并扣除全部履约保证金，同时作违约论处。</w:t>
      </w:r>
    </w:p>
    <w:p w14:paraId="3E3ECF76">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2.2</w:t>
      </w:r>
      <w:r>
        <w:rPr>
          <w:rFonts w:hint="eastAsia" w:ascii="仿宋" w:hAnsi="仿宋" w:eastAsia="仿宋" w:cs="仿宋"/>
          <w:b w:val="0"/>
          <w:bCs w:val="0"/>
          <w:color w:val="auto"/>
          <w:sz w:val="28"/>
          <w:szCs w:val="28"/>
          <w:highlight w:val="none"/>
          <w:lang w:val="zh-CN" w:eastAsia="zh-CN"/>
        </w:rPr>
        <w:t>不能在规定时间内完成货</w:t>
      </w:r>
      <w:r>
        <w:rPr>
          <w:rFonts w:hint="eastAsia" w:ascii="仿宋" w:hAnsi="仿宋" w:eastAsia="仿宋" w:cs="仿宋"/>
          <w:b w:val="0"/>
          <w:bCs w:val="0"/>
          <w:color w:val="auto"/>
          <w:sz w:val="28"/>
          <w:szCs w:val="28"/>
          <w:highlight w:val="none"/>
          <w:lang w:val="en-US" w:eastAsia="zh-CN"/>
        </w:rPr>
        <w:t>供货</w:t>
      </w:r>
      <w:r>
        <w:rPr>
          <w:rFonts w:hint="eastAsia" w:ascii="仿宋" w:hAnsi="仿宋" w:eastAsia="仿宋" w:cs="仿宋"/>
          <w:b w:val="0"/>
          <w:bCs w:val="0"/>
          <w:color w:val="auto"/>
          <w:sz w:val="28"/>
          <w:szCs w:val="28"/>
          <w:highlight w:val="none"/>
          <w:lang w:val="zh-CN" w:eastAsia="zh-CN"/>
        </w:rPr>
        <w:t>的，每逾期一天，赔偿金按1000元/天处理（非中标人原因除外）。</w:t>
      </w:r>
    </w:p>
    <w:p w14:paraId="0C856B1F">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2.3</w:t>
      </w:r>
      <w:r>
        <w:rPr>
          <w:rFonts w:hint="eastAsia" w:ascii="仿宋" w:hAnsi="仿宋" w:eastAsia="仿宋" w:cs="仿宋"/>
          <w:b w:val="0"/>
          <w:bCs w:val="0"/>
          <w:color w:val="auto"/>
          <w:sz w:val="28"/>
          <w:szCs w:val="28"/>
          <w:highlight w:val="none"/>
          <w:lang w:val="zh-CN" w:eastAsia="zh-CN"/>
        </w:rPr>
        <w:t>因中标人违约造成终止合同的，则扣除全部履约保证金，同时作违约论处。</w:t>
      </w:r>
    </w:p>
    <w:p w14:paraId="670825FD">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en-US" w:eastAsia="zh-CN"/>
        </w:rPr>
        <w:t>2.4</w:t>
      </w:r>
      <w:r>
        <w:rPr>
          <w:rFonts w:hint="eastAsia" w:ascii="仿宋" w:hAnsi="仿宋" w:eastAsia="仿宋" w:cs="仿宋"/>
          <w:b w:val="0"/>
          <w:bCs w:val="0"/>
          <w:color w:val="auto"/>
          <w:sz w:val="28"/>
          <w:szCs w:val="28"/>
          <w:highlight w:val="none"/>
          <w:lang w:val="zh-CN" w:eastAsia="zh-CN"/>
        </w:rPr>
        <w:t>因招标人违约造成终止合同，招标人应退还中标人缴纳的履约保证金。</w:t>
      </w:r>
    </w:p>
    <w:p w14:paraId="2B0B95FE">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3.供货期</w:t>
      </w:r>
    </w:p>
    <w:p w14:paraId="2330C3C1">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自合同签订之日起，15个工作日内完成供货。</w:t>
      </w:r>
    </w:p>
    <w:p w14:paraId="06D28C06">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4.质保期</w:t>
      </w:r>
    </w:p>
    <w:p w14:paraId="0FE381AA">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整车3年或10万公里。</w:t>
      </w:r>
    </w:p>
    <w:p w14:paraId="5A0574BA">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5.履约保证金</w:t>
      </w:r>
    </w:p>
    <w:p w14:paraId="37D7550B">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中标合同金额的5%。</w:t>
      </w:r>
    </w:p>
    <w:p w14:paraId="62329927">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6.售后服务</w:t>
      </w:r>
    </w:p>
    <w:p w14:paraId="618F529D">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default" w:ascii="仿宋_GB2312" w:hAnsi="仿宋_GB2312" w:eastAsia="仿宋_GB2312" w:cs="仿宋_GB2312"/>
          <w:i w:val="0"/>
          <w:iCs w:val="0"/>
          <w:color w:val="auto"/>
          <w:kern w:val="0"/>
          <w:sz w:val="28"/>
          <w:szCs w:val="28"/>
          <w:highlight w:val="none"/>
          <w:u w:val="none"/>
          <w:lang w:val="en-US" w:eastAsia="zh-CN" w:bidi="ar"/>
        </w:rPr>
        <w:t>中标人提供 24小时全天候服务，在绍兴市内设有常驻售后服务机构及配件库，如设备发生故障，从接到通知时起，维修响应不超过1小时，到达现场时间不超过3小时。</w:t>
      </w:r>
    </w:p>
    <w:p w14:paraId="44F6C343">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7.其他要求</w:t>
      </w:r>
    </w:p>
    <w:p w14:paraId="67784223">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7.1中标人协助车辆上牌，上牌费用由中标人负责。</w:t>
      </w:r>
    </w:p>
    <w:p w14:paraId="2B382E38">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default"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7.2基础保养2次。</w:t>
      </w:r>
    </w:p>
    <w:p w14:paraId="5644F1B0">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8.特别说明</w:t>
      </w:r>
    </w:p>
    <w:p w14:paraId="11657F61">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单位负责人为同一人或者存在控股、管理关系的不同单位，不得参加同一项目的投标，违反该规定的，将按照《中华人民共和国招标投标法实施条例》相关规定执行。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宋体"/>
    <w:panose1 w:val="02020603050405020304"/>
    <w:charset w:val="86"/>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wis721 LtEx BT">
    <w:panose1 w:val="020B0505020202020204"/>
    <w:charset w:val="00"/>
    <w:family w:val="auto"/>
    <w:pitch w:val="default"/>
    <w:sig w:usb0="00000000" w:usb1="00000000" w:usb2="00000000" w:usb3="00000000" w:csb0="00000000" w:csb1="00000000"/>
  </w:font>
  <w:font w:name="Swis721 BlkEx BT">
    <w:panose1 w:val="020B0907040502030204"/>
    <w:charset w:val="00"/>
    <w:family w:val="auto"/>
    <w:pitch w:val="default"/>
    <w:sig w:usb0="00000000" w:usb1="00000000" w:usb2="00000000" w:usb3="00000000" w:csb0="00000000" w:csb1="00000000"/>
  </w:font>
  <w:font w:name="Sakkal Majalla">
    <w:panose1 w:val="02000000000000000000"/>
    <w:charset w:val="00"/>
    <w:family w:val="auto"/>
    <w:pitch w:val="default"/>
    <w:sig w:usb0="A000207F" w:usb1="C000204B" w:usb2="00000008" w:usb3="00000000" w:csb0="2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CBE2"/>
    <w:multiLevelType w:val="singleLevel"/>
    <w:tmpl w:val="BE12CBE2"/>
    <w:lvl w:ilvl="0" w:tentative="0">
      <w:start w:val="1"/>
      <w:numFmt w:val="chineseCounting"/>
      <w:suff w:val="nothing"/>
      <w:lvlText w:val="%1、"/>
      <w:lvlJc w:val="left"/>
      <w:rPr>
        <w:rFonts w:hint="eastAsia"/>
      </w:rPr>
    </w:lvl>
  </w:abstractNum>
  <w:abstractNum w:abstractNumId="1">
    <w:nsid w:val="28EA5796"/>
    <w:multiLevelType w:val="multilevel"/>
    <w:tmpl w:val="28EA5796"/>
    <w:lvl w:ilvl="0" w:tentative="0">
      <w:start w:val="1"/>
      <w:numFmt w:val="decimal"/>
      <w:pStyle w:val="2"/>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jFhMmFjOWYxYTdiOThhNGRiMDJiOTA0Njc2ZWEifQ=="/>
    <w:docVar w:name="KSO_WPS_MARK_KEY" w:val="589d7ce4-8f56-4a0d-a85e-db07f2734da1"/>
  </w:docVars>
  <w:rsids>
    <w:rsidRoot w:val="00000000"/>
    <w:rsid w:val="030251FD"/>
    <w:rsid w:val="033E39D7"/>
    <w:rsid w:val="03A35F5A"/>
    <w:rsid w:val="05033FB8"/>
    <w:rsid w:val="052E2B49"/>
    <w:rsid w:val="0B925AA8"/>
    <w:rsid w:val="0F326475"/>
    <w:rsid w:val="14065285"/>
    <w:rsid w:val="15137188"/>
    <w:rsid w:val="16B34B25"/>
    <w:rsid w:val="1A231DEB"/>
    <w:rsid w:val="1C4901CE"/>
    <w:rsid w:val="1DA819EC"/>
    <w:rsid w:val="220C363D"/>
    <w:rsid w:val="232F024B"/>
    <w:rsid w:val="26676AC5"/>
    <w:rsid w:val="288B7323"/>
    <w:rsid w:val="28D10053"/>
    <w:rsid w:val="298C378D"/>
    <w:rsid w:val="2C647E33"/>
    <w:rsid w:val="301E4E37"/>
    <w:rsid w:val="30B37B26"/>
    <w:rsid w:val="30C66C01"/>
    <w:rsid w:val="345C3019"/>
    <w:rsid w:val="385002E8"/>
    <w:rsid w:val="3913679A"/>
    <w:rsid w:val="3B4958D4"/>
    <w:rsid w:val="3E913EA6"/>
    <w:rsid w:val="458D613D"/>
    <w:rsid w:val="46FE0D3C"/>
    <w:rsid w:val="49A53BD8"/>
    <w:rsid w:val="4AC95461"/>
    <w:rsid w:val="4BB05458"/>
    <w:rsid w:val="4D31500A"/>
    <w:rsid w:val="4EF432A9"/>
    <w:rsid w:val="52AA2CA4"/>
    <w:rsid w:val="55947B10"/>
    <w:rsid w:val="55D75699"/>
    <w:rsid w:val="55EA4A72"/>
    <w:rsid w:val="55FB646E"/>
    <w:rsid w:val="5C29723C"/>
    <w:rsid w:val="5C3E45A8"/>
    <w:rsid w:val="5E7F7444"/>
    <w:rsid w:val="5FF6492D"/>
    <w:rsid w:val="6031025A"/>
    <w:rsid w:val="65A77D95"/>
    <w:rsid w:val="66D036BF"/>
    <w:rsid w:val="69D01BC8"/>
    <w:rsid w:val="69D66B34"/>
    <w:rsid w:val="6C530828"/>
    <w:rsid w:val="6D7F09D7"/>
    <w:rsid w:val="6DA35DD4"/>
    <w:rsid w:val="6DEF3809"/>
    <w:rsid w:val="71176D0D"/>
    <w:rsid w:val="725B3272"/>
    <w:rsid w:val="74CA30AE"/>
    <w:rsid w:val="74DA6FAD"/>
    <w:rsid w:val="788A5932"/>
    <w:rsid w:val="78AE7E54"/>
    <w:rsid w:val="7A6E18AF"/>
    <w:rsid w:val="7B1A1C32"/>
    <w:rsid w:val="7D060228"/>
    <w:rsid w:val="7F8D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widowControl/>
      <w:numPr>
        <w:ilvl w:val="0"/>
        <w:numId w:val="1"/>
      </w:numPr>
      <w:spacing w:before="240" w:beforeLines="0" w:after="60" w:afterLines="0"/>
      <w:jc w:val="left"/>
      <w:outlineLvl w:val="0"/>
    </w:pPr>
    <w:rPr>
      <w:rFonts w:ascii="Arial" w:hAnsi="Arial" w:eastAsia="ÎÄ¶¦±¨ËÎÌå¼ò"/>
      <w:b/>
      <w:kern w:val="28"/>
      <w:sz w:val="28"/>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4"/>
    <w:autoRedefine/>
    <w:qFormat/>
    <w:uiPriority w:val="0"/>
    <w:rPr>
      <w:rFonts w:ascii="宋体" w:hAnsi="Courier New" w:cs="Arial"/>
      <w:snapToGrid w:val="0"/>
      <w:szCs w:val="21"/>
    </w:r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color w:val="000000"/>
      <w:kern w:val="0"/>
      <w:sz w:val="19"/>
      <w:szCs w:val="19"/>
    </w:rPr>
  </w:style>
  <w:style w:type="paragraph" w:customStyle="1" w:styleId="8">
    <w:name w:val="列出段落1"/>
    <w:basedOn w:val="1"/>
    <w:next w:val="1"/>
    <w:autoRedefine/>
    <w:qFormat/>
    <w:uiPriority w:val="34"/>
    <w:pPr>
      <w:adjustRightInd/>
      <w:spacing w:line="360" w:lineRule="auto"/>
      <w:ind w:firstLine="420" w:firstLineChars="200"/>
    </w:pPr>
    <w:rPr>
      <w:rFonts w:ascii="Calibri" w:hAnsi="Calibri"/>
      <w:sz w:val="24"/>
      <w:szCs w:val="22"/>
    </w:rPr>
  </w:style>
  <w:style w:type="character" w:customStyle="1" w:styleId="9">
    <w:name w:val="font31"/>
    <w:autoRedefine/>
    <w:qFormat/>
    <w:uiPriority w:val="0"/>
    <w:rPr>
      <w:rFonts w:ascii="仿宋" w:hAnsi="仿宋" w:eastAsia="仿宋" w:cs="仿宋"/>
      <w:color w:val="000000"/>
      <w:sz w:val="22"/>
      <w:szCs w:val="22"/>
      <w:u w:val="none"/>
    </w:rPr>
  </w:style>
  <w:style w:type="character" w:customStyle="1" w:styleId="10">
    <w:name w:val="font81"/>
    <w:basedOn w:val="7"/>
    <w:qFormat/>
    <w:uiPriority w:val="0"/>
    <w:rPr>
      <w:rFonts w:hint="eastAsia" w:ascii="微软雅黑" w:hAnsi="微软雅黑" w:eastAsia="微软雅黑" w:cs="微软雅黑"/>
      <w:b/>
      <w:bCs/>
      <w:color w:val="000000"/>
      <w:sz w:val="20"/>
      <w:szCs w:val="20"/>
      <w:u w:val="none"/>
    </w:rPr>
  </w:style>
  <w:style w:type="character" w:customStyle="1" w:styleId="11">
    <w:name w:val="font91"/>
    <w:basedOn w:val="7"/>
    <w:qFormat/>
    <w:uiPriority w:val="0"/>
    <w:rPr>
      <w:rFonts w:hint="eastAsia" w:ascii="微软雅黑" w:hAnsi="微软雅黑" w:eastAsia="微软雅黑" w:cs="微软雅黑"/>
      <w:color w:val="000000"/>
      <w:sz w:val="20"/>
      <w:szCs w:val="20"/>
      <w:u w:val="none"/>
    </w:rPr>
  </w:style>
  <w:style w:type="character" w:customStyle="1" w:styleId="12">
    <w:name w:val="font101"/>
    <w:basedOn w:val="7"/>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949</Characters>
  <Lines>0</Lines>
  <Paragraphs>0</Paragraphs>
  <TotalTime>11</TotalTime>
  <ScaleCrop>false</ScaleCrop>
  <LinksUpToDate>false</LinksUpToDate>
  <CharactersWithSpaces>966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君</cp:lastModifiedBy>
  <dcterms:modified xsi:type="dcterms:W3CDTF">2024-10-17T07:39:02Z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9A83C6A885484751931F1E8EF081B41E_13</vt:lpwstr>
  </property>
</Properties>
</file>