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8175">
      <w:pPr>
        <w:jc w:val="center"/>
        <w:rPr>
          <w:rFonts w:hint="eastAsia" w:ascii="仿宋" w:hAnsi="仿宋" w:eastAsia="仿宋" w:cs="仿宋"/>
          <w:b/>
          <w:sz w:val="40"/>
          <w:szCs w:val="40"/>
          <w:lang w:eastAsia="zh-CN"/>
        </w:rPr>
      </w:pPr>
      <w:bookmarkStart w:id="4" w:name="_GoBack"/>
      <w:bookmarkEnd w:id="4"/>
      <w:r>
        <w:rPr>
          <w:rFonts w:hint="eastAsia" w:ascii="仿宋" w:hAnsi="仿宋" w:eastAsia="仿宋" w:cs="仿宋"/>
          <w:b/>
          <w:sz w:val="40"/>
          <w:szCs w:val="40"/>
          <w:lang w:eastAsia="zh-CN"/>
        </w:rPr>
        <w:t>银湖人才房（聚彦府）智能密码锁采购项目</w:t>
      </w:r>
    </w:p>
    <w:p w14:paraId="3BA9A86F">
      <w:pPr>
        <w:jc w:val="center"/>
        <w:rPr>
          <w:rFonts w:hint="eastAsia" w:ascii="仿宋" w:hAnsi="仿宋" w:eastAsia="仿宋" w:cs="仿宋"/>
          <w:sz w:val="32"/>
          <w:szCs w:val="32"/>
        </w:rPr>
      </w:pPr>
      <w:r>
        <w:rPr>
          <w:rFonts w:hint="eastAsia" w:ascii="仿宋" w:hAnsi="仿宋" w:eastAsia="仿宋" w:cs="仿宋"/>
          <w:b/>
          <w:sz w:val="40"/>
          <w:szCs w:val="40"/>
        </w:rPr>
        <w:t>商务文件</w:t>
      </w:r>
    </w:p>
    <w:p w14:paraId="67E285BB">
      <w:pPr>
        <w:spacing w:line="420" w:lineRule="exact"/>
        <w:ind w:firstLine="482" w:firstLineChars="200"/>
        <w:jc w:val="left"/>
        <w:rPr>
          <w:rFonts w:hint="eastAsia" w:ascii="仿宋" w:hAnsi="仿宋" w:eastAsia="仿宋" w:cs="仿宋"/>
          <w:b/>
          <w:bCs/>
          <w:sz w:val="24"/>
          <w:szCs w:val="24"/>
          <w:lang w:eastAsia="zh-CN"/>
        </w:rPr>
      </w:pPr>
      <w:r>
        <w:rPr>
          <w:rFonts w:hint="eastAsia" w:ascii="仿宋" w:hAnsi="仿宋" w:eastAsia="仿宋" w:cs="仿宋"/>
          <w:b/>
          <w:bCs/>
          <w:sz w:val="24"/>
          <w:szCs w:val="24"/>
        </w:rPr>
        <w:t>一、项目</w:t>
      </w:r>
      <w:r>
        <w:rPr>
          <w:rFonts w:hint="eastAsia" w:ascii="仿宋" w:hAnsi="仿宋" w:eastAsia="仿宋" w:cs="仿宋"/>
          <w:b/>
          <w:bCs/>
          <w:sz w:val="24"/>
          <w:szCs w:val="24"/>
          <w:lang w:val="en-US" w:eastAsia="zh-CN"/>
        </w:rPr>
        <w:t>概况</w:t>
      </w:r>
    </w:p>
    <w:p w14:paraId="5DAF6263">
      <w:pPr>
        <w:spacing w:line="42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u w:val="none"/>
          <w:lang w:val="en-US" w:eastAsia="zh-CN"/>
        </w:rPr>
        <w:t>本项目为银湖人才房（聚彦府）智能密码锁采购项目共402套密码锁需进行门锁拆除、安装、调试、旧锁处置等内容，</w:t>
      </w:r>
      <w:r>
        <w:rPr>
          <w:rFonts w:hint="eastAsia" w:ascii="仿宋" w:hAnsi="仿宋" w:eastAsia="仿宋" w:cs="仿宋"/>
          <w:b/>
          <w:bCs/>
          <w:sz w:val="24"/>
          <w:szCs w:val="24"/>
        </w:rPr>
        <w:t>预算金额（总价最高限价）为</w:t>
      </w:r>
      <w:r>
        <w:rPr>
          <w:rFonts w:hint="eastAsia" w:ascii="仿宋" w:hAnsi="仿宋" w:eastAsia="仿宋" w:cs="仿宋"/>
          <w:b/>
          <w:bCs/>
          <w:sz w:val="24"/>
          <w:szCs w:val="24"/>
          <w:u w:val="single"/>
          <w:lang w:val="en-US" w:eastAsia="zh-CN"/>
        </w:rPr>
        <w:t>160800</w:t>
      </w:r>
      <w:r>
        <w:rPr>
          <w:rFonts w:hint="eastAsia" w:ascii="仿宋" w:hAnsi="仿宋" w:eastAsia="仿宋" w:cs="仿宋"/>
          <w:b/>
          <w:bCs/>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单价最高限价</w:t>
      </w:r>
      <w:r>
        <w:rPr>
          <w:rFonts w:hint="eastAsia" w:ascii="仿宋" w:hAnsi="仿宋" w:eastAsia="仿宋" w:cs="仿宋"/>
          <w:b/>
          <w:bCs/>
          <w:sz w:val="24"/>
          <w:szCs w:val="24"/>
          <w:u w:val="single"/>
          <w:lang w:val="en-US" w:eastAsia="zh-CN"/>
        </w:rPr>
        <w:t>400元/套</w:t>
      </w:r>
      <w:r>
        <w:rPr>
          <w:rFonts w:hint="eastAsia" w:ascii="仿宋" w:hAnsi="仿宋" w:eastAsia="仿宋" w:cs="仿宋"/>
          <w:b/>
          <w:bCs/>
          <w:sz w:val="24"/>
          <w:szCs w:val="24"/>
        </w:rPr>
        <w:t>。</w:t>
      </w:r>
    </w:p>
    <w:p w14:paraId="4DD06C4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二、服务内容及要求</w:t>
      </w:r>
    </w:p>
    <w:p w14:paraId="2E4D5F4E">
      <w:pPr>
        <w:spacing w:line="400" w:lineRule="exact"/>
        <w:ind w:firstLine="480" w:firstLineChars="200"/>
        <w:rPr>
          <w:rFonts w:hint="eastAsia" w:ascii="仿宋" w:hAnsi="仿宋" w:eastAsia="仿宋" w:cs="仿宋"/>
          <w:sz w:val="24"/>
          <w:szCs w:val="24"/>
        </w:rPr>
      </w:pPr>
      <w:bookmarkStart w:id="0" w:name="_Hlk113212260"/>
      <w:bookmarkStart w:id="1" w:name="_Hlk14871917"/>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智能门锁要求采用</w:t>
      </w:r>
      <w:r>
        <w:rPr>
          <w:rFonts w:hint="eastAsia" w:ascii="仿宋" w:hAnsi="仿宋" w:eastAsia="仿宋" w:cs="仿宋"/>
          <w:sz w:val="24"/>
          <w:szCs w:val="24"/>
          <w:lang w:val="en-US" w:eastAsia="zh-CN"/>
        </w:rPr>
        <w:t>蓝牙</w:t>
      </w:r>
      <w:r>
        <w:rPr>
          <w:rFonts w:hint="eastAsia" w:ascii="仿宋" w:hAnsi="仿宋" w:eastAsia="仿宋" w:cs="仿宋"/>
          <w:sz w:val="24"/>
          <w:szCs w:val="24"/>
        </w:rPr>
        <w:t>无线方式通信</w:t>
      </w:r>
    </w:p>
    <w:p w14:paraId="7EB28F7E">
      <w:pPr>
        <w:spacing w:line="400" w:lineRule="exact"/>
        <w:ind w:firstLine="482" w:firstLineChars="200"/>
        <w:rPr>
          <w:rFonts w:hint="eastAsia" w:ascii="仿宋" w:hAnsi="仿宋" w:eastAsia="仿宋" w:cs="仿宋"/>
          <w:sz w:val="24"/>
          <w:szCs w:val="24"/>
        </w:rPr>
      </w:pPr>
      <w:bookmarkStart w:id="2" w:name="_Toc10041180"/>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、硬件要求</w:t>
      </w:r>
    </w:p>
    <w:p w14:paraId="54C7262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智能门锁必须符合GA374-2019级标准，需提供检测报告复印件加盖制造商公章。</w:t>
      </w:r>
    </w:p>
    <w:p w14:paraId="4E0090DC">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智能门锁功耗低，更换一次电池使用寿命达8个月以上（以5号双鹿智能门锁碱性电池为例）。</w:t>
      </w:r>
    </w:p>
    <w:p w14:paraId="6418617F">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所有设备质保期不低于24个月。</w:t>
      </w:r>
    </w:p>
    <w:p w14:paraId="71A0207E">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、软件要求</w:t>
      </w:r>
    </w:p>
    <w:p w14:paraId="257FC52B">
      <w:pPr>
        <w:spacing w:line="4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公寓智能</w:t>
      </w:r>
      <w:r>
        <w:rPr>
          <w:rFonts w:hint="eastAsia" w:ascii="仿宋" w:hAnsi="仿宋" w:eastAsia="仿宋" w:cs="仿宋"/>
          <w:sz w:val="24"/>
          <w:szCs w:val="24"/>
        </w:rPr>
        <w:t>设备运营管理</w:t>
      </w:r>
      <w:r>
        <w:rPr>
          <w:rFonts w:hint="eastAsia" w:ascii="仿宋" w:hAnsi="仿宋" w:eastAsia="仿宋" w:cs="仿宋"/>
          <w:sz w:val="24"/>
          <w:szCs w:val="24"/>
          <w:lang w:val="en-US" w:eastAsia="zh-CN"/>
        </w:rPr>
        <w:t>功能完善，</w:t>
      </w:r>
      <w:r>
        <w:rPr>
          <w:rFonts w:hint="eastAsia" w:ascii="仿宋" w:hAnsi="仿宋" w:eastAsia="仿宋" w:cs="仿宋"/>
          <w:sz w:val="24"/>
          <w:szCs w:val="24"/>
        </w:rPr>
        <w:t>系统API接口和功能完备。</w:t>
      </w:r>
    </w:p>
    <w:p w14:paraId="6745792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kern w:val="0"/>
          <w:sz w:val="24"/>
          <w:szCs w:val="24"/>
        </w:rPr>
        <w:t>投标人免费提供公寓智能设备管理系统，且该系统能对接建融家园平台或者招标人指定的其他第三方管理系统，投标文件中提供承诺书并加盖投标人单位公章</w:t>
      </w:r>
      <w:r>
        <w:rPr>
          <w:rFonts w:hint="eastAsia" w:ascii="仿宋" w:hAnsi="仿宋" w:eastAsia="仿宋" w:cs="仿宋"/>
          <w:sz w:val="24"/>
          <w:szCs w:val="24"/>
        </w:rPr>
        <w:t>。</w:t>
      </w:r>
    </w:p>
    <w:p w14:paraId="7A4C54B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需含3次以上上门培训、24小时在线咨询服务、永久免费升级及使用。</w:t>
      </w:r>
    </w:p>
    <w:bookmarkEnd w:id="0"/>
    <w:bookmarkEnd w:id="2"/>
    <w:p w14:paraId="2C4C608B">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、功能需求</w:t>
      </w:r>
    </w:p>
    <w:bookmarkEnd w:id="1"/>
    <w:p w14:paraId="232D8F1D">
      <w:pPr>
        <w:spacing w:line="400" w:lineRule="exact"/>
        <w:ind w:firstLine="480" w:firstLineChars="200"/>
        <w:rPr>
          <w:rFonts w:hint="eastAsia" w:ascii="仿宋" w:hAnsi="仿宋" w:eastAsia="仿宋" w:cs="仿宋"/>
          <w:sz w:val="24"/>
          <w:szCs w:val="24"/>
        </w:rPr>
      </w:pPr>
      <w:bookmarkStart w:id="3" w:name="_Hlk113216072"/>
      <w:r>
        <w:rPr>
          <w:rFonts w:hint="eastAsia" w:ascii="仿宋" w:hAnsi="仿宋" w:eastAsia="仿宋" w:cs="仿宋"/>
          <w:sz w:val="24"/>
          <w:szCs w:val="24"/>
        </w:rPr>
        <w:t>门锁：与项目现有的入户门匹配，具备密码和钥匙开门功能，</w:t>
      </w:r>
      <w:r>
        <w:rPr>
          <w:rFonts w:hint="eastAsia" w:ascii="仿宋" w:hAnsi="仿宋" w:eastAsia="仿宋" w:cs="仿宋"/>
          <w:b/>
          <w:bCs/>
          <w:sz w:val="24"/>
          <w:szCs w:val="24"/>
        </w:rPr>
        <w:t>可以进行远程操控，例如远程密码修改，密码重置。</w:t>
      </w:r>
      <w:r>
        <w:rPr>
          <w:rFonts w:hint="eastAsia" w:ascii="仿宋" w:hAnsi="仿宋" w:eastAsia="仿宋" w:cs="仿宋"/>
          <w:sz w:val="24"/>
          <w:szCs w:val="24"/>
        </w:rPr>
        <w:t>门锁管理要求：支持对密码的新增、冻结、删除、变更及批量管理工作。具有虚位密码、区别身份密码开门、远程查看开门记录、长时间未开门提醒功能，具有低电状态、门锁离线、外门锁防撬报警等异常状态可本地和远程报警功能</w:t>
      </w:r>
      <w:r>
        <w:rPr>
          <w:rFonts w:hint="eastAsia" w:ascii="仿宋" w:hAnsi="仿宋" w:eastAsia="仿宋" w:cs="仿宋"/>
          <w:sz w:val="24"/>
          <w:szCs w:val="24"/>
          <w:lang w:eastAsia="zh-CN"/>
        </w:rPr>
        <w:t>，</w:t>
      </w:r>
      <w:r>
        <w:rPr>
          <w:rFonts w:hint="eastAsia" w:ascii="仿宋" w:hAnsi="仿宋" w:eastAsia="仿宋" w:cs="仿宋"/>
          <w:b/>
          <w:bCs/>
          <w:sz w:val="24"/>
          <w:szCs w:val="24"/>
        </w:rPr>
        <w:t>提供标准对接文档，可以与第三方系统进行集成（通过第三方系统进行远程操控）。</w:t>
      </w:r>
    </w:p>
    <w:bookmarkEnd w:id="3"/>
    <w:p w14:paraId="44848369">
      <w:pPr>
        <w:widowControl/>
        <w:jc w:val="left"/>
        <w:rPr>
          <w:rFonts w:hint="eastAsia" w:ascii="仿宋" w:hAnsi="仿宋" w:eastAsia="仿宋" w:cs="仿宋"/>
          <w:b/>
          <w:kern w:val="0"/>
          <w:sz w:val="24"/>
          <w:szCs w:val="24"/>
        </w:rPr>
      </w:pPr>
      <w:r>
        <w:rPr>
          <w:rFonts w:hint="eastAsia" w:ascii="仿宋" w:hAnsi="仿宋" w:eastAsia="仿宋" w:cs="仿宋"/>
          <w:sz w:val="24"/>
          <w:szCs w:val="24"/>
        </w:rPr>
        <w:br w:type="page"/>
      </w:r>
      <w:r>
        <w:rPr>
          <w:rFonts w:hint="eastAsia" w:ascii="仿宋" w:hAnsi="仿宋" w:eastAsia="仿宋" w:cs="仿宋"/>
          <w:b/>
          <w:kern w:val="0"/>
          <w:sz w:val="24"/>
          <w:szCs w:val="24"/>
          <w:lang w:val="en-US" w:eastAsia="zh-CN"/>
        </w:rPr>
        <w:t>六</w:t>
      </w:r>
      <w:r>
        <w:rPr>
          <w:rFonts w:hint="eastAsia" w:ascii="仿宋" w:hAnsi="仿宋" w:eastAsia="仿宋" w:cs="仿宋"/>
          <w:b/>
          <w:kern w:val="0"/>
          <w:sz w:val="24"/>
          <w:szCs w:val="24"/>
        </w:rPr>
        <w:t>、技术参数</w:t>
      </w:r>
    </w:p>
    <w:tbl>
      <w:tblPr>
        <w:tblStyle w:val="18"/>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7"/>
        <w:gridCol w:w="6746"/>
        <w:gridCol w:w="1276"/>
      </w:tblGrid>
      <w:tr w14:paraId="14E3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8" w:type="dxa"/>
            <w:noWrap w:val="0"/>
            <w:vAlign w:val="top"/>
          </w:tcPr>
          <w:p w14:paraId="3CCAB776">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77" w:type="dxa"/>
            <w:noWrap w:val="0"/>
            <w:vAlign w:val="top"/>
          </w:tcPr>
          <w:p w14:paraId="214921B4">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名称</w:t>
            </w:r>
          </w:p>
        </w:tc>
        <w:tc>
          <w:tcPr>
            <w:tcW w:w="6746" w:type="dxa"/>
            <w:noWrap w:val="0"/>
            <w:vAlign w:val="top"/>
          </w:tcPr>
          <w:p w14:paraId="78B80E2C">
            <w:pPr>
              <w:widowControl/>
              <w:spacing w:line="40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技术参数</w:t>
            </w:r>
          </w:p>
        </w:tc>
        <w:tc>
          <w:tcPr>
            <w:tcW w:w="1276" w:type="dxa"/>
            <w:noWrap w:val="0"/>
            <w:vAlign w:val="top"/>
          </w:tcPr>
          <w:p w14:paraId="680B33D6">
            <w:pPr>
              <w:widowControl/>
              <w:spacing w:line="400" w:lineRule="exact"/>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备注</w:t>
            </w:r>
          </w:p>
        </w:tc>
      </w:tr>
      <w:tr w14:paraId="2AE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708" w:type="dxa"/>
            <w:noWrap w:val="0"/>
            <w:vAlign w:val="center"/>
          </w:tcPr>
          <w:p w14:paraId="16CDE3F9">
            <w:pPr>
              <w:pStyle w:val="31"/>
              <w:widowControl/>
              <w:numPr>
                <w:ilvl w:val="0"/>
                <w:numId w:val="1"/>
              </w:numPr>
              <w:spacing w:line="400" w:lineRule="exact"/>
              <w:ind w:left="0" w:firstLine="0" w:firstLineChars="0"/>
              <w:jc w:val="center"/>
              <w:rPr>
                <w:rFonts w:hint="eastAsia" w:ascii="仿宋" w:hAnsi="仿宋" w:eastAsia="仿宋" w:cs="仿宋"/>
                <w:kern w:val="0"/>
                <w:sz w:val="24"/>
                <w:szCs w:val="24"/>
              </w:rPr>
            </w:pPr>
          </w:p>
        </w:tc>
        <w:tc>
          <w:tcPr>
            <w:tcW w:w="1277" w:type="dxa"/>
            <w:noWrap w:val="0"/>
            <w:vAlign w:val="center"/>
          </w:tcPr>
          <w:p w14:paraId="7BCA3917">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智能门锁</w:t>
            </w:r>
          </w:p>
        </w:tc>
        <w:tc>
          <w:tcPr>
            <w:tcW w:w="6746" w:type="dxa"/>
            <w:noWrap w:val="0"/>
            <w:vAlign w:val="top"/>
          </w:tcPr>
          <w:p w14:paraId="71473677">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开锁方式：APP/密码/指纹/机械钥匙</w:t>
            </w:r>
          </w:p>
          <w:p w14:paraId="2C567EE9">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开锁时间：≤3秒      长连接响应时长500ms</w:t>
            </w:r>
          </w:p>
          <w:p w14:paraId="0EE78B15">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密码长度：6位        通信方式：蓝牙</w:t>
            </w:r>
          </w:p>
          <w:p w14:paraId="32810142">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软件管理：支持PC端下发授权，支持APP下发授权</w:t>
            </w:r>
          </w:p>
          <w:p w14:paraId="3C786E05">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密码容量：100组及以上</w:t>
            </w:r>
          </w:p>
          <w:p w14:paraId="56444A5B">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把手：把手左右调节，根据具体物理结构调整安装</w:t>
            </w:r>
          </w:p>
          <w:p w14:paraId="32DB0EDC">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锁芯：国标C级锁芯、6068锁体</w:t>
            </w:r>
          </w:p>
          <w:p w14:paraId="77974C12">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固件升级方式：DFU</w:t>
            </w:r>
          </w:p>
          <w:p w14:paraId="2978C0A0">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电池供电：4节5号碱性电池   电池寿命：10-12个月</w:t>
            </w:r>
          </w:p>
          <w:p w14:paraId="2AE92ABD">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低电压报警：门锁电压低于20%会有低电报警提醒</w:t>
            </w:r>
          </w:p>
          <w:p w14:paraId="20AEF03A">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应急供电：USB应急电源5V</w:t>
            </w:r>
          </w:p>
          <w:p w14:paraId="4FD23168">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工作温度：-20℃～55℃</w:t>
            </w:r>
          </w:p>
          <w:p w14:paraId="3E15AB34">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适合门厚：40-120mm</w:t>
            </w:r>
          </w:p>
          <w:p w14:paraId="140C2AFD">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面板材质：高强度钢化玻璃或高阻燃PC</w:t>
            </w:r>
          </w:p>
          <w:p w14:paraId="17BDD6F5">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把手材质：铝合金或不锈钢</w:t>
            </w:r>
          </w:p>
          <w:p w14:paraId="58C8E598">
            <w:pPr>
              <w:pStyle w:val="31"/>
              <w:widowControl/>
              <w:numPr>
                <w:ilvl w:val="0"/>
                <w:numId w:val="0"/>
              </w:numPr>
              <w:spacing w:line="400" w:lineRule="exact"/>
              <w:ind w:leftChars="0"/>
              <w:jc w:val="both"/>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执行标准：GA374-2019</w:t>
            </w:r>
          </w:p>
        </w:tc>
        <w:tc>
          <w:tcPr>
            <w:tcW w:w="1276" w:type="dxa"/>
            <w:noWrap w:val="0"/>
            <w:vAlign w:val="top"/>
          </w:tcPr>
          <w:p w14:paraId="4E29D2B5">
            <w:pPr>
              <w:widowControl/>
              <w:spacing w:line="400" w:lineRule="exact"/>
              <w:jc w:val="center"/>
              <w:rPr>
                <w:rFonts w:hint="eastAsia" w:ascii="仿宋" w:hAnsi="仿宋" w:eastAsia="仿宋" w:cs="仿宋"/>
                <w:kern w:val="0"/>
                <w:sz w:val="24"/>
                <w:szCs w:val="24"/>
              </w:rPr>
            </w:pPr>
          </w:p>
        </w:tc>
      </w:tr>
      <w:tr w14:paraId="4146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0"/>
            <w:vAlign w:val="top"/>
          </w:tcPr>
          <w:p w14:paraId="2C2BD5F6">
            <w:pPr>
              <w:pStyle w:val="31"/>
              <w:widowControl/>
              <w:numPr>
                <w:ilvl w:val="0"/>
                <w:numId w:val="1"/>
              </w:numPr>
              <w:spacing w:line="400" w:lineRule="exact"/>
              <w:ind w:left="0" w:firstLine="0" w:firstLineChars="0"/>
              <w:jc w:val="center"/>
              <w:rPr>
                <w:rFonts w:hint="eastAsia" w:ascii="仿宋" w:hAnsi="仿宋" w:eastAsia="仿宋" w:cs="仿宋"/>
                <w:kern w:val="0"/>
                <w:sz w:val="24"/>
                <w:szCs w:val="24"/>
              </w:rPr>
            </w:pPr>
          </w:p>
        </w:tc>
        <w:tc>
          <w:tcPr>
            <w:tcW w:w="1277" w:type="dxa"/>
            <w:noWrap w:val="0"/>
            <w:vAlign w:val="top"/>
          </w:tcPr>
          <w:p w14:paraId="24A7E66F">
            <w:pPr>
              <w:widowControl/>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门锁安装调试费</w:t>
            </w:r>
          </w:p>
        </w:tc>
        <w:tc>
          <w:tcPr>
            <w:tcW w:w="6746" w:type="dxa"/>
            <w:noWrap w:val="0"/>
            <w:vAlign w:val="top"/>
          </w:tcPr>
          <w:p w14:paraId="5E8B1B35">
            <w:pPr>
              <w:pStyle w:val="31"/>
              <w:widowControl/>
              <w:spacing w:line="400" w:lineRule="exact"/>
              <w:ind w:firstLine="0" w:firstLineChars="0"/>
              <w:jc w:val="both"/>
              <w:rPr>
                <w:rFonts w:hint="default" w:ascii="仿宋" w:hAnsi="仿宋" w:eastAsia="仿宋" w:cs="仿宋"/>
                <w:kern w:val="0"/>
                <w:sz w:val="24"/>
                <w:szCs w:val="24"/>
                <w:highlight w:val="yellow"/>
                <w:lang w:val="en-US" w:eastAsia="zh-CN"/>
              </w:rPr>
            </w:pPr>
            <w:r>
              <w:rPr>
                <w:rFonts w:hint="eastAsia" w:ascii="仿宋" w:hAnsi="仿宋" w:eastAsia="仿宋" w:cs="仿宋"/>
                <w:kern w:val="0"/>
                <w:sz w:val="24"/>
                <w:szCs w:val="24"/>
                <w:highlight w:val="none"/>
              </w:rPr>
              <w:t>需包含拆旧、安装、调试</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旧锁处置费</w:t>
            </w:r>
          </w:p>
        </w:tc>
        <w:tc>
          <w:tcPr>
            <w:tcW w:w="1276" w:type="dxa"/>
            <w:noWrap w:val="0"/>
            <w:vAlign w:val="top"/>
          </w:tcPr>
          <w:p w14:paraId="5EF4C45A">
            <w:pPr>
              <w:widowControl/>
              <w:spacing w:line="400" w:lineRule="exact"/>
              <w:jc w:val="center"/>
              <w:rPr>
                <w:rFonts w:hint="eastAsia" w:ascii="仿宋" w:hAnsi="仿宋" w:eastAsia="仿宋" w:cs="仿宋"/>
                <w:kern w:val="0"/>
                <w:sz w:val="24"/>
                <w:szCs w:val="24"/>
              </w:rPr>
            </w:pPr>
          </w:p>
        </w:tc>
      </w:tr>
    </w:tbl>
    <w:p w14:paraId="2247B053">
      <w:pPr>
        <w:keepNext w:val="0"/>
        <w:keepLines w:val="0"/>
        <w:pageBreakBefore w:val="0"/>
        <w:widowControl/>
        <w:suppressLineNumbers w:val="0"/>
        <w:kinsoku/>
        <w:wordWrap/>
        <w:overflowPunct/>
        <w:topLinePunct w:val="0"/>
        <w:autoSpaceDE/>
        <w:autoSpaceDN/>
        <w:bidi w:val="0"/>
        <w:adjustRightInd/>
        <w:snapToGrid/>
        <w:spacing w:line="240" w:lineRule="auto"/>
        <w:ind w:left="479" w:leftChars="228"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七.智能门锁配套设备管理系统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1、支持与公寓管理服务平台对接，具备完善的数据及设备对接接口。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2、支持APP端和电脑端双平台操作管理；</w:t>
      </w:r>
    </w:p>
    <w:p w14:paraId="4EB39D1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3、具备总管理员密码、分部管理密码</w:t>
      </w:r>
    </w:p>
    <w:p w14:paraId="2908ECC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4、后续对接公安服务平台。</w:t>
      </w:r>
    </w:p>
    <w:p w14:paraId="0C109299">
      <w:pPr>
        <w:keepNext w:val="0"/>
        <w:keepLines w:val="0"/>
        <w:pageBreakBefore w:val="0"/>
        <w:widowControl/>
        <w:suppressLineNumbers w:val="0"/>
        <w:kinsoku/>
        <w:wordWrap/>
        <w:overflowPunct/>
        <w:topLinePunct w:val="0"/>
        <w:autoSpaceDE/>
        <w:autoSpaceDN/>
        <w:bidi w:val="0"/>
        <w:adjustRightInd/>
        <w:snapToGrid/>
        <w:spacing w:line="240" w:lineRule="auto"/>
        <w:ind w:left="479" w:leftChars="228"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5、设备系统管理功能（包含但不限于）：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（1）支持查看设备基本信息：型号、状态、保修信息、电池电量；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（2）支持查看门锁授权记录、开关记录、操作记录、异常记录、第三方接口调用记录；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（3）支持门锁下发获取：蓝牙授权、管理员密码、一次性密码、临时密码；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（4）智能预警：预警类型主要包括门锁低电、门锁长时间未开门，判断是否需要告警的阈值需要可配置。</w:t>
      </w:r>
    </w:p>
    <w:p w14:paraId="31EE80A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（5）支持后台故障报修，维修工单自动发送给安装交付和售后团队；</w:t>
      </w:r>
    </w:p>
    <w:p w14:paraId="33222D8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（6）支持后台对不同的项目或房源按门店划分进行管理；</w:t>
      </w:r>
    </w:p>
    <w:p w14:paraId="3434858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（7）支持对员工进行角色管理、权限管理、添加或删除员工管理；</w:t>
      </w:r>
    </w:p>
    <w:p w14:paraId="4252F10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（8）智能预警：预警类型主要包括门锁低电、门锁长时间未开门，判断是否需要告警的阈值需要可配置。</w:t>
      </w:r>
    </w:p>
    <w:p w14:paraId="5197D24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（9）具备防撬报警。</w:t>
      </w:r>
    </w:p>
    <w:p w14:paraId="3DE5CE9F">
      <w:pPr>
        <w:spacing w:line="360" w:lineRule="auto"/>
        <w:ind w:firstLine="482" w:firstLineChars="200"/>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八</w:t>
      </w:r>
      <w:r>
        <w:rPr>
          <w:rFonts w:hint="eastAsia" w:ascii="仿宋" w:hAnsi="仿宋" w:eastAsia="仿宋" w:cs="仿宋"/>
          <w:b/>
          <w:bCs w:val="0"/>
          <w:color w:val="000000"/>
          <w:sz w:val="24"/>
          <w:szCs w:val="24"/>
        </w:rPr>
        <w:t>、供应商资格要求</w:t>
      </w:r>
    </w:p>
    <w:p w14:paraId="368DE9CB">
      <w:pPr>
        <w:pStyle w:val="12"/>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480" w:firstLineChars="200"/>
        <w:jc w:val="left"/>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1.符合《中华人民共和国政府采购法》第二十二条之规定，在中华人民共和国境内注册，且符合、承认并承诺履行本采购文件各项规定，所提供的货物和服务须在我国境内合法生产或销售的</w:t>
      </w:r>
    </w:p>
    <w:p w14:paraId="0FDE8802">
      <w:pPr>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color w:val="auto"/>
          <w:sz w:val="24"/>
          <w:szCs w:val="24"/>
          <w:highlight w:val="none"/>
          <w:u w:val="single"/>
          <w:lang w:val="en-US" w:eastAsia="zh-CN"/>
        </w:rPr>
        <w:t>2.本项目不接受联合体投标</w:t>
      </w:r>
      <w:r>
        <w:rPr>
          <w:rFonts w:hint="eastAsia" w:ascii="仿宋" w:hAnsi="仿宋" w:eastAsia="仿宋" w:cs="仿宋"/>
          <w:color w:val="auto"/>
          <w:sz w:val="24"/>
          <w:szCs w:val="24"/>
          <w:highlight w:val="none"/>
          <w:u w:val="single"/>
        </w:rPr>
        <w:t>。</w:t>
      </w:r>
    </w:p>
    <w:p w14:paraId="503A979E">
      <w:pPr>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四、报价说明</w:t>
      </w:r>
    </w:p>
    <w:p w14:paraId="282F48E1">
      <w:pPr>
        <w:keepNext w:val="0"/>
        <w:keepLines w:val="0"/>
        <w:pageBreakBefore w:val="0"/>
        <w:kinsoku/>
        <w:wordWrap/>
        <w:topLinePunct w:val="0"/>
        <w:bidi w:val="0"/>
        <w:spacing w:line="440" w:lineRule="exact"/>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1.</w:t>
      </w:r>
      <w:r>
        <w:rPr>
          <w:rFonts w:hint="eastAsia" w:ascii="仿宋" w:hAnsi="仿宋" w:eastAsia="仿宋" w:cs="仿宋"/>
          <w:color w:val="000000"/>
          <w:sz w:val="24"/>
          <w:szCs w:val="24"/>
        </w:rPr>
        <w:t>投标报价以人民币为结算币种，投标报价应包括所需缴纳的所有税费、所有风险责任等各项费用及不可预见费等项目实施所需的一切费用。</w:t>
      </w:r>
    </w:p>
    <w:p w14:paraId="16483699">
      <w:pPr>
        <w:pStyle w:val="20"/>
        <w:keepNext w:val="0"/>
        <w:keepLines w:val="0"/>
        <w:pageBreakBefore w:val="0"/>
        <w:kinsoku/>
        <w:wordWrap/>
        <w:topLinePunct w:val="0"/>
        <w:bidi w:val="0"/>
        <w:spacing w:line="440" w:lineRule="exact"/>
        <w:ind w:firstLine="480"/>
        <w:rPr>
          <w:rFonts w:hint="eastAsia" w:ascii="仿宋" w:hAnsi="仿宋" w:eastAsia="仿宋" w:cs="仿宋"/>
          <w:color w:val="000000"/>
          <w:sz w:val="24"/>
          <w:szCs w:val="24"/>
        </w:rPr>
      </w:pPr>
      <w:r>
        <w:rPr>
          <w:rFonts w:hint="eastAsia" w:ascii="仿宋" w:hAnsi="仿宋" w:eastAsia="仿宋" w:cs="仿宋"/>
          <w:bCs/>
          <w:color w:val="000000"/>
          <w:sz w:val="24"/>
          <w:szCs w:val="24"/>
        </w:rPr>
        <w:t>2.</w:t>
      </w:r>
      <w:r>
        <w:rPr>
          <w:rFonts w:hint="eastAsia" w:ascii="仿宋" w:hAnsi="仿宋" w:eastAsia="仿宋" w:cs="仿宋"/>
          <w:color w:val="000000"/>
          <w:sz w:val="24"/>
          <w:szCs w:val="24"/>
        </w:rPr>
        <w:t>投标人在政采云电子交易平台报价模块中应填写投标总价。政采云电子交易平台报价模块中填写的</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总价与本报价一览表中填写的</w:t>
      </w: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总价不一致的或计算有误的作无效标处理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报价模块中填写的</w:t>
      </w:r>
      <w:r>
        <w:rPr>
          <w:rFonts w:hint="eastAsia" w:ascii="仿宋" w:hAnsi="仿宋" w:eastAsia="仿宋" w:cs="仿宋"/>
          <w:color w:val="000000"/>
          <w:sz w:val="24"/>
          <w:szCs w:val="24"/>
          <w:lang w:val="en-US" w:eastAsia="zh-CN"/>
        </w:rPr>
        <w:t>投标单</w:t>
      </w:r>
      <w:r>
        <w:rPr>
          <w:rFonts w:hint="eastAsia" w:ascii="仿宋" w:hAnsi="仿宋" w:eastAsia="仿宋" w:cs="仿宋"/>
          <w:color w:val="000000"/>
          <w:sz w:val="24"/>
          <w:szCs w:val="24"/>
        </w:rPr>
        <w:t>价与本报价一览表中填写的</w:t>
      </w:r>
      <w:r>
        <w:rPr>
          <w:rFonts w:hint="eastAsia" w:ascii="仿宋" w:hAnsi="仿宋" w:eastAsia="仿宋" w:cs="仿宋"/>
          <w:color w:val="000000"/>
          <w:sz w:val="24"/>
          <w:szCs w:val="24"/>
          <w:lang w:val="en-US" w:eastAsia="zh-CN"/>
        </w:rPr>
        <w:t>投标单</w:t>
      </w:r>
      <w:r>
        <w:rPr>
          <w:rFonts w:hint="eastAsia" w:ascii="仿宋" w:hAnsi="仿宋" w:eastAsia="仿宋" w:cs="仿宋"/>
          <w:color w:val="000000"/>
          <w:sz w:val="24"/>
          <w:szCs w:val="24"/>
        </w:rPr>
        <w:t>价不一致的或计算有误的作无效标处理。（报价保留至元）</w:t>
      </w:r>
    </w:p>
    <w:p w14:paraId="75C5D5E0">
      <w:pPr>
        <w:pStyle w:val="9"/>
        <w:keepNext w:val="0"/>
        <w:keepLines w:val="0"/>
        <w:pageBreakBefore w:val="0"/>
        <w:kinsoku/>
        <w:wordWrap/>
        <w:topLinePunct w:val="0"/>
        <w:bidi w:val="0"/>
        <w:spacing w:after="0" w:line="44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3.参与报价的供应商须提供</w:t>
      </w:r>
      <w:r>
        <w:rPr>
          <w:rFonts w:hint="eastAsia" w:ascii="仿宋" w:hAnsi="仿宋" w:eastAsia="仿宋" w:cs="仿宋"/>
          <w:b/>
          <w:bCs w:val="0"/>
          <w:color w:val="000000"/>
          <w:sz w:val="24"/>
          <w:szCs w:val="24"/>
        </w:rPr>
        <w:t>营业执照复印件</w:t>
      </w:r>
      <w:r>
        <w:rPr>
          <w:rFonts w:hint="eastAsia" w:ascii="仿宋" w:hAnsi="仿宋" w:eastAsia="仿宋" w:cs="仿宋"/>
          <w:b/>
          <w:bCs w:val="0"/>
          <w:color w:val="auto"/>
          <w:kern w:val="0"/>
          <w:sz w:val="24"/>
          <w:szCs w:val="24"/>
          <w:highlight w:val="none"/>
          <w:lang w:eastAsia="zh-CN"/>
        </w:rPr>
        <w:t>、</w:t>
      </w:r>
      <w:r>
        <w:rPr>
          <w:rFonts w:hint="eastAsia" w:ascii="仿宋" w:hAnsi="仿宋" w:eastAsia="仿宋" w:cs="仿宋"/>
          <w:b/>
          <w:bCs w:val="0"/>
          <w:color w:val="000000"/>
          <w:sz w:val="24"/>
          <w:szCs w:val="24"/>
        </w:rPr>
        <w:t>报价一览表</w:t>
      </w:r>
      <w:r>
        <w:rPr>
          <w:rFonts w:hint="eastAsia" w:ascii="仿宋" w:hAnsi="仿宋" w:eastAsia="仿宋" w:cs="仿宋"/>
          <w:bCs/>
          <w:color w:val="000000"/>
          <w:sz w:val="24"/>
          <w:szCs w:val="24"/>
        </w:rPr>
        <w:t>，以上资料需加盖公章，所提供的资料必须真实有效，若发现弄虚作假则取消投标资格；未上传以上资料，响应无效。</w:t>
      </w:r>
    </w:p>
    <w:p w14:paraId="71A0986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color w:val="000000"/>
          <w:sz w:val="24"/>
          <w:szCs w:val="24"/>
        </w:rPr>
        <w:t>4.</w:t>
      </w:r>
      <w:r>
        <w:rPr>
          <w:rFonts w:hint="eastAsia" w:ascii="仿宋" w:hAnsi="仿宋" w:eastAsia="仿宋" w:cs="仿宋"/>
          <w:bCs/>
          <w:sz w:val="24"/>
          <w:szCs w:val="24"/>
        </w:rPr>
        <w:t>本项目设有总价最高限价和单价最高限价，供应商的报价超过采购人设置总价最高限价或者单价最高限价的，作无效标处理。</w:t>
      </w:r>
    </w:p>
    <w:p w14:paraId="3AD54166">
      <w:pPr>
        <w:spacing w:before="156" w:after="156" w:afterLines="50" w:line="276" w:lineRule="auto"/>
        <w:ind w:firstLine="482" w:firstLineChars="20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五、支付方式</w:t>
      </w:r>
    </w:p>
    <w:p w14:paraId="0FE8CE45">
      <w:pPr>
        <w:widowControl/>
        <w:overflowPunct w:val="0"/>
        <w:autoSpaceDE w:val="0"/>
        <w:autoSpaceDN w:val="0"/>
        <w:adjustRightInd w:val="0"/>
        <w:snapToGrid w:val="0"/>
        <w:spacing w:line="276"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支付：在签订合同之后，</w:t>
      </w:r>
      <w:r>
        <w:rPr>
          <w:rFonts w:hint="eastAsia" w:ascii="仿宋" w:hAnsi="仿宋" w:eastAsia="仿宋" w:cs="仿宋"/>
          <w:kern w:val="0"/>
          <w:sz w:val="24"/>
          <w:szCs w:val="24"/>
          <w:lang w:val="en-US" w:eastAsia="zh-CN"/>
        </w:rPr>
        <w:t>经招标人验收合格一次性</w:t>
      </w:r>
      <w:r>
        <w:rPr>
          <w:rFonts w:hint="eastAsia" w:ascii="仿宋" w:hAnsi="仿宋" w:eastAsia="仿宋" w:cs="仿宋"/>
          <w:kern w:val="0"/>
          <w:sz w:val="24"/>
          <w:szCs w:val="24"/>
        </w:rPr>
        <w:t>支付。（具体以合同签订为准）</w:t>
      </w:r>
    </w:p>
    <w:p w14:paraId="7F19AA5E">
      <w:pPr>
        <w:pStyle w:val="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六、本项目服务期限</w:t>
      </w:r>
    </w:p>
    <w:p w14:paraId="244DB5B0">
      <w:pPr>
        <w:ind w:firstLine="480" w:firstLineChars="200"/>
        <w:rPr>
          <w:rFonts w:hint="default"/>
          <w:lang w:val="en-US" w:eastAsia="zh-CN"/>
        </w:rPr>
      </w:pPr>
      <w:r>
        <w:rPr>
          <w:rFonts w:hint="eastAsia" w:ascii="仿宋" w:hAnsi="仿宋" w:eastAsia="仿宋" w:cs="仿宋"/>
          <w:kern w:val="0"/>
          <w:sz w:val="24"/>
          <w:szCs w:val="24"/>
          <w:lang w:val="en-US" w:eastAsia="zh-CN" w:bidi="ar-SA"/>
        </w:rPr>
        <w:t>1.</w:t>
      </w:r>
      <w:r>
        <w:rPr>
          <w:rFonts w:hint="eastAsia" w:ascii="仿宋" w:hAnsi="仿宋" w:eastAsia="仿宋" w:cs="仿宋"/>
          <w:b/>
          <w:bCs/>
          <w:sz w:val="24"/>
          <w:szCs w:val="24"/>
          <w:highlight w:val="none"/>
        </w:rPr>
        <w:t>自合同签订至完成止</w:t>
      </w:r>
    </w:p>
    <w:p w14:paraId="1D8444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履约保证金</w:t>
      </w:r>
    </w:p>
    <w:p w14:paraId="6A036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本项目签订合同时中标人应向采购人缴纳2000元作为履约保证金。履约期结束，采购人退付履约保证金。</w:t>
      </w:r>
    </w:p>
    <w:p w14:paraId="2FE5E119">
      <w:pPr>
        <w:spacing w:before="156" w:after="156" w:afterLines="50" w:line="400" w:lineRule="exact"/>
        <w:ind w:firstLine="482" w:firstLineChars="200"/>
        <w:rPr>
          <w:rFonts w:hint="eastAsia" w:ascii="仿宋" w:hAnsi="仿宋" w:eastAsia="仿宋" w:cs="仿宋"/>
          <w:b/>
          <w:bCs/>
          <w:color w:val="000000"/>
          <w:kern w:val="0"/>
          <w:sz w:val="24"/>
          <w:szCs w:val="24"/>
        </w:rPr>
      </w:pPr>
    </w:p>
    <w:p w14:paraId="6A269368">
      <w:pPr>
        <w:spacing w:before="156" w:after="156" w:afterLines="50" w:line="400" w:lineRule="exact"/>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八</w:t>
      </w:r>
      <w:r>
        <w:rPr>
          <w:rFonts w:hint="eastAsia" w:ascii="仿宋" w:hAnsi="仿宋" w:eastAsia="仿宋" w:cs="仿宋"/>
          <w:b/>
          <w:bCs/>
          <w:color w:val="000000"/>
          <w:kern w:val="0"/>
          <w:sz w:val="24"/>
          <w:szCs w:val="24"/>
        </w:rPr>
        <w:t>、附件</w:t>
      </w:r>
    </w:p>
    <w:p w14:paraId="09F2518D">
      <w:pPr>
        <w:widowControl/>
        <w:overflowPunct w:val="0"/>
        <w:autoSpaceDE w:val="0"/>
        <w:autoSpaceDN w:val="0"/>
        <w:adjustRightInd w:val="0"/>
        <w:snapToGrid w:val="0"/>
        <w:spacing w:line="360" w:lineRule="exact"/>
        <w:ind w:firstLine="480" w:firstLineChars="200"/>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附件1：报价一览表</w:t>
      </w:r>
    </w:p>
    <w:p w14:paraId="6871E2B8">
      <w:pPr>
        <w:pStyle w:val="2"/>
        <w:spacing w:before="156"/>
        <w:rPr>
          <w:rFonts w:hint="eastAsia" w:ascii="仿宋" w:hAnsi="仿宋" w:eastAsia="仿宋" w:cs="仿宋"/>
        </w:rPr>
      </w:pPr>
    </w:p>
    <w:p w14:paraId="2881A316">
      <w:pPr>
        <w:pStyle w:val="2"/>
        <w:spacing w:before="156"/>
        <w:rPr>
          <w:rFonts w:hint="eastAsia" w:ascii="仿宋" w:hAnsi="仿宋" w:eastAsia="仿宋" w:cs="仿宋"/>
        </w:rPr>
      </w:pPr>
    </w:p>
    <w:p w14:paraId="5875E59E">
      <w:pPr>
        <w:pStyle w:val="2"/>
        <w:spacing w:before="156"/>
        <w:rPr>
          <w:rFonts w:hint="eastAsia" w:ascii="仿宋" w:hAnsi="仿宋" w:eastAsia="仿宋" w:cs="仿宋"/>
        </w:rPr>
      </w:pPr>
    </w:p>
    <w:p w14:paraId="256892D2">
      <w:pPr>
        <w:rPr>
          <w:rFonts w:hint="eastAsia" w:ascii="仿宋" w:hAnsi="仿宋" w:eastAsia="仿宋" w:cs="仿宋"/>
        </w:rPr>
      </w:pPr>
    </w:p>
    <w:p w14:paraId="0EC21767">
      <w:pPr>
        <w:pStyle w:val="20"/>
        <w:ind w:firstLine="0" w:firstLineChars="0"/>
        <w:rPr>
          <w:rFonts w:hint="eastAsia" w:ascii="仿宋" w:hAnsi="仿宋" w:eastAsia="仿宋" w:cs="仿宋"/>
        </w:rPr>
      </w:pPr>
    </w:p>
    <w:p w14:paraId="5D5F7FEA">
      <w:pPr>
        <w:pStyle w:val="9"/>
        <w:rPr>
          <w:rFonts w:hint="eastAsia" w:ascii="仿宋" w:hAnsi="仿宋" w:eastAsia="仿宋" w:cs="仿宋"/>
        </w:rPr>
      </w:pPr>
    </w:p>
    <w:p w14:paraId="532BD957">
      <w:pPr>
        <w:rPr>
          <w:rFonts w:hint="eastAsia" w:ascii="仿宋" w:hAnsi="仿宋" w:eastAsia="仿宋" w:cs="仿宋"/>
        </w:rPr>
      </w:pPr>
    </w:p>
    <w:p w14:paraId="08C75D46">
      <w:pPr>
        <w:pStyle w:val="2"/>
        <w:spacing w:before="156"/>
        <w:rPr>
          <w:rFonts w:hint="eastAsia" w:ascii="仿宋" w:hAnsi="仿宋" w:eastAsia="仿宋" w:cs="仿宋"/>
          <w:sz w:val="24"/>
        </w:rPr>
      </w:pPr>
    </w:p>
    <w:p w14:paraId="0441FF56">
      <w:pPr>
        <w:pStyle w:val="2"/>
        <w:spacing w:before="156"/>
        <w:rPr>
          <w:rFonts w:hint="eastAsia" w:ascii="仿宋" w:hAnsi="仿宋" w:eastAsia="仿宋" w:cs="仿宋"/>
          <w:sz w:val="24"/>
        </w:rPr>
      </w:pPr>
    </w:p>
    <w:p w14:paraId="6CC56CCC">
      <w:pPr>
        <w:pStyle w:val="2"/>
        <w:spacing w:before="156"/>
        <w:rPr>
          <w:rFonts w:hint="eastAsia" w:ascii="仿宋" w:hAnsi="仿宋" w:eastAsia="仿宋" w:cs="仿宋"/>
          <w:sz w:val="24"/>
        </w:rPr>
      </w:pPr>
      <w:r>
        <w:rPr>
          <w:rFonts w:hint="eastAsia" w:ascii="仿宋" w:hAnsi="仿宋" w:eastAsia="仿宋" w:cs="仿宋"/>
          <w:sz w:val="24"/>
        </w:rPr>
        <w:t>附件一：报价一览表</w:t>
      </w:r>
    </w:p>
    <w:p w14:paraId="715FBD07">
      <w:pPr>
        <w:pStyle w:val="2"/>
        <w:spacing w:before="156"/>
        <w:jc w:val="center"/>
        <w:rPr>
          <w:rFonts w:hint="eastAsia" w:ascii="仿宋" w:hAnsi="仿宋" w:eastAsia="仿宋" w:cs="仿宋"/>
          <w:sz w:val="24"/>
        </w:rPr>
      </w:pPr>
    </w:p>
    <w:p w14:paraId="63597E26">
      <w:pPr>
        <w:pStyle w:val="25"/>
        <w:keepNext w:val="0"/>
        <w:pageBreakBefore w:val="0"/>
        <w:tabs>
          <w:tab w:val="clear" w:pos="720"/>
        </w:tabs>
        <w:snapToGrid w:val="0"/>
        <w:ind w:firstLine="3694" w:firstLineChars="1150"/>
        <w:jc w:val="both"/>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报价一览表</w:t>
      </w:r>
    </w:p>
    <w:tbl>
      <w:tblPr>
        <w:tblStyle w:val="18"/>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96"/>
        <w:gridCol w:w="1114"/>
        <w:gridCol w:w="1791"/>
        <w:gridCol w:w="1880"/>
        <w:gridCol w:w="1880"/>
      </w:tblGrid>
      <w:tr w14:paraId="2354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0" w:type="dxa"/>
            <w:vAlign w:val="center"/>
          </w:tcPr>
          <w:p w14:paraId="5D204F75">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序号</w:t>
            </w:r>
          </w:p>
        </w:tc>
        <w:tc>
          <w:tcPr>
            <w:tcW w:w="2196" w:type="dxa"/>
            <w:vAlign w:val="center"/>
          </w:tcPr>
          <w:p w14:paraId="3B952040">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项目名称</w:t>
            </w:r>
          </w:p>
        </w:tc>
        <w:tc>
          <w:tcPr>
            <w:tcW w:w="1114" w:type="dxa"/>
            <w:vAlign w:val="center"/>
          </w:tcPr>
          <w:p w14:paraId="6562635B">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数量</w:t>
            </w:r>
          </w:p>
        </w:tc>
        <w:tc>
          <w:tcPr>
            <w:tcW w:w="1791" w:type="dxa"/>
            <w:vAlign w:val="center"/>
          </w:tcPr>
          <w:p w14:paraId="19E5F2E5">
            <w:pPr>
              <w:jc w:val="center"/>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单价</w:t>
            </w:r>
            <w:r>
              <w:rPr>
                <w:rFonts w:hint="eastAsia" w:ascii="仿宋" w:hAnsi="仿宋" w:eastAsia="仿宋" w:cs="仿宋"/>
                <w:b/>
                <w:sz w:val="24"/>
                <w:szCs w:val="24"/>
              </w:rPr>
              <w:t>最高限价</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元</w:t>
            </w:r>
            <w:r>
              <w:rPr>
                <w:rFonts w:hint="eastAsia" w:ascii="仿宋" w:hAnsi="仿宋" w:eastAsia="仿宋" w:cs="仿宋"/>
                <w:b/>
                <w:sz w:val="24"/>
                <w:szCs w:val="24"/>
                <w:lang w:eastAsia="zh-CN"/>
              </w:rPr>
              <w:t>）</w:t>
            </w:r>
          </w:p>
        </w:tc>
        <w:tc>
          <w:tcPr>
            <w:tcW w:w="1880" w:type="dxa"/>
            <w:vAlign w:val="center"/>
          </w:tcPr>
          <w:p w14:paraId="48EDB19A">
            <w:pPr>
              <w:jc w:val="center"/>
              <w:textAlignment w:val="baseline"/>
              <w:rPr>
                <w:rFonts w:hint="eastAsia" w:ascii="仿宋" w:hAnsi="仿宋" w:eastAsia="仿宋" w:cs="仿宋"/>
                <w:b/>
                <w:sz w:val="24"/>
                <w:szCs w:val="24"/>
              </w:rPr>
            </w:pPr>
            <w:r>
              <w:rPr>
                <w:rFonts w:hint="eastAsia" w:ascii="仿宋" w:hAnsi="仿宋" w:eastAsia="仿宋" w:cs="仿宋"/>
                <w:b/>
                <w:sz w:val="24"/>
                <w:szCs w:val="24"/>
              </w:rPr>
              <w:t>投标</w:t>
            </w:r>
            <w:r>
              <w:rPr>
                <w:rFonts w:hint="eastAsia" w:ascii="仿宋" w:hAnsi="仿宋" w:eastAsia="仿宋" w:cs="仿宋"/>
                <w:b/>
                <w:sz w:val="24"/>
                <w:szCs w:val="24"/>
                <w:lang w:val="en-US" w:eastAsia="zh-CN"/>
              </w:rPr>
              <w:t>单价</w:t>
            </w:r>
            <w:r>
              <w:rPr>
                <w:rFonts w:hint="eastAsia" w:ascii="仿宋" w:hAnsi="仿宋" w:eastAsia="仿宋" w:cs="仿宋"/>
                <w:b/>
                <w:sz w:val="24"/>
                <w:szCs w:val="24"/>
              </w:rPr>
              <w:t>报价（保留整数</w:t>
            </w:r>
            <w:r>
              <w:rPr>
                <w:rFonts w:hint="eastAsia" w:ascii="仿宋" w:hAnsi="仿宋" w:eastAsia="仿宋" w:cs="仿宋"/>
                <w:b/>
                <w:sz w:val="24"/>
                <w:szCs w:val="24"/>
                <w:lang w:val="en-US" w:eastAsia="zh-CN"/>
              </w:rPr>
              <w:t>/元</w:t>
            </w:r>
            <w:r>
              <w:rPr>
                <w:rFonts w:hint="eastAsia" w:ascii="仿宋" w:hAnsi="仿宋" w:eastAsia="仿宋" w:cs="仿宋"/>
                <w:b/>
                <w:sz w:val="24"/>
                <w:szCs w:val="24"/>
              </w:rPr>
              <w:t>）</w:t>
            </w:r>
          </w:p>
        </w:tc>
        <w:tc>
          <w:tcPr>
            <w:tcW w:w="1880" w:type="dxa"/>
            <w:vAlign w:val="center"/>
          </w:tcPr>
          <w:p w14:paraId="1C9D99C2">
            <w:pPr>
              <w:jc w:val="center"/>
              <w:textAlignment w:val="baseline"/>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投标报价合计（保留整数/元）</w:t>
            </w:r>
          </w:p>
        </w:tc>
      </w:tr>
      <w:tr w14:paraId="2615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exact"/>
          <w:jc w:val="center"/>
        </w:trPr>
        <w:tc>
          <w:tcPr>
            <w:tcW w:w="840" w:type="dxa"/>
            <w:vAlign w:val="center"/>
          </w:tcPr>
          <w:p w14:paraId="66B7FC9A">
            <w:pPr>
              <w:spacing w:line="360" w:lineRule="auto"/>
              <w:ind w:firstLine="240" w:firstLineChars="100"/>
              <w:jc w:val="left"/>
              <w:rPr>
                <w:rFonts w:hint="eastAsia" w:ascii="仿宋" w:hAnsi="仿宋" w:eastAsia="仿宋" w:cs="仿宋"/>
                <w:sz w:val="24"/>
                <w:szCs w:val="24"/>
                <w:lang w:val="zh-CN"/>
              </w:rPr>
            </w:pPr>
            <w:r>
              <w:rPr>
                <w:rFonts w:hint="eastAsia" w:ascii="仿宋" w:hAnsi="仿宋" w:eastAsia="仿宋" w:cs="仿宋"/>
                <w:sz w:val="24"/>
                <w:szCs w:val="24"/>
              </w:rPr>
              <w:t>1</w:t>
            </w:r>
          </w:p>
        </w:tc>
        <w:tc>
          <w:tcPr>
            <w:tcW w:w="2196" w:type="dxa"/>
            <w:vAlign w:val="center"/>
          </w:tcPr>
          <w:p w14:paraId="00733FB6">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银湖人才房（聚彦府）智能密码锁采购项目</w:t>
            </w:r>
          </w:p>
        </w:tc>
        <w:tc>
          <w:tcPr>
            <w:tcW w:w="1114" w:type="dxa"/>
            <w:vAlign w:val="center"/>
          </w:tcPr>
          <w:p w14:paraId="2E59C870">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402套</w:t>
            </w:r>
          </w:p>
        </w:tc>
        <w:tc>
          <w:tcPr>
            <w:tcW w:w="1791" w:type="dxa"/>
            <w:vAlign w:val="center"/>
          </w:tcPr>
          <w:p w14:paraId="4DF5E77F">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400元</w:t>
            </w:r>
          </w:p>
        </w:tc>
        <w:tc>
          <w:tcPr>
            <w:tcW w:w="1880" w:type="dxa"/>
            <w:vAlign w:val="center"/>
          </w:tcPr>
          <w:p w14:paraId="65A1FCC9">
            <w:pPr>
              <w:pStyle w:val="20"/>
              <w:ind w:firstLine="0" w:firstLineChars="0"/>
              <w:jc w:val="center"/>
              <w:rPr>
                <w:rFonts w:hint="eastAsia" w:ascii="仿宋" w:hAnsi="仿宋" w:eastAsia="仿宋" w:cs="仿宋"/>
                <w:sz w:val="24"/>
                <w:szCs w:val="24"/>
              </w:rPr>
            </w:pPr>
          </w:p>
        </w:tc>
        <w:tc>
          <w:tcPr>
            <w:tcW w:w="1880" w:type="dxa"/>
            <w:vAlign w:val="center"/>
          </w:tcPr>
          <w:p w14:paraId="4C5E0C49">
            <w:pPr>
              <w:pStyle w:val="20"/>
              <w:ind w:firstLine="0" w:firstLineChars="0"/>
              <w:jc w:val="center"/>
              <w:rPr>
                <w:rFonts w:hint="eastAsia" w:ascii="仿宋" w:hAnsi="仿宋" w:eastAsia="仿宋" w:cs="仿宋"/>
                <w:sz w:val="24"/>
                <w:szCs w:val="24"/>
              </w:rPr>
            </w:pPr>
          </w:p>
        </w:tc>
      </w:tr>
    </w:tbl>
    <w:p w14:paraId="5720D876">
      <w:pPr>
        <w:keepNext w:val="0"/>
        <w:keepLines w:val="0"/>
        <w:pageBreakBefore w:val="0"/>
        <w:widowControl w:val="0"/>
        <w:kinsoku/>
        <w:wordWrap/>
        <w:overflowPunct/>
        <w:topLinePunct w:val="0"/>
        <w:autoSpaceDE/>
        <w:autoSpaceDN/>
        <w:bidi w:val="0"/>
        <w:adjustRightInd/>
        <w:spacing w:line="440" w:lineRule="exact"/>
        <w:ind w:firstLine="241" w:firstLineChars="100"/>
        <w:jc w:val="both"/>
        <w:textAlignment w:val="auto"/>
        <w:rPr>
          <w:rFonts w:hint="eastAsia" w:ascii="仿宋" w:hAnsi="仿宋" w:eastAsia="仿宋" w:cs="仿宋"/>
          <w:b/>
          <w:sz w:val="24"/>
          <w:szCs w:val="24"/>
        </w:rPr>
      </w:pPr>
      <w:r>
        <w:rPr>
          <w:rFonts w:hint="eastAsia" w:ascii="仿宋" w:hAnsi="仿宋" w:eastAsia="仿宋" w:cs="仿宋"/>
          <w:b/>
          <w:sz w:val="24"/>
          <w:szCs w:val="24"/>
          <w:lang w:val="zh-CN"/>
        </w:rPr>
        <w:t>注：1.投标人需按本表格式填写，不得自行更</w:t>
      </w:r>
      <w:r>
        <w:rPr>
          <w:rFonts w:hint="eastAsia" w:ascii="仿宋" w:hAnsi="仿宋" w:eastAsia="仿宋" w:cs="仿宋"/>
          <w:b/>
          <w:sz w:val="24"/>
          <w:szCs w:val="24"/>
        </w:rPr>
        <w:t>改，否则作无效标处理。</w:t>
      </w:r>
    </w:p>
    <w:p w14:paraId="05A93BE5">
      <w:pPr>
        <w:keepNext w:val="0"/>
        <w:keepLines w:val="0"/>
        <w:pageBreakBefore w:val="0"/>
        <w:widowControl w:val="0"/>
        <w:kinsoku/>
        <w:wordWrap/>
        <w:overflowPunct/>
        <w:topLinePunct w:val="0"/>
        <w:autoSpaceDE/>
        <w:autoSpaceDN/>
        <w:bidi w:val="0"/>
        <w:adjustRightInd/>
        <w:spacing w:line="440" w:lineRule="exact"/>
        <w:ind w:firstLine="723" w:firstLineChars="300"/>
        <w:jc w:val="both"/>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2.投标报价应包括所需缴纳的所有</w:t>
      </w:r>
      <w:r>
        <w:rPr>
          <w:rFonts w:hint="eastAsia" w:ascii="仿宋" w:hAnsi="仿宋" w:eastAsia="仿宋" w:cs="仿宋"/>
          <w:b/>
          <w:sz w:val="24"/>
          <w:szCs w:val="24"/>
          <w:lang w:val="en-US" w:eastAsia="zh-CN"/>
        </w:rPr>
        <w:t>拆旧、售</w:t>
      </w:r>
      <w:r>
        <w:rPr>
          <w:rFonts w:hint="eastAsia" w:ascii="仿宋" w:hAnsi="仿宋" w:eastAsia="仿宋" w:cs="仿宋"/>
          <w:b/>
          <w:sz w:val="22"/>
          <w:lang w:val="zh-CN"/>
        </w:rPr>
        <w:t>后服务及各类管理费、利润、税金、</w:t>
      </w:r>
      <w:r>
        <w:rPr>
          <w:rFonts w:hint="eastAsia" w:ascii="仿宋" w:hAnsi="仿宋" w:eastAsia="仿宋" w:cs="仿宋"/>
          <w:b/>
          <w:sz w:val="22"/>
          <w:lang w:val="en-US" w:eastAsia="zh-CN"/>
        </w:rPr>
        <w:t>旧锁处置费</w:t>
      </w:r>
      <w:r>
        <w:rPr>
          <w:rFonts w:hint="eastAsia" w:ascii="仿宋" w:hAnsi="仿宋" w:eastAsia="仿宋" w:cs="仿宋"/>
          <w:b/>
          <w:sz w:val="22"/>
          <w:lang w:val="zh-CN"/>
        </w:rPr>
        <w:t>等所有费用</w:t>
      </w:r>
      <w:r>
        <w:rPr>
          <w:rFonts w:hint="eastAsia" w:ascii="仿宋" w:hAnsi="仿宋" w:eastAsia="仿宋" w:cs="仿宋"/>
          <w:b/>
          <w:sz w:val="24"/>
          <w:szCs w:val="24"/>
          <w:lang w:val="zh-CN"/>
        </w:rPr>
        <w:t>及不可预见费等项目实施所需的一切费用。</w:t>
      </w:r>
    </w:p>
    <w:p w14:paraId="6AA0CAC7">
      <w:pPr>
        <w:ind w:firstLine="723" w:firstLineChars="300"/>
        <w:rPr>
          <w:rFonts w:hint="eastAsia" w:ascii="仿宋" w:hAnsi="仿宋" w:eastAsia="仿宋" w:cs="仿宋"/>
          <w:b/>
          <w:color w:val="000000"/>
          <w:sz w:val="24"/>
          <w:szCs w:val="24"/>
        </w:rPr>
      </w:pPr>
      <w:r>
        <w:rPr>
          <w:rFonts w:hint="eastAsia" w:ascii="仿宋" w:hAnsi="仿宋" w:eastAsia="仿宋" w:cs="仿宋"/>
          <w:b/>
          <w:sz w:val="24"/>
          <w:szCs w:val="24"/>
          <w:lang w:val="zh-CN"/>
        </w:rPr>
        <w:t>3.投标人在政采云电子交易平台报价模块中应填写</w:t>
      </w:r>
      <w:r>
        <w:rPr>
          <w:rFonts w:hint="eastAsia" w:ascii="仿宋" w:hAnsi="仿宋" w:eastAsia="仿宋" w:cs="仿宋"/>
          <w:b/>
          <w:sz w:val="24"/>
          <w:szCs w:val="24"/>
        </w:rPr>
        <w:t>投标</w:t>
      </w:r>
      <w:r>
        <w:rPr>
          <w:rFonts w:hint="eastAsia" w:ascii="仿宋" w:hAnsi="仿宋" w:eastAsia="仿宋" w:cs="仿宋"/>
          <w:b/>
          <w:sz w:val="24"/>
          <w:szCs w:val="24"/>
          <w:lang w:val="zh-CN"/>
        </w:rPr>
        <w:t>总价。</w:t>
      </w:r>
      <w:r>
        <w:rPr>
          <w:rFonts w:hint="eastAsia" w:ascii="仿宋" w:hAnsi="仿宋" w:eastAsia="仿宋" w:cs="仿宋"/>
          <w:b/>
          <w:sz w:val="24"/>
          <w:szCs w:val="24"/>
        </w:rPr>
        <w:t>政采云电子交易平台报价模块中填写的</w:t>
      </w:r>
      <w:r>
        <w:rPr>
          <w:rFonts w:hint="eastAsia" w:ascii="仿宋" w:hAnsi="仿宋" w:eastAsia="仿宋" w:cs="仿宋"/>
          <w:b/>
          <w:sz w:val="24"/>
          <w:szCs w:val="24"/>
          <w:lang w:val="en-US" w:eastAsia="zh-CN"/>
        </w:rPr>
        <w:t>投标</w:t>
      </w:r>
      <w:r>
        <w:rPr>
          <w:rFonts w:hint="eastAsia" w:ascii="仿宋" w:hAnsi="仿宋" w:eastAsia="仿宋" w:cs="仿宋"/>
          <w:b/>
          <w:sz w:val="24"/>
          <w:szCs w:val="24"/>
        </w:rPr>
        <w:t>总价与本报价一览表中填写的</w:t>
      </w:r>
      <w:r>
        <w:rPr>
          <w:rFonts w:hint="eastAsia" w:ascii="仿宋" w:hAnsi="仿宋" w:eastAsia="仿宋" w:cs="仿宋"/>
          <w:b/>
          <w:sz w:val="24"/>
          <w:szCs w:val="24"/>
          <w:lang w:val="en-US" w:eastAsia="zh-CN"/>
        </w:rPr>
        <w:t>投标</w:t>
      </w:r>
      <w:r>
        <w:rPr>
          <w:rFonts w:hint="eastAsia" w:ascii="仿宋" w:hAnsi="仿宋" w:eastAsia="仿宋" w:cs="仿宋"/>
          <w:b/>
          <w:sz w:val="24"/>
          <w:szCs w:val="24"/>
        </w:rPr>
        <w:t>总价不一致的或计算有误的作无效标处理。</w:t>
      </w:r>
      <w:r>
        <w:rPr>
          <w:rFonts w:hint="eastAsia" w:ascii="仿宋" w:hAnsi="仿宋" w:eastAsia="仿宋" w:cs="仿宋"/>
          <w:b/>
          <w:sz w:val="24"/>
          <w:szCs w:val="24"/>
          <w:lang w:val="zh-CN"/>
        </w:rPr>
        <w:t>（报价保留至元）。</w:t>
      </w:r>
    </w:p>
    <w:p w14:paraId="3984CB8D">
      <w:pPr>
        <w:spacing w:line="360" w:lineRule="auto"/>
        <w:ind w:firstLine="663" w:firstLineChars="300"/>
        <w:jc w:val="left"/>
        <w:rPr>
          <w:rFonts w:hint="eastAsia" w:ascii="仿宋" w:hAnsi="仿宋" w:eastAsia="仿宋" w:cs="仿宋"/>
          <w:b/>
          <w:sz w:val="22"/>
          <w:lang w:val="en-US" w:eastAsia="zh-CN"/>
        </w:rPr>
      </w:pPr>
      <w:r>
        <w:rPr>
          <w:rFonts w:hint="eastAsia" w:ascii="仿宋" w:hAnsi="仿宋" w:eastAsia="仿宋" w:cs="仿宋"/>
          <w:b/>
          <w:sz w:val="22"/>
          <w:lang w:val="en-US" w:eastAsia="zh-CN"/>
        </w:rPr>
        <w:t>4.</w:t>
      </w:r>
      <w:r>
        <w:rPr>
          <w:rFonts w:hint="eastAsia" w:ascii="仿宋" w:hAnsi="仿宋" w:eastAsia="仿宋" w:cs="仿宋"/>
          <w:b/>
          <w:sz w:val="22"/>
          <w:lang w:val="zh-CN"/>
        </w:rPr>
        <w:t>参与报价的供应商须提供营业执照复印件</w:t>
      </w:r>
      <w:r>
        <w:rPr>
          <w:rFonts w:hint="eastAsia" w:ascii="仿宋" w:hAnsi="仿宋" w:eastAsia="仿宋" w:cs="仿宋"/>
          <w:b/>
          <w:sz w:val="22"/>
          <w:lang w:val="en-US" w:eastAsia="zh-CN"/>
        </w:rPr>
        <w:t>、</w:t>
      </w:r>
      <w:r>
        <w:rPr>
          <w:rFonts w:hint="eastAsia" w:ascii="仿宋" w:hAnsi="仿宋" w:eastAsia="仿宋" w:cs="仿宋"/>
          <w:b/>
          <w:sz w:val="22"/>
          <w:lang w:val="zh-CN"/>
        </w:rPr>
        <w:t>报价一览表，以上资料需加盖公章，所提供的资料必须真实有效，若发现弄虚作假则取消投标资格；未上传以上资料，响应无效。</w:t>
      </w:r>
    </w:p>
    <w:p w14:paraId="71A145E5">
      <w:pPr>
        <w:spacing w:line="360" w:lineRule="auto"/>
        <w:jc w:val="left"/>
        <w:rPr>
          <w:rFonts w:hint="default" w:ascii="仿宋" w:hAnsi="仿宋" w:eastAsia="仿宋" w:cs="仿宋"/>
          <w:b/>
          <w:sz w:val="22"/>
          <w:lang w:val="en-US" w:eastAsia="zh-CN"/>
        </w:rPr>
      </w:pPr>
      <w:r>
        <w:rPr>
          <w:rFonts w:hint="eastAsia" w:ascii="仿宋" w:hAnsi="仿宋" w:eastAsia="仿宋" w:cs="仿宋"/>
          <w:b/>
          <w:sz w:val="22"/>
          <w:lang w:val="en-US" w:eastAsia="zh-CN"/>
        </w:rPr>
        <w:t>温馨提示：交易结束后平台将收取中标金额2%的交易技术服务费，费用由中标单位自行承担，如因中标单位原因导致合同无法签订的，该项费用不予退还，可咨询电话95763，具体以平台答复为准。</w:t>
      </w:r>
    </w:p>
    <w:p w14:paraId="3585CFDA">
      <w:pPr>
        <w:pStyle w:val="23"/>
        <w:snapToGrid w:val="0"/>
        <w:spacing w:line="360" w:lineRule="auto"/>
        <w:ind w:firstLine="440" w:firstLineChars="200"/>
        <w:jc w:val="left"/>
        <w:rPr>
          <w:rFonts w:hint="eastAsia" w:ascii="仿宋" w:hAnsi="仿宋" w:eastAsia="仿宋" w:cs="仿宋"/>
          <w:color w:val="000000"/>
          <w:sz w:val="22"/>
          <w:szCs w:val="24"/>
        </w:rPr>
      </w:pPr>
      <w:r>
        <w:rPr>
          <w:rFonts w:hint="eastAsia" w:ascii="仿宋" w:hAnsi="仿宋" w:eastAsia="仿宋" w:cs="仿宋"/>
          <w:color w:val="000000"/>
          <w:sz w:val="22"/>
          <w:szCs w:val="24"/>
        </w:rPr>
        <w:t>投标人全称（</w:t>
      </w:r>
      <w:r>
        <w:rPr>
          <w:rFonts w:hint="eastAsia" w:ascii="仿宋" w:hAnsi="仿宋" w:eastAsia="仿宋" w:cs="仿宋"/>
          <w:color w:val="000000"/>
          <w:kern w:val="0"/>
          <w:sz w:val="22"/>
        </w:rPr>
        <w:t>盖章</w:t>
      </w:r>
      <w:r>
        <w:rPr>
          <w:rFonts w:hint="eastAsia" w:ascii="仿宋" w:hAnsi="仿宋" w:eastAsia="仿宋" w:cs="仿宋"/>
          <w:color w:val="000000"/>
          <w:sz w:val="22"/>
          <w:szCs w:val="24"/>
        </w:rPr>
        <w:t>）：</w:t>
      </w:r>
      <w:r>
        <w:rPr>
          <w:rFonts w:hint="eastAsia" w:ascii="仿宋" w:hAnsi="仿宋" w:eastAsia="仿宋" w:cs="仿宋"/>
          <w:color w:val="000000"/>
          <w:sz w:val="22"/>
          <w:szCs w:val="24"/>
          <w:u w:val="single"/>
        </w:rPr>
        <w:t xml:space="preserve">                  </w:t>
      </w:r>
    </w:p>
    <w:p w14:paraId="179470AC">
      <w:pPr>
        <w:snapToGrid w:val="0"/>
        <w:spacing w:line="360" w:lineRule="auto"/>
        <w:ind w:firstLine="440" w:firstLineChars="200"/>
        <w:jc w:val="left"/>
        <w:rPr>
          <w:rFonts w:hint="eastAsia" w:ascii="仿宋" w:hAnsi="仿宋" w:eastAsia="仿宋" w:cs="仿宋"/>
          <w:color w:val="000000"/>
          <w:sz w:val="22"/>
        </w:rPr>
      </w:pPr>
      <w:r>
        <w:rPr>
          <w:rFonts w:hint="eastAsia" w:ascii="仿宋" w:hAnsi="仿宋" w:eastAsia="仿宋" w:cs="仿宋"/>
          <w:color w:val="000000"/>
          <w:sz w:val="22"/>
        </w:rPr>
        <w:t>法定代表人或授权代表（签字或盖章）：</w:t>
      </w:r>
      <w:r>
        <w:rPr>
          <w:rFonts w:hint="eastAsia" w:ascii="仿宋" w:hAnsi="仿宋" w:eastAsia="仿宋" w:cs="仿宋"/>
          <w:color w:val="000000"/>
          <w:sz w:val="22"/>
          <w:u w:val="single"/>
        </w:rPr>
        <w:t xml:space="preserve">                  </w:t>
      </w:r>
    </w:p>
    <w:p w14:paraId="43C03E5C">
      <w:pPr>
        <w:pStyle w:val="9"/>
        <w:rPr>
          <w:rFonts w:hint="eastAsia"/>
          <w:lang w:val="en-US" w:eastAsia="zh-CN"/>
        </w:rPr>
      </w:pPr>
      <w:r>
        <w:rPr>
          <w:rFonts w:hint="eastAsia" w:ascii="仿宋" w:hAnsi="仿宋" w:eastAsia="仿宋" w:cs="仿宋"/>
          <w:color w:val="000000"/>
          <w:sz w:val="22"/>
        </w:rPr>
        <w:t>日期：</w:t>
      </w:r>
      <w:r>
        <w:rPr>
          <w:rFonts w:hint="eastAsia" w:ascii="仿宋" w:hAnsi="仿宋" w:eastAsia="仿宋" w:cs="仿宋"/>
          <w:color w:val="000000"/>
          <w:sz w:val="22"/>
          <w:u w:val="single"/>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04B87"/>
    <w:multiLevelType w:val="singleLevel"/>
    <w:tmpl w:val="C9E04B87"/>
    <w:lvl w:ilvl="0" w:tentative="0">
      <w:start w:val="7"/>
      <w:numFmt w:val="chineseCounting"/>
      <w:suff w:val="nothing"/>
      <w:lvlText w:val="%1、"/>
      <w:lvlJc w:val="left"/>
      <w:rPr>
        <w:rFonts w:hint="eastAsia"/>
      </w:rPr>
    </w:lvl>
  </w:abstractNum>
  <w:abstractNum w:abstractNumId="1">
    <w:nsid w:val="555C6F10"/>
    <w:multiLevelType w:val="multilevel"/>
    <w:tmpl w:val="555C6F10"/>
    <w:lvl w:ilvl="0" w:tentative="0">
      <w:start w:val="1"/>
      <w:numFmt w:val="decimal"/>
      <w:suff w:val="nothing"/>
      <w:lvlText w:val="%1"/>
      <w:lvlJc w:val="left"/>
      <w:pPr>
        <w:ind w:left="84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ZDM4MmRjNDliZDc1OWI1NzY3MzU1NjViZjljYTUifQ=="/>
  </w:docVars>
  <w:rsids>
    <w:rsidRoot w:val="000B27AC"/>
    <w:rsid w:val="000043A2"/>
    <w:rsid w:val="000347D9"/>
    <w:rsid w:val="000B27AC"/>
    <w:rsid w:val="0018621E"/>
    <w:rsid w:val="001C2B62"/>
    <w:rsid w:val="002B16A2"/>
    <w:rsid w:val="00402B04"/>
    <w:rsid w:val="00404149"/>
    <w:rsid w:val="004A79F6"/>
    <w:rsid w:val="00567CC5"/>
    <w:rsid w:val="00590A1A"/>
    <w:rsid w:val="005A5990"/>
    <w:rsid w:val="005B5132"/>
    <w:rsid w:val="00634489"/>
    <w:rsid w:val="006A0C39"/>
    <w:rsid w:val="00740E0B"/>
    <w:rsid w:val="00A37F1C"/>
    <w:rsid w:val="00A924B6"/>
    <w:rsid w:val="00BB7132"/>
    <w:rsid w:val="00BC6455"/>
    <w:rsid w:val="00C32341"/>
    <w:rsid w:val="00C64F3F"/>
    <w:rsid w:val="00CD4621"/>
    <w:rsid w:val="00CE2988"/>
    <w:rsid w:val="00F229DA"/>
    <w:rsid w:val="00F46933"/>
    <w:rsid w:val="00F720D9"/>
    <w:rsid w:val="025C467B"/>
    <w:rsid w:val="02646E63"/>
    <w:rsid w:val="046613F6"/>
    <w:rsid w:val="06776966"/>
    <w:rsid w:val="06D65455"/>
    <w:rsid w:val="0DE4375E"/>
    <w:rsid w:val="0E470868"/>
    <w:rsid w:val="0EAA135B"/>
    <w:rsid w:val="0F403A6D"/>
    <w:rsid w:val="0FF7237E"/>
    <w:rsid w:val="11D750BA"/>
    <w:rsid w:val="14B5793A"/>
    <w:rsid w:val="155541CD"/>
    <w:rsid w:val="19E03E83"/>
    <w:rsid w:val="1AAB26E2"/>
    <w:rsid w:val="1B866CAC"/>
    <w:rsid w:val="1D30306F"/>
    <w:rsid w:val="1DD636D6"/>
    <w:rsid w:val="2009325C"/>
    <w:rsid w:val="21C45872"/>
    <w:rsid w:val="23CE7102"/>
    <w:rsid w:val="244B35CA"/>
    <w:rsid w:val="2641214D"/>
    <w:rsid w:val="281D2AA6"/>
    <w:rsid w:val="287C56BE"/>
    <w:rsid w:val="28DF7204"/>
    <w:rsid w:val="2B125E66"/>
    <w:rsid w:val="2C4E00FD"/>
    <w:rsid w:val="2FD12D59"/>
    <w:rsid w:val="308503CA"/>
    <w:rsid w:val="312F17F3"/>
    <w:rsid w:val="32755658"/>
    <w:rsid w:val="3723062E"/>
    <w:rsid w:val="39C316C6"/>
    <w:rsid w:val="40F577BC"/>
    <w:rsid w:val="41E16B1E"/>
    <w:rsid w:val="421309EA"/>
    <w:rsid w:val="43281612"/>
    <w:rsid w:val="440F3EC3"/>
    <w:rsid w:val="44DA57EF"/>
    <w:rsid w:val="49D722FD"/>
    <w:rsid w:val="4BCB4463"/>
    <w:rsid w:val="4BCB4825"/>
    <w:rsid w:val="4CC44672"/>
    <w:rsid w:val="50027D41"/>
    <w:rsid w:val="50932E92"/>
    <w:rsid w:val="535B3F9E"/>
    <w:rsid w:val="55957629"/>
    <w:rsid w:val="57B10631"/>
    <w:rsid w:val="5B10566E"/>
    <w:rsid w:val="5D6A0D3C"/>
    <w:rsid w:val="5FCF153F"/>
    <w:rsid w:val="5FD16FD0"/>
    <w:rsid w:val="6449048E"/>
    <w:rsid w:val="65110961"/>
    <w:rsid w:val="65282984"/>
    <w:rsid w:val="667A42E4"/>
    <w:rsid w:val="68011559"/>
    <w:rsid w:val="680E73DA"/>
    <w:rsid w:val="68894215"/>
    <w:rsid w:val="68C12A8B"/>
    <w:rsid w:val="690E7539"/>
    <w:rsid w:val="6F515D96"/>
    <w:rsid w:val="721C16BB"/>
    <w:rsid w:val="78144598"/>
    <w:rsid w:val="7972392B"/>
    <w:rsid w:val="7AA2281A"/>
    <w:rsid w:val="7BF2251D"/>
    <w:rsid w:val="7CDA7686"/>
    <w:rsid w:val="7CE2095B"/>
    <w:rsid w:val="7DE60785"/>
    <w:rsid w:val="7EDF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4">
    <w:name w:val="heading 2"/>
    <w:basedOn w:val="1"/>
    <w:next w:val="1"/>
    <w:qFormat/>
    <w:uiPriority w:val="0"/>
    <w:pPr>
      <w:keepNext/>
      <w:keepLines/>
      <w:spacing w:beforeLines="0" w:after="260" w:line="415" w:lineRule="auto"/>
      <w:outlineLvl w:val="1"/>
    </w:pPr>
    <w:rPr>
      <w:rFonts w:ascii="Arial" w:hAnsi="Arial" w:eastAsia="黑体"/>
      <w:b/>
      <w:bCs/>
      <w:sz w:val="32"/>
      <w:szCs w:val="32"/>
    </w:rPr>
  </w:style>
  <w:style w:type="paragraph" w:styleId="5">
    <w:name w:val="heading 5"/>
    <w:basedOn w:val="1"/>
    <w:next w:val="1"/>
    <w:qFormat/>
    <w:uiPriority w:val="0"/>
    <w:pPr>
      <w:keepNext/>
      <w:keepLines/>
      <w:spacing w:after="120" w:line="360" w:lineRule="auto"/>
      <w:outlineLvl w:val="4"/>
    </w:pPr>
    <w:rPr>
      <w:rFonts w:eastAsia="微软雅黑"/>
      <w:b/>
      <w:bCs/>
      <w:kern w:val="0"/>
      <w:sz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Lines="50"/>
    </w:pPr>
  </w:style>
  <w:style w:type="paragraph" w:styleId="6">
    <w:name w:val="Normal Indent"/>
    <w:basedOn w:val="1"/>
    <w:next w:val="7"/>
    <w:qFormat/>
    <w:uiPriority w:val="0"/>
    <w:pPr>
      <w:ind w:firstLine="420"/>
    </w:pPr>
    <w:rPr>
      <w:szCs w:val="20"/>
    </w:rPr>
  </w:style>
  <w:style w:type="paragraph" w:styleId="7">
    <w:name w:val="Balloon Text"/>
    <w:basedOn w:val="1"/>
    <w:next w:val="8"/>
    <w:link w:val="28"/>
    <w:qFormat/>
    <w:uiPriority w:val="0"/>
    <w:rPr>
      <w:sz w:val="18"/>
      <w:szCs w:val="18"/>
    </w:rPr>
  </w:style>
  <w:style w:type="paragraph" w:styleId="8">
    <w:name w:val="toc 8"/>
    <w:basedOn w:val="1"/>
    <w:next w:val="1"/>
    <w:semiHidden/>
    <w:qFormat/>
    <w:uiPriority w:val="0"/>
    <w:pPr>
      <w:spacing w:afterLines="50"/>
      <w:ind w:left="1470"/>
      <w:jc w:val="left"/>
    </w:pPr>
    <w:rPr>
      <w:snapToGrid w:val="0"/>
      <w:kern w:val="0"/>
      <w:sz w:val="18"/>
      <w:szCs w:val="18"/>
    </w:rPr>
  </w:style>
  <w:style w:type="paragraph" w:styleId="9">
    <w:name w:val="Body Text"/>
    <w:basedOn w:val="1"/>
    <w:qFormat/>
    <w:uiPriority w:val="0"/>
    <w:pPr>
      <w:spacing w:after="120"/>
    </w:pPr>
  </w:style>
  <w:style w:type="paragraph" w:styleId="10">
    <w:name w:val="Body Text Indent"/>
    <w:basedOn w:val="1"/>
    <w:next w:val="1"/>
    <w:qFormat/>
    <w:uiPriority w:val="0"/>
    <w:pPr>
      <w:ind w:firstLine="645"/>
    </w:pPr>
    <w:rPr>
      <w:sz w:val="28"/>
    </w:rPr>
  </w:style>
  <w:style w:type="paragraph" w:styleId="11">
    <w:name w:val="Body Text Indent 2"/>
    <w:basedOn w:val="1"/>
    <w:unhideWhenUsed/>
    <w:qFormat/>
    <w:uiPriority w:val="0"/>
    <w:pPr>
      <w:spacing w:after="120" w:line="480" w:lineRule="auto"/>
      <w:ind w:left="420" w:leftChars="200"/>
    </w:p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11"/>
    <w:pPr>
      <w:spacing w:before="240" w:after="60" w:line="312" w:lineRule="auto"/>
      <w:jc w:val="center"/>
      <w:outlineLvl w:val="1"/>
    </w:pPr>
    <w:rPr>
      <w:rFonts w:ascii="Cambria" w:hAnsi="Cambria" w:eastAsia="宋体" w:cs="Times New Roman"/>
      <w:b/>
      <w:bCs/>
      <w:kern w:val="2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9"/>
    <w:next w:val="17"/>
    <w:qFormat/>
    <w:uiPriority w:val="99"/>
    <w:pPr>
      <w:ind w:firstLine="420" w:firstLineChars="100"/>
    </w:pPr>
  </w:style>
  <w:style w:type="paragraph" w:styleId="17">
    <w:name w:val="Body Text First Indent 2"/>
    <w:basedOn w:val="10"/>
    <w:next w:val="11"/>
    <w:qFormat/>
    <w:uiPriority w:val="0"/>
    <w:pPr>
      <w:tabs>
        <w:tab w:val="left" w:pos="720"/>
      </w:tabs>
      <w:ind w:firstLine="420"/>
    </w:pPr>
  </w:style>
  <w:style w:type="paragraph" w:customStyle="1" w:styleId="20">
    <w:name w:val="首行缩进"/>
    <w:basedOn w:val="1"/>
    <w:next w:val="9"/>
    <w:qFormat/>
    <w:uiPriority w:val="0"/>
    <w:pPr>
      <w:spacing w:line="360" w:lineRule="auto"/>
      <w:ind w:firstLine="420" w:firstLineChars="200"/>
    </w:pPr>
    <w:rPr>
      <w:rFonts w:ascii="宋体" w:hAnsi="宋体"/>
    </w:rPr>
  </w:style>
  <w:style w:type="paragraph" w:customStyle="1" w:styleId="21">
    <w:name w:val="Normal Indent1"/>
    <w:basedOn w:val="1"/>
    <w:qFormat/>
    <w:uiPriority w:val="0"/>
    <w:pPr>
      <w:ind w:firstLine="420" w:firstLineChars="200"/>
    </w:pPr>
  </w:style>
  <w:style w:type="paragraph" w:customStyle="1" w:styleId="22">
    <w:name w:val="列出段落1"/>
    <w:basedOn w:val="1"/>
    <w:qFormat/>
    <w:uiPriority w:val="0"/>
    <w:pPr>
      <w:spacing w:line="360" w:lineRule="auto"/>
      <w:ind w:firstLine="420" w:firstLineChars="200"/>
    </w:pPr>
    <w:rPr>
      <w:rFonts w:cs="宋体"/>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 w:type="paragraph" w:customStyle="1" w:styleId="24">
    <w:name w:val="正文段"/>
    <w:basedOn w:val="1"/>
    <w:qFormat/>
    <w:uiPriority w:val="0"/>
    <w:pPr>
      <w:widowControl/>
      <w:snapToGrid w:val="0"/>
      <w:spacing w:after="156" w:afterLines="50"/>
      <w:ind w:firstLine="200" w:firstLineChars="200"/>
    </w:pPr>
    <w:rPr>
      <w:kern w:val="0"/>
      <w:sz w:val="24"/>
      <w:szCs w:val="20"/>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6">
    <w:name w:val="页眉 Char"/>
    <w:basedOn w:val="19"/>
    <w:link w:val="13"/>
    <w:qFormat/>
    <w:uiPriority w:val="0"/>
    <w:rPr>
      <w:kern w:val="2"/>
      <w:sz w:val="18"/>
      <w:szCs w:val="18"/>
    </w:rPr>
  </w:style>
  <w:style w:type="character" w:customStyle="1" w:styleId="27">
    <w:name w:val="页脚 Char"/>
    <w:basedOn w:val="19"/>
    <w:link w:val="12"/>
    <w:qFormat/>
    <w:uiPriority w:val="0"/>
    <w:rPr>
      <w:kern w:val="2"/>
      <w:sz w:val="18"/>
      <w:szCs w:val="18"/>
    </w:rPr>
  </w:style>
  <w:style w:type="character" w:customStyle="1" w:styleId="28">
    <w:name w:val="批注框文本 Char"/>
    <w:basedOn w:val="19"/>
    <w:link w:val="7"/>
    <w:qFormat/>
    <w:uiPriority w:val="0"/>
    <w:rPr>
      <w:kern w:val="2"/>
      <w:sz w:val="18"/>
      <w:szCs w:val="18"/>
    </w:rPr>
  </w:style>
  <w:style w:type="character" w:customStyle="1" w:styleId="29">
    <w:name w:val="font21"/>
    <w:basedOn w:val="19"/>
    <w:qFormat/>
    <w:uiPriority w:val="0"/>
    <w:rPr>
      <w:rFonts w:hint="eastAsia" w:ascii="宋体" w:hAnsi="宋体" w:eastAsia="宋体" w:cs="宋体"/>
      <w:color w:val="000000"/>
      <w:sz w:val="20"/>
      <w:szCs w:val="20"/>
      <w:u w:val="none"/>
    </w:rPr>
  </w:style>
  <w:style w:type="character" w:customStyle="1" w:styleId="30">
    <w:name w:val="font81"/>
    <w:basedOn w:val="19"/>
    <w:qFormat/>
    <w:uiPriority w:val="0"/>
    <w:rPr>
      <w:rFonts w:ascii="Arial" w:hAnsi="Arial" w:cs="Arial"/>
      <w:color w:val="000000"/>
      <w:sz w:val="20"/>
      <w:szCs w:val="20"/>
      <w:u w:val="none"/>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2933</Words>
  <Characters>3042</Characters>
  <Lines>29</Lines>
  <Paragraphs>8</Paragraphs>
  <TotalTime>4</TotalTime>
  <ScaleCrop>false</ScaleCrop>
  <LinksUpToDate>false</LinksUpToDate>
  <CharactersWithSpaces>3108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2023-04-18T04:52:00Z</dcterms:created>
  <dc:creator>@</dc:creator>
  <cp:lastModifiedBy>WPS_1554168995</cp:lastModifiedBy>
  <cp:lastPrinted>2024-06-20T07:07:00Z</cp:lastPrinted>
  <dcterms:modified xsi:type="dcterms:W3CDTF">2024-11-08T07:57:00Z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CE28DFB1120B4A47968B1FFB1C65380C_13</vt:lpwstr>
  </property>
</Properties>
</file>