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E226A">
      <w:pPr>
        <w:widowControl/>
        <w:spacing w:before="156"/>
        <w:ind w:right="-2"/>
        <w:jc w:val="center"/>
        <w:rPr>
          <w:rFonts w:hint="eastAsia" w:ascii="宋体" w:hAnsi="宋体" w:cs="宋体"/>
          <w:b/>
          <w:sz w:val="36"/>
          <w:lang w:val="en-US" w:eastAsia="zh-CN"/>
        </w:rPr>
      </w:pPr>
    </w:p>
    <w:p w14:paraId="4BFD6639">
      <w:pPr>
        <w:widowControl/>
        <w:spacing w:before="156"/>
        <w:ind w:right="-2"/>
        <w:jc w:val="center"/>
        <w:rPr>
          <w:rFonts w:hint="eastAsia" w:ascii="宋体" w:hAnsi="宋体" w:cs="宋体"/>
          <w:b/>
          <w:sz w:val="36"/>
          <w:lang w:val="en-US" w:eastAsia="zh-CN"/>
        </w:rPr>
      </w:pPr>
      <w:r>
        <w:rPr>
          <w:rFonts w:hint="eastAsia" w:ascii="宋体" w:hAnsi="宋体" w:cs="宋体"/>
          <w:b/>
          <w:sz w:val="36"/>
          <w:lang w:val="en-US" w:eastAsia="zh-CN"/>
        </w:rPr>
        <w:t>文新路（文教路-金桥北路）-智能交通商务文件</w:t>
      </w:r>
    </w:p>
    <w:p w14:paraId="27036545">
      <w:pPr>
        <w:widowControl/>
        <w:spacing w:before="156"/>
        <w:ind w:right="-2"/>
        <w:jc w:val="center"/>
        <w:rPr>
          <w:rFonts w:hint="eastAsia" w:ascii="宋体" w:hAnsi="宋体" w:cs="宋体"/>
          <w:b/>
          <w:sz w:val="36"/>
        </w:rPr>
      </w:pPr>
      <w:r>
        <w:rPr>
          <w:rFonts w:hint="eastAsia" w:ascii="宋体" w:hAnsi="宋体" w:cs="宋体"/>
          <w:b/>
          <w:sz w:val="36"/>
        </w:rPr>
        <w:t>（在线询价）</w:t>
      </w:r>
    </w:p>
    <w:p w14:paraId="1E0B257F">
      <w:pPr>
        <w:shd w:val="clear" w:color="auto" w:fill="FFFFFF"/>
        <w:snapToGrid w:val="0"/>
        <w:spacing w:before="156" w:line="360" w:lineRule="auto"/>
        <w:textAlignment w:val="bottom"/>
        <w:rPr>
          <w:rFonts w:hint="eastAsia" w:ascii="宋体" w:hAnsi="宋体" w:cs="宋体"/>
          <w:b/>
          <w:bCs/>
          <w:sz w:val="30"/>
          <w:szCs w:val="30"/>
        </w:rPr>
      </w:pPr>
    </w:p>
    <w:p w14:paraId="7886B35B">
      <w:pPr>
        <w:shd w:val="clear" w:color="auto" w:fill="FFFFFF"/>
        <w:snapToGrid w:val="0"/>
        <w:spacing w:before="156" w:line="360" w:lineRule="auto"/>
        <w:textAlignment w:val="bottom"/>
        <w:rPr>
          <w:rFonts w:hint="eastAsia" w:ascii="宋体" w:hAnsi="宋体" w:cs="宋体"/>
          <w:b/>
          <w:bCs/>
          <w:sz w:val="30"/>
          <w:szCs w:val="30"/>
        </w:rPr>
      </w:pPr>
    </w:p>
    <w:p w14:paraId="64242075">
      <w:pPr>
        <w:shd w:val="clear" w:color="auto" w:fill="FFFFFF"/>
        <w:snapToGrid w:val="0"/>
        <w:spacing w:before="156" w:line="360" w:lineRule="auto"/>
        <w:textAlignment w:val="bottom"/>
        <w:rPr>
          <w:rFonts w:hint="eastAsia" w:ascii="宋体" w:hAnsi="宋体" w:cs="宋体"/>
          <w:b/>
          <w:bCs/>
          <w:sz w:val="30"/>
          <w:szCs w:val="30"/>
        </w:rPr>
      </w:pPr>
      <w:r>
        <w:rPr>
          <w:rFonts w:hint="eastAsia" w:ascii="宋体" w:hAnsi="宋体" w:cs="宋体"/>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iZML9QAAAAJAQAADwAAAAAAAAABACAAAAAiAAAAZHJzL2Rvd25yZXYueG1sUEsBAhQAFAAAAAgA&#10;h07iQHjfbtfwAQAA4AMAAA4AAAAAAAAAAQAgAAAAIwEAAGRycy9lMm9Eb2MueG1sUEsFBgAAAAAG&#10;AAYAWQEAAIUFAAAAAA==&#10;">
                <v:fill on="f" focussize="0,0"/>
                <v:stroke color="#000000" joinstyle="round"/>
                <v:imagedata o:title=""/>
                <o:lock v:ext="edit" aspectratio="f"/>
                <w10:wrap type="square"/>
              </v:line>
            </w:pict>
          </mc:Fallback>
        </mc:AlternateContent>
      </w:r>
    </w:p>
    <w:p w14:paraId="10B1ED80">
      <w:pPr>
        <w:spacing w:before="156"/>
        <w:ind w:firstLine="964" w:firstLineChars="300"/>
        <w:rPr>
          <w:rFonts w:hint="eastAsia" w:ascii="宋体" w:hAnsi="宋体" w:cs="宋体"/>
          <w:b/>
          <w:bCs/>
          <w:sz w:val="32"/>
          <w:szCs w:val="32"/>
        </w:rPr>
      </w:pPr>
      <w:r>
        <w:rPr>
          <w:rFonts w:hint="eastAsia" w:ascii="宋体" w:hAnsi="宋体" w:cs="宋体"/>
          <w:b/>
          <w:bCs/>
          <w:sz w:val="32"/>
          <w:szCs w:val="32"/>
        </w:rPr>
        <w:t>采购单位：杭州富阳城</w:t>
      </w:r>
      <w:r>
        <w:rPr>
          <w:rFonts w:hint="eastAsia" w:ascii="宋体" w:hAnsi="宋体" w:cs="宋体"/>
          <w:b/>
          <w:bCs/>
          <w:sz w:val="32"/>
          <w:szCs w:val="32"/>
          <w:lang w:val="en-US" w:eastAsia="zh-CN"/>
        </w:rPr>
        <w:t>市建设投资集团</w:t>
      </w:r>
      <w:r>
        <w:rPr>
          <w:rFonts w:hint="eastAsia" w:ascii="宋体" w:hAnsi="宋体" w:cs="宋体"/>
          <w:b/>
          <w:bCs/>
          <w:sz w:val="32"/>
          <w:szCs w:val="32"/>
        </w:rPr>
        <w:t>有限公司</w:t>
      </w:r>
    </w:p>
    <w:p w14:paraId="0FA615B8">
      <w:pPr>
        <w:pStyle w:val="23"/>
        <w:ind w:left="0" w:leftChars="0" w:firstLine="3213" w:firstLineChars="1000"/>
        <w:rPr>
          <w:rFonts w:hint="eastAsia" w:hAnsi="宋体" w:cs="宋体"/>
          <w:b/>
          <w:bCs/>
          <w:spacing w:val="0"/>
          <w:kern w:val="2"/>
          <w:sz w:val="32"/>
          <w:szCs w:val="32"/>
        </w:rPr>
      </w:pPr>
    </w:p>
    <w:p w14:paraId="7BE3A8DB">
      <w:pPr>
        <w:pStyle w:val="23"/>
        <w:ind w:left="0" w:leftChars="0" w:firstLine="3213" w:firstLineChars="1000"/>
        <w:rPr>
          <w:rFonts w:hint="eastAsia" w:hAnsi="宋体" w:cs="宋体"/>
          <w:b/>
          <w:bCs/>
          <w:spacing w:val="0"/>
          <w:kern w:val="2"/>
          <w:sz w:val="32"/>
          <w:szCs w:val="32"/>
        </w:rPr>
      </w:pPr>
    </w:p>
    <w:p w14:paraId="68FFD671">
      <w:pPr>
        <w:pStyle w:val="23"/>
        <w:ind w:left="0" w:leftChars="0" w:firstLine="3213" w:firstLineChars="1000"/>
        <w:rPr>
          <w:rFonts w:hint="eastAsia" w:hAnsi="宋体" w:cs="宋体"/>
          <w:b/>
          <w:bCs/>
          <w:spacing w:val="0"/>
          <w:kern w:val="2"/>
          <w:sz w:val="32"/>
          <w:szCs w:val="32"/>
        </w:rPr>
      </w:pPr>
    </w:p>
    <w:p w14:paraId="0ACCD8D5">
      <w:pPr>
        <w:spacing w:before="156"/>
        <w:ind w:firstLine="964" w:firstLineChars="300"/>
        <w:rPr>
          <w:rFonts w:hint="eastAsia" w:ascii="宋体" w:hAnsi="宋体" w:eastAsia="宋体" w:cs="宋体"/>
          <w:b/>
          <w:bCs/>
          <w:sz w:val="32"/>
          <w:szCs w:val="32"/>
          <w:lang w:eastAsia="zh-CN"/>
        </w:rPr>
      </w:pPr>
      <w:r>
        <w:rPr>
          <w:rFonts w:hint="eastAsia" w:ascii="宋体" w:hAnsi="宋体" w:cs="宋体"/>
          <w:b/>
          <w:bCs/>
          <w:sz w:val="32"/>
          <w:szCs w:val="32"/>
        </w:rPr>
        <w:t>代理机构：</w:t>
      </w:r>
      <w:r>
        <w:rPr>
          <w:rFonts w:hint="eastAsia" w:ascii="宋体" w:hAnsi="宋体" w:cs="宋体"/>
          <w:b/>
          <w:bCs/>
          <w:sz w:val="32"/>
          <w:szCs w:val="32"/>
          <w:lang w:eastAsia="zh-CN"/>
        </w:rPr>
        <w:t>浙江科佳工程咨询有限公司</w:t>
      </w:r>
    </w:p>
    <w:p w14:paraId="6C3E0C90">
      <w:pPr>
        <w:spacing w:before="156"/>
        <w:ind w:firstLine="1606" w:firstLineChars="500"/>
        <w:rPr>
          <w:rFonts w:hint="eastAsia" w:ascii="宋体" w:hAnsi="宋体" w:cs="宋体"/>
          <w:b/>
          <w:bCs/>
          <w:sz w:val="32"/>
          <w:szCs w:val="32"/>
        </w:rPr>
      </w:pPr>
    </w:p>
    <w:p w14:paraId="5D5C9F5D">
      <w:pPr>
        <w:spacing w:before="156"/>
        <w:ind w:firstLine="964" w:firstLineChars="300"/>
        <w:rPr>
          <w:rFonts w:hint="eastAsia" w:ascii="宋体" w:hAnsi="宋体" w:cs="宋体"/>
          <w:b/>
          <w:bCs/>
          <w:sz w:val="32"/>
          <w:szCs w:val="32"/>
        </w:rPr>
      </w:pPr>
    </w:p>
    <w:p w14:paraId="6556C7FB">
      <w:pPr>
        <w:spacing w:before="156"/>
        <w:ind w:firstLine="964" w:firstLineChars="300"/>
        <w:rPr>
          <w:rFonts w:hint="eastAsia" w:ascii="宋体" w:hAnsi="宋体" w:cs="宋体"/>
          <w:b/>
          <w:bCs/>
          <w:sz w:val="32"/>
          <w:szCs w:val="32"/>
        </w:rPr>
      </w:pPr>
      <w:r>
        <w:rPr>
          <w:rFonts w:hint="eastAsia" w:ascii="宋体" w:hAnsi="宋体" w:cs="宋体"/>
          <w:b/>
          <w:bCs/>
          <w:sz w:val="32"/>
          <w:szCs w:val="32"/>
        </w:rPr>
        <w:t>日    期：202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7</w:t>
      </w:r>
      <w:r>
        <w:rPr>
          <w:rFonts w:hint="eastAsia" w:ascii="宋体" w:hAnsi="宋体" w:cs="宋体"/>
          <w:b/>
          <w:bCs/>
          <w:sz w:val="32"/>
          <w:szCs w:val="32"/>
        </w:rPr>
        <w:t>月</w:t>
      </w:r>
    </w:p>
    <w:p w14:paraId="6331A6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78D2A1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7C1107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4A755A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070D90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60694C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6DD2AE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269E73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p>
    <w:p w14:paraId="7EE997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文新路（文教路-金桥北路）-智能交通</w:t>
      </w:r>
    </w:p>
    <w:p w14:paraId="5A7C55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在线询价</w:t>
      </w:r>
      <w:r>
        <w:rPr>
          <w:rFonts w:hint="eastAsia" w:ascii="宋体" w:hAnsi="宋体" w:eastAsia="宋体" w:cs="宋体"/>
          <w:b/>
          <w:sz w:val="32"/>
          <w:szCs w:val="32"/>
          <w:lang w:eastAsia="zh-CN"/>
        </w:rPr>
        <w:t>商务要求</w:t>
      </w:r>
    </w:p>
    <w:p w14:paraId="5FDA3E78">
      <w:pPr>
        <w:pStyle w:val="30"/>
        <w:rPr>
          <w:rFonts w:hint="eastAsia" w:ascii="宋体" w:hAnsi="宋体" w:eastAsia="宋体" w:cs="宋体"/>
          <w:lang w:eastAsia="zh-CN"/>
        </w:rPr>
      </w:pPr>
    </w:p>
    <w:p w14:paraId="1126016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一、项目概况</w:t>
      </w:r>
    </w:p>
    <w:tbl>
      <w:tblPr>
        <w:tblStyle w:val="24"/>
        <w:tblW w:w="5141" w:type="pct"/>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5"/>
        <w:gridCol w:w="2623"/>
        <w:gridCol w:w="1238"/>
        <w:gridCol w:w="985"/>
        <w:gridCol w:w="2049"/>
        <w:gridCol w:w="1910"/>
      </w:tblGrid>
      <w:tr w14:paraId="0B86F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53" w:type="pct"/>
            <w:tcBorders>
              <w:top w:val="single" w:color="auto" w:sz="4" w:space="0"/>
              <w:left w:val="single" w:color="auto" w:sz="4" w:space="0"/>
              <w:bottom w:val="single" w:color="auto" w:sz="4" w:space="0"/>
              <w:right w:val="single" w:color="auto" w:sz="4" w:space="0"/>
            </w:tcBorders>
            <w:vAlign w:val="center"/>
          </w:tcPr>
          <w:p w14:paraId="05E51234">
            <w:pPr>
              <w:spacing w:before="156" w:line="28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序号</w:t>
            </w:r>
          </w:p>
        </w:tc>
        <w:tc>
          <w:tcPr>
            <w:tcW w:w="1324" w:type="pct"/>
            <w:tcBorders>
              <w:top w:val="single" w:color="auto" w:sz="4" w:space="0"/>
              <w:left w:val="single" w:color="auto" w:sz="4" w:space="0"/>
              <w:bottom w:val="single" w:color="auto" w:sz="4" w:space="0"/>
              <w:right w:val="single" w:color="auto" w:sz="4" w:space="0"/>
            </w:tcBorders>
            <w:vAlign w:val="center"/>
          </w:tcPr>
          <w:p w14:paraId="59811084">
            <w:pPr>
              <w:spacing w:before="156" w:line="28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项目名称</w:t>
            </w:r>
          </w:p>
        </w:tc>
        <w:tc>
          <w:tcPr>
            <w:tcW w:w="625" w:type="pct"/>
            <w:tcBorders>
              <w:top w:val="single" w:color="auto" w:sz="4" w:space="0"/>
              <w:left w:val="single" w:color="auto" w:sz="4" w:space="0"/>
              <w:bottom w:val="single" w:color="auto" w:sz="4" w:space="0"/>
              <w:right w:val="single" w:color="auto" w:sz="4" w:space="0"/>
            </w:tcBorders>
            <w:vAlign w:val="center"/>
          </w:tcPr>
          <w:p w14:paraId="41A07139">
            <w:pPr>
              <w:spacing w:before="156" w:line="28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数量</w:t>
            </w:r>
          </w:p>
        </w:tc>
        <w:tc>
          <w:tcPr>
            <w:tcW w:w="497" w:type="pct"/>
            <w:tcBorders>
              <w:top w:val="single" w:color="auto" w:sz="4" w:space="0"/>
              <w:left w:val="single" w:color="auto" w:sz="4" w:space="0"/>
              <w:bottom w:val="single" w:color="auto" w:sz="4" w:space="0"/>
              <w:right w:val="single" w:color="auto" w:sz="4" w:space="0"/>
            </w:tcBorders>
            <w:vAlign w:val="center"/>
          </w:tcPr>
          <w:p w14:paraId="2249E7AA">
            <w:pPr>
              <w:spacing w:before="156" w:line="28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单位</w:t>
            </w:r>
          </w:p>
        </w:tc>
        <w:tc>
          <w:tcPr>
            <w:tcW w:w="1034" w:type="pct"/>
            <w:tcBorders>
              <w:top w:val="single" w:color="auto" w:sz="4" w:space="0"/>
              <w:left w:val="single" w:color="auto" w:sz="4" w:space="0"/>
              <w:bottom w:val="single" w:color="auto" w:sz="4" w:space="0"/>
              <w:right w:val="single" w:color="auto" w:sz="4" w:space="0"/>
            </w:tcBorders>
            <w:vAlign w:val="center"/>
          </w:tcPr>
          <w:p w14:paraId="08C03973">
            <w:pPr>
              <w:spacing w:before="156" w:line="28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总价最高限价</w:t>
            </w:r>
          </w:p>
        </w:tc>
        <w:tc>
          <w:tcPr>
            <w:tcW w:w="964" w:type="pct"/>
            <w:tcBorders>
              <w:top w:val="single" w:color="auto" w:sz="4" w:space="0"/>
              <w:left w:val="single" w:color="auto" w:sz="4" w:space="0"/>
              <w:bottom w:val="single" w:color="auto" w:sz="4" w:space="0"/>
              <w:right w:val="single" w:color="auto" w:sz="4" w:space="0"/>
            </w:tcBorders>
            <w:vAlign w:val="center"/>
          </w:tcPr>
          <w:p w14:paraId="61F4ED63">
            <w:pPr>
              <w:spacing w:before="156" w:line="28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备注</w:t>
            </w:r>
          </w:p>
        </w:tc>
      </w:tr>
      <w:tr w14:paraId="15309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53" w:type="pct"/>
            <w:tcBorders>
              <w:top w:val="single" w:color="auto" w:sz="4" w:space="0"/>
              <w:left w:val="single" w:color="auto" w:sz="4" w:space="0"/>
              <w:bottom w:val="single" w:color="auto" w:sz="4" w:space="0"/>
              <w:right w:val="single" w:color="auto" w:sz="4" w:space="0"/>
            </w:tcBorders>
            <w:vAlign w:val="center"/>
          </w:tcPr>
          <w:p w14:paraId="49A53286">
            <w:pPr>
              <w:pStyle w:val="12"/>
              <w:spacing w:after="156" w:line="280" w:lineRule="exact"/>
              <w:jc w:val="center"/>
              <w:outlineLvl w:val="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p>
        </w:tc>
        <w:tc>
          <w:tcPr>
            <w:tcW w:w="1324" w:type="pct"/>
            <w:tcBorders>
              <w:top w:val="single" w:color="auto" w:sz="4" w:space="0"/>
              <w:left w:val="single" w:color="auto" w:sz="4" w:space="0"/>
              <w:bottom w:val="single" w:color="auto" w:sz="4" w:space="0"/>
              <w:right w:val="single" w:color="auto" w:sz="4" w:space="0"/>
            </w:tcBorders>
            <w:vAlign w:val="center"/>
          </w:tcPr>
          <w:p w14:paraId="0B8331C8">
            <w:pPr>
              <w:pStyle w:val="12"/>
              <w:spacing w:line="300" w:lineRule="exact"/>
              <w:jc w:val="center"/>
              <w:outlineLvl w:val="0"/>
              <w:rPr>
                <w:rFonts w:hint="eastAsia" w:ascii="宋体" w:hAnsi="宋体" w:eastAsia="宋体" w:cs="宋体"/>
                <w:bCs/>
                <w:kern w:val="2"/>
                <w:sz w:val="24"/>
                <w:szCs w:val="24"/>
                <w:lang w:val="en-US" w:eastAsia="zh-CN" w:bidi="ar-SA"/>
              </w:rPr>
            </w:pPr>
            <w:r>
              <w:rPr>
                <w:rFonts w:hint="eastAsia" w:hAnsi="宋体" w:cs="宋体"/>
                <w:bCs/>
                <w:kern w:val="2"/>
                <w:sz w:val="24"/>
                <w:szCs w:val="24"/>
                <w:lang w:val="en-US" w:eastAsia="zh-CN" w:bidi="ar-SA"/>
              </w:rPr>
              <w:t>文新路（文教路-金桥北路）-智能交通</w:t>
            </w:r>
          </w:p>
        </w:tc>
        <w:tc>
          <w:tcPr>
            <w:tcW w:w="625" w:type="pct"/>
            <w:tcBorders>
              <w:top w:val="single" w:color="auto" w:sz="4" w:space="0"/>
              <w:left w:val="single" w:color="auto" w:sz="4" w:space="0"/>
              <w:bottom w:val="single" w:color="auto" w:sz="4" w:space="0"/>
              <w:right w:val="single" w:color="auto" w:sz="4" w:space="0"/>
            </w:tcBorders>
            <w:vAlign w:val="center"/>
          </w:tcPr>
          <w:p w14:paraId="038111D8">
            <w:pPr>
              <w:pStyle w:val="12"/>
              <w:spacing w:line="300" w:lineRule="exact"/>
              <w:jc w:val="center"/>
              <w:outlineLvl w:val="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p>
        </w:tc>
        <w:tc>
          <w:tcPr>
            <w:tcW w:w="497" w:type="pct"/>
            <w:tcBorders>
              <w:top w:val="single" w:color="auto" w:sz="4" w:space="0"/>
              <w:left w:val="single" w:color="auto" w:sz="4" w:space="0"/>
              <w:bottom w:val="single" w:color="auto" w:sz="4" w:space="0"/>
              <w:right w:val="single" w:color="auto" w:sz="4" w:space="0"/>
            </w:tcBorders>
            <w:vAlign w:val="center"/>
          </w:tcPr>
          <w:p w14:paraId="5B816646">
            <w:pPr>
              <w:pStyle w:val="12"/>
              <w:spacing w:line="300" w:lineRule="exact"/>
              <w:jc w:val="center"/>
              <w:outlineLvl w:val="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批</w:t>
            </w:r>
          </w:p>
        </w:tc>
        <w:tc>
          <w:tcPr>
            <w:tcW w:w="1034" w:type="pct"/>
            <w:tcBorders>
              <w:top w:val="single" w:color="auto" w:sz="4" w:space="0"/>
              <w:left w:val="single" w:color="auto" w:sz="4" w:space="0"/>
              <w:bottom w:val="single" w:color="auto" w:sz="4" w:space="0"/>
              <w:right w:val="single" w:color="auto" w:sz="4" w:space="0"/>
            </w:tcBorders>
            <w:vAlign w:val="center"/>
          </w:tcPr>
          <w:p w14:paraId="057FE7FE">
            <w:pPr>
              <w:pStyle w:val="12"/>
              <w:spacing w:line="300" w:lineRule="exact"/>
              <w:jc w:val="center"/>
              <w:outlineLvl w:val="0"/>
              <w:rPr>
                <w:rFonts w:hint="eastAsia" w:ascii="宋体" w:hAnsi="宋体" w:eastAsia="宋体" w:cs="宋体"/>
                <w:bCs/>
                <w:kern w:val="2"/>
                <w:sz w:val="24"/>
                <w:szCs w:val="24"/>
                <w:lang w:val="en-US" w:eastAsia="zh-CN" w:bidi="ar-SA"/>
              </w:rPr>
            </w:pPr>
            <w:r>
              <w:rPr>
                <w:rFonts w:hint="eastAsia" w:hAnsi="宋体" w:cs="宋体"/>
                <w:i w:val="0"/>
                <w:iCs w:val="0"/>
                <w:color w:val="000000"/>
                <w:kern w:val="0"/>
                <w:sz w:val="22"/>
                <w:szCs w:val="22"/>
                <w:u w:val="none"/>
                <w:lang w:val="en-US" w:eastAsia="zh-CN" w:bidi="ar"/>
              </w:rPr>
              <w:t>214852.98</w:t>
            </w:r>
            <w:r>
              <w:rPr>
                <w:rFonts w:hint="eastAsia" w:ascii="宋体" w:hAnsi="宋体" w:eastAsia="宋体" w:cs="宋体"/>
                <w:bCs/>
                <w:kern w:val="2"/>
                <w:sz w:val="24"/>
                <w:szCs w:val="24"/>
                <w:lang w:val="en-US" w:eastAsia="zh-CN" w:bidi="ar-SA"/>
              </w:rPr>
              <w:t>元</w:t>
            </w:r>
          </w:p>
        </w:tc>
        <w:tc>
          <w:tcPr>
            <w:tcW w:w="964" w:type="pct"/>
            <w:tcBorders>
              <w:top w:val="single" w:color="auto" w:sz="4" w:space="0"/>
              <w:left w:val="single" w:color="auto" w:sz="4" w:space="0"/>
              <w:bottom w:val="single" w:color="auto" w:sz="4" w:space="0"/>
              <w:right w:val="single" w:color="auto" w:sz="4" w:space="0"/>
            </w:tcBorders>
            <w:vAlign w:val="center"/>
          </w:tcPr>
          <w:p w14:paraId="6BB04094">
            <w:pPr>
              <w:pStyle w:val="12"/>
              <w:spacing w:line="300" w:lineRule="exact"/>
              <w:jc w:val="center"/>
              <w:outlineLvl w:val="0"/>
              <w:rPr>
                <w:rFonts w:hint="eastAsia" w:ascii="宋体" w:hAnsi="宋体" w:eastAsia="宋体" w:cs="宋体"/>
                <w:bCs/>
                <w:kern w:val="2"/>
                <w:sz w:val="24"/>
                <w:szCs w:val="24"/>
                <w:lang w:val="en-US" w:eastAsia="zh-CN" w:bidi="ar-SA"/>
              </w:rPr>
            </w:pPr>
          </w:p>
        </w:tc>
      </w:tr>
    </w:tbl>
    <w:p w14:paraId="32E88D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p>
    <w:p w14:paraId="5637D60A">
      <w:pPr>
        <w:keepNext w:val="0"/>
        <w:keepLines w:val="0"/>
        <w:pageBreakBefore w:val="0"/>
        <w:widowControl w:val="0"/>
        <w:kinsoku/>
        <w:wordWrap w:val="0"/>
        <w:overflowPunct/>
        <w:topLinePunct w:val="0"/>
        <w:autoSpaceDE/>
        <w:autoSpaceDN/>
        <w:bidi w:val="0"/>
        <w:adjustRightInd/>
        <w:snapToGrid/>
        <w:spacing w:line="240" w:lineRule="atLeast"/>
        <w:ind w:firstLine="482" w:firstLineChars="200"/>
        <w:jc w:val="lef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二、采购清单</w:t>
      </w:r>
    </w:p>
    <w:tbl>
      <w:tblPr>
        <w:tblStyle w:val="24"/>
        <w:tblW w:w="5133"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163"/>
        <w:gridCol w:w="4029"/>
        <w:gridCol w:w="688"/>
        <w:gridCol w:w="618"/>
        <w:gridCol w:w="1165"/>
        <w:gridCol w:w="1006"/>
        <w:gridCol w:w="729"/>
      </w:tblGrid>
      <w:tr w14:paraId="29FE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C449">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2C5B">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7FBB">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A9C9">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902B">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E3DE">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综合单价限价（元）</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F20B">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合价限价（元）</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7F7B">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D72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865A">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F1D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监控摄像机</w:t>
            </w:r>
          </w:p>
        </w:tc>
        <w:tc>
          <w:tcPr>
            <w:tcW w:w="20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B4EA4">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1、名称：高清网络摄像机</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传感器总像素≥400万像素,自动聚焦、高分辨率彩色一体化摄像机;昼/夜型,540TVL,128X宽动态范围(WDR);视频输出支持1920X1080@60fps,1280X720@60fps,分辨力不小于1100TVL;最低照度彩色0.001Lux,黑白0.0001Lux;红外距离不小于400米;光学变倍≥37倍或更高;同时支持数字高清输出及标清模拟输出;RS422或RS485控制口,支持模拟控制;移动检测,图像增强及电子图像稳定,300个预置位,%%P0.1%%D预置位精度;480%%D/秒水平预置速度和200%%D/秒垂直预置速度;水平移动速度0.1到150%%D/秒;支持三码流同时输出,主码流、第三码流同时支持1920X1080@60fps,1280X720@60fps;支持云台优先级控制,485与网络可设置不同优先级;支持区域入侵、越界入侵、徘徊、物品遗留、物品移除、音频异常、人脸检测、人员聚集、快速移动、进入区域、离开区域,并联动报警;支持车牌识别</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978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986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DC09">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8489.38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451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33957.52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0C4F">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p>
        </w:tc>
      </w:tr>
      <w:tr w14:paraId="1969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57AA">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F4C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机箱（柜）</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5398">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1、名称：抱杆机箱</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2、规格：箱体尺寸W×D×H=400×300×550mm,304不锈钢钢板制作,箱体、方孔条、托盘1.5mm厚,箱门2mm厚;室外型,含小型断路器、空开等附件,带门锁、新型门轴;要求单面开门,箱体颜色与周边交通</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DC8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87D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A61A">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732.50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055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2930.00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BA15">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p>
        </w:tc>
      </w:tr>
      <w:tr w14:paraId="07A7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C281">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5FA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电源避雷器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EFFF">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1、名称：稳压电源1000w 220v单相</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AC5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只</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04B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1B2C">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432.50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E74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1730.00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23CE">
            <w:pPr>
              <w:keepNext w:val="0"/>
              <w:keepLines w:val="0"/>
              <w:pageBreakBefore w:val="0"/>
              <w:widowControl/>
              <w:suppressLineNumbers w:val="0"/>
              <w:kinsoku/>
              <w:wordWrap w:val="0"/>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2"/>
                <w:szCs w:val="22"/>
                <w:u w:val="none"/>
              </w:rPr>
            </w:pPr>
          </w:p>
        </w:tc>
      </w:tr>
      <w:tr w14:paraId="2DA2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52BD">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D71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数据防雷器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BD64">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1、名称：摄像机电源 AC24V/3A</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777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只</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471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C99F">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315.07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3237">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1260.28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560E">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7998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C758">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CE9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数据防雷器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CEA">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1、名称：网络信号防雷器RJ-45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1F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只</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BC3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C88B">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452.68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A03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1810.72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4FFB">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4C8F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BEF6">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C1B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数据防雷器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DE99">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1、名称：低压电源防雷器 SP-24DC10-2P</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73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只</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A85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E28C">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452.68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63C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1810.72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DB47">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C15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5192">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012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光端机</w:t>
            </w:r>
          </w:p>
        </w:tc>
        <w:tc>
          <w:tcPr>
            <w:tcW w:w="2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AC71">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1、名称：中继光端机</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2路以上视频,2路数据(包含RS232/422等数据接口),2个千兆网口;视频指标:视频输入/输出阻抗75Ω(非平衡),视频输入/输出电压典型峰值1.0V,最大1.5V,频率响应5Hz~7.5MHz,微分增益(10-90%APL)&lt;1%%D(典型值),微分相位(10-90%APL)&lt;1%%D(典型值),信噪比70dB(加权);数据指标:速率0~115.2kbs,电平标准RS-232,RS485,RS-422,曼码速率0~100Mbps(Ethernet),误码率10-9;一般指标:工作度-40℃~+74℃;存放温度-40℃~+85℃;工作湿度0~95%无冷凝;平均无故障时间(MTBF)10万小时以上</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224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5BA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7A7E">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2232.50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C034">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8930.00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55CE">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A76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4CDA">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214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收发器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735B">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1、名称：光纤终端盒</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2、规格：4口FC光缆终端盒,含4只FC型光纤适配器,4条FC单芯单模光纤尾纤,1条FC-FC单芯单模光纤跳线,光纤熔接</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342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EB5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C16D">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932.50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4F2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3730.00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AEBD">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D0A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1B21">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099A">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标杆</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3AA4">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1.类型:类型:φ219×10L型长悬臂立杆;材质:无缝钢管;规格:高度10米,悬臂挑长6米;油漆:热浸镀锌后亚光喷漆处理;接地:25x4接地扁钢焊接L50x5x2500热镀锌角钢接地极;</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2.基础、垫层：基础:1100×1100×1500mmC25混凝土基础浇筑,基础开挖、回填、废弃料外运、基础浇筑、浇捣</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32AA">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81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2811">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7589.13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140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30356.52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1301">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4F5E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2427">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08E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电缆</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AC1F">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铜芯电力电缆敷设 YJV22-0.6/1kV-3×6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1EA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m</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DF2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9BC4">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22.14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217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8858.00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06DA">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7C7A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C5A7">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78D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电缆终端头</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6FEB">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干包式电力电缆终端头制作、安装 1kV以下（截面mm2以内）35~10mm2及以下三芯及以上铜芯电力电缆头敷设</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7EB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754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E34E">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493.62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2FD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987.24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D06D">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C1F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E9EA">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676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配线</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C939">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1、名称：穿多芯软导线 RVV-3*1.5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488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m</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A70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1657">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8.39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162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3358.00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5B40">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5A0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0936">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793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光缆</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DF4B">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管内穿线 4芯室外单模光缆</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9A2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m</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2AB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648D">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5.60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DF6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2242.00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6C9A">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4562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B4FF">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53D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配线</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C7E8">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管内穿线 六类阻水网线</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635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m</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3CE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2108">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6.95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DB8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2782.00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893">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39FF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50BD">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E93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安装监控辅材</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73CA">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安装监控辅材</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D47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84E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B74">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1330.00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A9B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1330.00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9D12">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16D6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4F60">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BE9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存储设备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38FF">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1、名称：存储设备</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2、规格：高性能64位处理器,32G缓存,2个管理网络接口,单节点最大可提供216TB的存储容量,数据网络支持1Gb/10Gb/56Gb IB/100Gb IB/100Gb OPA,1+1冗余电源,内嵌高性能数据存取引擎,用于并行处理所有客户端的数据访问请求,内嵌高性能数据恢复引擎,支持节点间replication(多副本)/N+M(纠删码)数据冗余方式;对外提供FTP、NFS、CIFS、POSIX、HDFS、S3/Swift、RDMA等接口;存储节点采用传统的X86架构,单个存储系统可扩展到≥4096个存储节点;单一文件系统容量支持≥10PB;增加存储节点后,存储节点可自动实现数据负载均衡;存储容量扩展的同时,系统数据吞吐能力也线性增长;支持N+M纠删码数据保护,M可选1、2、4;数据保护不依赖磁盘RAID保护;全系统无单点故障;任意单个节点失效时,服务不停止,数据不丢失,支持磁盘坏道自动检测和自动纠错;NAS机头支持虚IP漂移;双口10G多模光纤网卡;双口10G多模光纤网卡(内部网络);IP负载均衡功能,公安内网告警推送功能,且可实现NAS写入HTTP读取等灵活选择方式。需要与交警大队原有的存储系统无缝对接,实现兼容</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1FD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9C3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C20A">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35930.00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7F9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35930.00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235">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B3F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A455">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4493">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网络服务器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FCC0">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1、名称：服务器</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2、规格：2\2个Intel Xeon E5-2609四核2.4GHz,三级缓存4M以上;16GB内存(ECCDDR3),可支持12个内存插槽以上;2个2.5英寸 146G 15000转SAS硬盘,及1个智能阵列控制器;1个4端口千兆网络适配器,集成iLO4远程管理端口;3个以上PCI扩展插槽;标准的串口、并口、SAS接口、2个以上USB 2.0接口;冗余电源,460W热插拔电源;机架式安装</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C68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台套</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E63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02CF">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7930.00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594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7930.00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EDD">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743C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F3F4">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ECA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企业级硬盘</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B906">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 xml:space="preserve">1、名称：企业级硬盘  </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2、规格：6TB/128MB(12GB/秒 NCQ)/7200RPM/SAS 3.5HDD</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76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块</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254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4222">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1527.50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16B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18330.00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EF74">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2FDB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211F">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AA94">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输入设备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8C8D">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1、名称：1光8电传输设备</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2、规格：H8口百兆光纤收发器工业导轨式发送机;光口:1个百兆光口,距离20公里,LC口,单模单纤;电口:8个百兆网口;安装方式:工业导轨式</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424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3B1A">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A853">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1116.25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A92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8930.00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B83F">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4112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F1AB">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BD4A">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交换机</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97EA">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1、名称：汇聚交换机</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支持24个10/100M自适应以太网RJ45接口,4个千兆SFP扩展槽,支持MR-Ring快速环网(自愈时间&lt;20ms),兼容STP/RSTP/MSTP生成树协议;支持ACL,对L2-L4层数据进行过滤;支持QoS,基于端口的流量监管,WRR、DRR、SP、队列调度算法、报文的802.1p;支持静态路由、策略路由、RIPV1/2、OSPF、IS-IS、BGP、虚拟路由冗余协议VRRP;支持IP组播PIM-SM、PIM-DM;支持IPv6路由OSPFv3、BGP4、SISv6,背板带宽13Gbps,包转发速率9.6Mpps,包缓存区10Mbit;宽×高×深:482.6×44×340mm,MTBF不小于</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350000小时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5E9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台套</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1453">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9309">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3965.00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AA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7930.00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5F6B">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1A3A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F28D">
            <w:pPr>
              <w:keepNext w:val="0"/>
              <w:keepLines w:val="0"/>
              <w:pageBreakBefore w:val="0"/>
              <w:widowControl/>
              <w:suppressLineNumbers w:val="0"/>
              <w:kinsoku/>
              <w:wordWrap w:val="0"/>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8C4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光缆接入点</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5672">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color w:val="000000"/>
                <w:sz w:val="18"/>
                <w:szCs w:val="24"/>
                <w:lang w:val="en-US" w:eastAsia="zh-CN"/>
              </w:rPr>
            </w:pPr>
            <w:r>
              <w:rPr>
                <w:rFonts w:hint="eastAsia" w:ascii="宋体" w:hAnsi="宋体"/>
                <w:color w:val="000000"/>
                <w:sz w:val="18"/>
                <w:szCs w:val="24"/>
                <w:lang w:val="en-US" w:eastAsia="zh-CN"/>
              </w:rPr>
              <w:t>VPN链路租用，租期三年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F39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217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AF20">
            <w:pPr>
              <w:keepNext w:val="0"/>
              <w:keepLines w:val="0"/>
              <w:pageBreakBefore w:val="0"/>
              <w:kinsoku/>
              <w:wordWrap w:val="0"/>
              <w:overflowPunct/>
              <w:topLinePunct w:val="0"/>
              <w:autoSpaceDE/>
              <w:autoSpaceDN/>
              <w:bidi w:val="0"/>
              <w:adjustRightInd/>
              <w:snapToGrid/>
              <w:spacing w:line="240" w:lineRule="atLeast"/>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 xml:space="preserve">7432.50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A18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29730.00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380F">
            <w:pPr>
              <w:keepNext w:val="0"/>
              <w:keepLines w:val="0"/>
              <w:pageBreakBefore w:val="0"/>
              <w:kinsoku/>
              <w:wordWrap w:val="0"/>
              <w:overflowPunct/>
              <w:topLinePunct w:val="0"/>
              <w:autoSpaceDE/>
              <w:autoSpaceDN/>
              <w:bidi w:val="0"/>
              <w:adjustRightInd/>
              <w:snapToGrid/>
              <w:spacing w:line="240" w:lineRule="atLeast"/>
              <w:rPr>
                <w:rFonts w:hint="eastAsia" w:ascii="宋体" w:hAnsi="宋体" w:eastAsia="宋体" w:cs="宋体"/>
                <w:i w:val="0"/>
                <w:iCs w:val="0"/>
                <w:color w:val="000000"/>
                <w:sz w:val="22"/>
                <w:szCs w:val="22"/>
                <w:u w:val="none"/>
              </w:rPr>
            </w:pPr>
          </w:p>
        </w:tc>
      </w:tr>
      <w:tr w14:paraId="0EB6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D3572">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bCs/>
                <w:sz w:val="22"/>
                <w:szCs w:val="22"/>
                <w:lang w:val="zh-CN"/>
              </w:rPr>
              <w:t>总价</w:t>
            </w:r>
            <w:r>
              <w:rPr>
                <w:rFonts w:hint="eastAsia" w:ascii="宋体" w:hAnsi="宋体" w:eastAsia="宋体" w:cs="宋体"/>
                <w:b/>
                <w:bCs/>
                <w:sz w:val="22"/>
                <w:szCs w:val="22"/>
                <w:lang w:val="en-US" w:eastAsia="zh-CN"/>
              </w:rPr>
              <w:t>最高限价（元）</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07F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214852.98</w:t>
            </w:r>
          </w:p>
        </w:tc>
      </w:tr>
    </w:tbl>
    <w:p w14:paraId="55A207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二、资质要求</w:t>
      </w:r>
    </w:p>
    <w:p w14:paraId="35AACA6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基本要求：</w:t>
      </w:r>
    </w:p>
    <w:p w14:paraId="5E903484">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投标人须符合《中华人民共和国政府采购法》第二十二条之规定，在中华人民共和国境内注册的，具有</w:t>
      </w:r>
      <w:r>
        <w:rPr>
          <w:rFonts w:hint="eastAsia" w:ascii="宋体" w:hAnsi="宋体" w:eastAsia="宋体" w:cs="宋体"/>
          <w:sz w:val="24"/>
          <w:szCs w:val="24"/>
          <w:lang w:val="en-US" w:eastAsia="zh-CN"/>
        </w:rPr>
        <w:t>提供给</w:t>
      </w: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能力的独立法人企业；</w:t>
      </w:r>
    </w:p>
    <w:p w14:paraId="342CEFB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未被“信用中国”（www.creditchina.gov.cn）、中国政府采购网（www.ccgp.gov.cn）列入失信被执行人、重大税收违法案件当事人名单、政府采购严重违法失信行为记录名单； </w:t>
      </w:r>
    </w:p>
    <w:p w14:paraId="2703A54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单位负责人为同一人或者存在直接控股、管理关系的不同供应商参加同一合同项下的政府采购活动的（均无效）。</w:t>
      </w:r>
    </w:p>
    <w:p w14:paraId="0481F62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本项目不接受联合体投标。</w:t>
      </w:r>
    </w:p>
    <w:p w14:paraId="376F1D94">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在富阳区区域范围内具有全面网络覆盖的网络运营单位。</w:t>
      </w:r>
    </w:p>
    <w:p w14:paraId="5369E931">
      <w:pPr>
        <w:spacing w:line="44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证明材料：</w:t>
      </w:r>
      <w:r>
        <w:rPr>
          <w:rFonts w:hint="eastAsia" w:ascii="宋体" w:hAnsi="宋体" w:eastAsia="宋体" w:cs="宋体"/>
          <w:b/>
          <w:bCs/>
          <w:sz w:val="24"/>
          <w:szCs w:val="24"/>
        </w:rPr>
        <w:t>参与报价的供应商须提供</w:t>
      </w:r>
      <w:r>
        <w:rPr>
          <w:rFonts w:hint="eastAsia" w:ascii="宋体" w:hAnsi="宋体" w:eastAsia="宋体" w:cs="宋体"/>
          <w:b/>
          <w:bCs/>
          <w:color w:val="auto"/>
          <w:sz w:val="24"/>
          <w:szCs w:val="24"/>
        </w:rPr>
        <w:t>营业执照复印件、报价一览表（格式详见附件）</w:t>
      </w:r>
      <w:r>
        <w:rPr>
          <w:rFonts w:hint="eastAsia" w:ascii="宋体" w:hAnsi="宋体" w:eastAsia="宋体" w:cs="宋体"/>
          <w:b/>
          <w:bCs/>
          <w:color w:val="auto"/>
          <w:sz w:val="24"/>
          <w:szCs w:val="24"/>
          <w:lang w:eastAsia="zh-CN"/>
        </w:rPr>
        <w:t>、承诺书（</w:t>
      </w:r>
      <w:r>
        <w:rPr>
          <w:rFonts w:hint="eastAsia" w:ascii="宋体" w:hAnsi="宋体" w:eastAsia="宋体" w:cs="宋体"/>
          <w:b/>
          <w:bCs/>
          <w:color w:val="auto"/>
          <w:sz w:val="24"/>
          <w:szCs w:val="24"/>
        </w:rPr>
        <w:t>格式详见附件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和在富阳区区域范围内具有全面网络覆盖的网络运营单位证明材料。</w:t>
      </w:r>
    </w:p>
    <w:p w14:paraId="1B55AD81">
      <w:pPr>
        <w:spacing w:line="44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以</w:t>
      </w:r>
      <w:r>
        <w:rPr>
          <w:rFonts w:hint="eastAsia" w:ascii="宋体" w:hAnsi="宋体" w:eastAsia="宋体" w:cs="宋体"/>
          <w:b/>
          <w:bCs/>
          <w:sz w:val="24"/>
          <w:szCs w:val="24"/>
        </w:rPr>
        <w:t>上资料需加盖公章，所提供的资料必须真实有效，若发现弄虚作假则取消投标资格；未上传（或上传不齐全）以上资料，</w:t>
      </w:r>
      <w:r>
        <w:rPr>
          <w:rFonts w:hint="eastAsia" w:ascii="宋体" w:hAnsi="宋体" w:eastAsia="宋体" w:cs="宋体"/>
          <w:b/>
          <w:bCs/>
          <w:sz w:val="24"/>
          <w:szCs w:val="24"/>
          <w:highlight w:val="none"/>
        </w:rPr>
        <w:t>响应无效，取消中标资格。投标人投标报价以及提供材料均应依据本商务需求要求，资料弄虚作假、随意乱报价、未及时配合招标人签订合同等情形，取消中标资格。</w:t>
      </w:r>
    </w:p>
    <w:p w14:paraId="107B5C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三、工期、进场时间、交货时间、地点及要求</w:t>
      </w:r>
    </w:p>
    <w:p w14:paraId="0B9F03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中标人须保证所供产品全新、正宗、原包装（须按要求新生产的货物），并符合国家强制性标准，至用户手中时不拆封。提供货物时须提供制造商出具的保修卡、中文汉语说明书。严禁使用质量不合格或不符合设计要求的材料，否则投标人必须承担由此产生的一切责任。</w:t>
      </w:r>
    </w:p>
    <w:p w14:paraId="130070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5B650A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3.签订合同后，中标人按照其与采购人的事先约定，将所供货物上门送货至采购人指定地点后拆箱，并负责安装调试，正常运行后交用户单位验收。</w:t>
      </w:r>
    </w:p>
    <w:p w14:paraId="6CF5A7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4.合同签订后，15天内按照投标文件实施进度表完成供货、设备安装与调试。</w:t>
      </w:r>
    </w:p>
    <w:p w14:paraId="2EC5A4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5.设备安装调试完毕后，能在其功能范围内保障用户的系统安全、稳定运行。</w:t>
      </w:r>
    </w:p>
    <w:p w14:paraId="7C62CDD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服务期及售后服务保障要求</w:t>
      </w:r>
    </w:p>
    <w:p w14:paraId="70FB1A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1.从验收合格之日起，本项目设备整体服务期（质保期）为</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年，并提供7×24小时的电话技术支持和7×12小时的免费上门现场技术服务。</w:t>
      </w:r>
    </w:p>
    <w:p w14:paraId="10656A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2.服务期内的维修费用（包括配件）全部由中标人负责，质保期后的维修酌情以成本价收费。</w:t>
      </w:r>
    </w:p>
    <w:p w14:paraId="0A5F1C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3.在服务期内中标人不得以任何理由影响用户的正常使用。中标人必须对所供产品实行终身维修。</w:t>
      </w:r>
    </w:p>
    <w:p w14:paraId="42FE31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在项目的正常周期内，提供多种方式的技术支持。提供上门维护、升级服务，接到电话后1小时内响应，4小时以内到现场处理，24小时内修复，现场不能修复的，必须采取无偿提供备品、备件或备机等补救措施，以保证使用方的正常工作，中标人有其它服务承诺的，一并履行。</w:t>
      </w:r>
    </w:p>
    <w:p w14:paraId="63EFAD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w:t>
      </w: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lang w:eastAsia="zh-CN"/>
        </w:rPr>
        <w:t>年服务期满后且采购人支付完成全部款项后，项目智能化设备</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lang w:eastAsia="zh-CN"/>
        </w:rPr>
        <w:t>采购人所有，服务期截止前一个月，投标人应提供相关报告确保设备都能正常运行。</w:t>
      </w:r>
    </w:p>
    <w:p w14:paraId="43E19F1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报价说明</w:t>
      </w:r>
    </w:p>
    <w:p w14:paraId="5666446A">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highlight w:val="none"/>
          <w:lang w:val="en-US" w:eastAsia="zh-CN" w:bidi="ar-SA"/>
        </w:rPr>
        <w:t>本项目设有最高限价，最高限价为</w:t>
      </w:r>
      <w:r>
        <w:rPr>
          <w:rFonts w:hint="eastAsia" w:hAnsi="宋体" w:cs="宋体"/>
          <w:color w:val="auto"/>
          <w:kern w:val="2"/>
          <w:sz w:val="24"/>
          <w:szCs w:val="24"/>
          <w:highlight w:val="none"/>
          <w:u w:val="single"/>
          <w:lang w:val="en-US" w:eastAsia="zh-CN" w:bidi="ar-SA"/>
        </w:rPr>
        <w:t>214852.98</w:t>
      </w:r>
      <w:r>
        <w:rPr>
          <w:rFonts w:hint="eastAsia" w:ascii="宋体" w:hAnsi="宋体" w:eastAsia="宋体" w:cs="宋体"/>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w:t>
      </w:r>
    </w:p>
    <w:p w14:paraId="20CDAE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2.报价包括运输装卸费、保险费、安装调试费、材料费、人工费、管理费、利润、税费等所有费用。</w:t>
      </w:r>
    </w:p>
    <w:p w14:paraId="3EC9FD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w:t>
      </w:r>
      <w:bookmarkStart w:id="0" w:name="_GoBack"/>
      <w:r>
        <w:rPr>
          <w:rFonts w:hint="eastAsia" w:ascii="宋体" w:hAnsi="宋体" w:eastAsia="宋体" w:cs="宋体"/>
          <w:b/>
          <w:bCs/>
          <w:color w:val="auto"/>
          <w:sz w:val="24"/>
          <w:szCs w:val="24"/>
          <w:lang w:eastAsia="zh-CN"/>
        </w:rPr>
        <w:t>履约保证金</w:t>
      </w:r>
      <w:bookmarkEnd w:id="0"/>
      <w:r>
        <w:rPr>
          <w:rFonts w:hint="eastAsia" w:ascii="宋体" w:hAnsi="宋体" w:eastAsia="宋体" w:cs="宋体"/>
          <w:b/>
          <w:bCs/>
          <w:color w:val="auto"/>
          <w:sz w:val="24"/>
          <w:szCs w:val="24"/>
          <w:highlight w:val="none"/>
          <w:lang w:eastAsia="zh-CN"/>
        </w:rPr>
        <w:t>：按合同总价</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lang w:eastAsia="zh-CN"/>
        </w:rPr>
        <w:t>计取</w:t>
      </w:r>
      <w:r>
        <w:rPr>
          <w:rFonts w:hint="eastAsia" w:ascii="宋体" w:hAnsi="宋体" w:eastAsia="宋体" w:cs="宋体"/>
          <w:b w:val="0"/>
          <w:bCs w:val="0"/>
          <w:color w:val="auto"/>
          <w:sz w:val="24"/>
          <w:szCs w:val="24"/>
          <w:highlight w:val="none"/>
          <w:lang w:eastAsia="zh-CN"/>
        </w:rPr>
        <w:t>。合同履行完毕（验收合格或承诺的免费保修期满或服务期结束）后且无质量问题，采购人在一个月内无息退还。</w:t>
      </w:r>
    </w:p>
    <w:p w14:paraId="6FC64D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、结算与支付：</w:t>
      </w:r>
    </w:p>
    <w:p w14:paraId="192B8E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货到并安装调试完成后支付至合同总价</w:t>
      </w:r>
      <w:r>
        <w:rPr>
          <w:rFonts w:hint="eastAsia" w:ascii="宋体" w:hAnsi="宋体" w:eastAsia="宋体" w:cs="宋体"/>
          <w:bCs/>
          <w:kern w:val="2"/>
          <w:sz w:val="24"/>
          <w:szCs w:val="24"/>
          <w:highlight w:val="none"/>
          <w:lang w:val="en-US" w:eastAsia="zh-CN" w:bidi="ar-SA"/>
        </w:rPr>
        <w:t>的60%，；终验合格后的7个工作日内，支付至合同金额的75%,并在一周内无息返还履约保</w:t>
      </w:r>
      <w:r>
        <w:rPr>
          <w:rFonts w:hint="eastAsia" w:ascii="宋体" w:hAnsi="宋体" w:eastAsia="宋体" w:cs="宋体"/>
          <w:bCs/>
          <w:kern w:val="2"/>
          <w:sz w:val="24"/>
          <w:szCs w:val="24"/>
          <w:lang w:val="en-US" w:eastAsia="zh-CN" w:bidi="ar-SA"/>
        </w:rPr>
        <w:t>证金；项目审计报告出具日后的7个工作日内，支付至审计金额的95%；剩余审计金额的5%作为质保金，质保期三年，在质保期结束后的7个工作日内付清。各阶段付款必须在乙方提供相应正规发票后支付。</w:t>
      </w:r>
    </w:p>
    <w:p w14:paraId="178AD94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服务合同</w:t>
      </w:r>
    </w:p>
    <w:p w14:paraId="3C800CD4">
      <w:pPr>
        <w:snapToGrid w:val="0"/>
        <w:spacing w:beforeLines="0" w:line="600" w:lineRule="exact"/>
        <w:jc w:val="center"/>
        <w:rPr>
          <w:rFonts w:hint="eastAsia" w:ascii="仿宋_GB2312" w:hAnsi="仿宋" w:eastAsia="仿宋_GB2312"/>
          <w:b/>
          <w:bCs/>
          <w:color w:val="000000"/>
          <w:sz w:val="36"/>
          <w:szCs w:val="36"/>
        </w:rPr>
      </w:pPr>
      <w:r>
        <w:rPr>
          <w:rFonts w:hint="eastAsia" w:ascii="仿宋_GB2312" w:hAnsi="仿宋" w:eastAsia="仿宋_GB2312"/>
          <w:b/>
          <w:bCs/>
          <w:color w:val="000000"/>
          <w:sz w:val="36"/>
          <w:szCs w:val="36"/>
        </w:rPr>
        <w:t>杭州市富阳区国资（</w:t>
      </w:r>
      <w:r>
        <w:rPr>
          <w:rFonts w:hint="eastAsia" w:ascii="仿宋_GB2312" w:hAnsi="仿宋" w:eastAsia="仿宋_GB2312"/>
          <w:b/>
          <w:bCs/>
          <w:color w:val="000000"/>
          <w:sz w:val="36"/>
          <w:szCs w:val="36"/>
          <w:lang w:val="en-US" w:eastAsia="zh-CN"/>
        </w:rPr>
        <w:t>非</w:t>
      </w:r>
      <w:r>
        <w:rPr>
          <w:rFonts w:hint="eastAsia" w:ascii="仿宋_GB2312" w:hAnsi="仿宋" w:eastAsia="仿宋_GB2312"/>
          <w:b/>
          <w:bCs/>
          <w:color w:val="000000"/>
          <w:sz w:val="36"/>
          <w:szCs w:val="36"/>
        </w:rPr>
        <w:t>政府）采购合同主要条款</w:t>
      </w:r>
    </w:p>
    <w:p w14:paraId="18DB556E">
      <w:pPr>
        <w:widowControl/>
        <w:wordWrap w:val="0"/>
        <w:topLinePunct/>
        <w:adjustRightInd w:val="0"/>
        <w:jc w:val="center"/>
        <w:textAlignment w:val="baseline"/>
        <w:rPr>
          <w:rFonts w:hint="eastAsia" w:ascii="仿宋" w:hAnsi="仿宋" w:eastAsia="仿宋" w:cs="仿宋"/>
          <w:sz w:val="22"/>
          <w:szCs w:val="22"/>
        </w:rPr>
      </w:pPr>
      <w:r>
        <w:rPr>
          <w:rFonts w:hint="eastAsia" w:ascii="仿宋" w:hAnsi="仿宋" w:eastAsia="仿宋" w:cs="仿宋"/>
          <w:kern w:val="0"/>
          <w:sz w:val="24"/>
          <w:szCs w:val="24"/>
        </w:rPr>
        <w:t>（本合同为合</w:t>
      </w:r>
      <w:r>
        <w:rPr>
          <w:rFonts w:hint="eastAsia" w:ascii="仿宋" w:hAnsi="仿宋" w:eastAsia="仿宋" w:cs="仿宋"/>
          <w:color w:val="auto"/>
          <w:kern w:val="0"/>
          <w:sz w:val="24"/>
          <w:szCs w:val="24"/>
        </w:rPr>
        <w:t>同样稿，最终稿由</w:t>
      </w:r>
      <w:r>
        <w:rPr>
          <w:rFonts w:hint="eastAsia" w:ascii="仿宋" w:hAnsi="仿宋" w:eastAsia="仿宋" w:cs="仿宋"/>
          <w:color w:val="auto"/>
          <w:kern w:val="0"/>
          <w:sz w:val="24"/>
          <w:szCs w:val="24"/>
          <w:lang w:eastAsia="zh-CN"/>
        </w:rPr>
        <w:t>双</w:t>
      </w:r>
      <w:r>
        <w:rPr>
          <w:rFonts w:hint="eastAsia" w:ascii="仿宋" w:hAnsi="仿宋" w:eastAsia="仿宋" w:cs="仿宋"/>
          <w:color w:val="auto"/>
          <w:kern w:val="0"/>
          <w:sz w:val="24"/>
          <w:szCs w:val="24"/>
        </w:rPr>
        <w:t>方协商后确</w:t>
      </w:r>
      <w:r>
        <w:rPr>
          <w:rFonts w:hint="eastAsia" w:ascii="仿宋" w:hAnsi="仿宋" w:eastAsia="仿宋" w:cs="仿宋"/>
          <w:kern w:val="0"/>
          <w:sz w:val="24"/>
          <w:szCs w:val="24"/>
        </w:rPr>
        <w:t>定）</w:t>
      </w:r>
    </w:p>
    <w:p w14:paraId="76CA7C41">
      <w:pPr>
        <w:pageBreakBefore w:val="0"/>
        <w:kinsoku/>
        <w:wordWrap/>
        <w:topLinePunct w:val="0"/>
        <w:bidi w:val="0"/>
        <w:spacing w:beforeLines="0" w:line="360" w:lineRule="auto"/>
        <w:ind w:firstLine="480" w:firstLineChars="200"/>
        <w:rPr>
          <w:rFonts w:ascii="仿宋" w:hAnsi="仿宋" w:eastAsia="仿宋"/>
        </w:rPr>
      </w:pPr>
      <w:r>
        <w:rPr>
          <w:rFonts w:hint="eastAsia" w:ascii="仿宋" w:hAnsi="仿宋" w:eastAsia="仿宋"/>
          <w:sz w:val="24"/>
          <w:szCs w:val="24"/>
        </w:rPr>
        <w:t>合同将由</w:t>
      </w:r>
      <w:r>
        <w:rPr>
          <w:rFonts w:hint="eastAsia" w:ascii="仿宋" w:hAnsi="仿宋" w:eastAsia="仿宋"/>
          <w:sz w:val="24"/>
          <w:szCs w:val="24"/>
          <w:lang w:eastAsia="zh-CN"/>
        </w:rPr>
        <w:t>杭州富阳城市建设投资集团有限公司</w:t>
      </w:r>
      <w:r>
        <w:rPr>
          <w:rFonts w:hint="eastAsia" w:ascii="仿宋" w:hAnsi="仿宋" w:eastAsia="仿宋"/>
          <w:sz w:val="24"/>
          <w:szCs w:val="24"/>
        </w:rPr>
        <w:t xml:space="preserve"> （以下简称甲方）与经评审最终确定的中标人（以下简称乙方）结合本项目具体情况协商后签订。以下为合同样稿。</w:t>
      </w:r>
    </w:p>
    <w:p w14:paraId="5F4AECD7">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甲  方（采购人）：</w:t>
      </w:r>
      <w:r>
        <w:rPr>
          <w:rFonts w:hint="eastAsia" w:ascii="仿宋" w:hAnsi="仿宋" w:eastAsia="仿宋" w:cs="仿宋"/>
          <w:bCs/>
          <w:kern w:val="0"/>
          <w:sz w:val="24"/>
          <w:szCs w:val="24"/>
          <w:lang w:eastAsia="zh-CN"/>
        </w:rPr>
        <w:t>杭州富阳城市建设投资集团有限公司</w:t>
      </w:r>
      <w:r>
        <w:rPr>
          <w:rFonts w:hint="eastAsia" w:ascii="仿宋" w:hAnsi="仿宋" w:eastAsia="仿宋" w:cs="仿宋"/>
          <w:bCs/>
          <w:kern w:val="0"/>
          <w:sz w:val="24"/>
          <w:szCs w:val="24"/>
        </w:rPr>
        <w:t xml:space="preserve"> </w:t>
      </w:r>
    </w:p>
    <w:p w14:paraId="09154E71">
      <w:pPr>
        <w:widowControl/>
        <w:overflowPunct w:val="0"/>
        <w:autoSpaceDE w:val="0"/>
        <w:autoSpaceDN w:val="0"/>
        <w:adjustRightInd w:val="0"/>
        <w:snapToGrid w:val="0"/>
        <w:spacing w:line="440" w:lineRule="exact"/>
        <w:ind w:firstLine="470" w:firstLineChars="196"/>
        <w:jc w:val="left"/>
        <w:textAlignment w:val="baseline"/>
        <w:rPr>
          <w:rFonts w:hint="default" w:ascii="仿宋" w:hAnsi="仿宋" w:eastAsia="仿宋" w:cs="仿宋"/>
          <w:bCs/>
          <w:kern w:val="0"/>
          <w:sz w:val="24"/>
          <w:szCs w:val="24"/>
          <w:lang w:val="en-US"/>
        </w:rPr>
      </w:pPr>
      <w:r>
        <w:rPr>
          <w:rFonts w:hint="eastAsia" w:ascii="仿宋" w:hAnsi="仿宋" w:eastAsia="仿宋" w:cs="仿宋"/>
          <w:bCs/>
          <w:color w:val="000000"/>
          <w:kern w:val="0"/>
          <w:sz w:val="24"/>
          <w:szCs w:val="24"/>
        </w:rPr>
        <w:t>乙  方（中标方）：</w:t>
      </w:r>
      <w:r>
        <w:rPr>
          <w:rFonts w:hint="eastAsia" w:ascii="仿宋" w:hAnsi="仿宋" w:eastAsia="仿宋" w:cs="仿宋"/>
          <w:bCs/>
          <w:kern w:val="0"/>
          <w:sz w:val="24"/>
          <w:szCs w:val="24"/>
          <w:lang w:val="en-US" w:eastAsia="zh-CN"/>
        </w:rPr>
        <w:t xml:space="preserve"> </w:t>
      </w:r>
    </w:p>
    <w:p w14:paraId="4FF0B319">
      <w:pPr>
        <w:pStyle w:val="12"/>
        <w:adjustRightInd w:val="0"/>
        <w:snapToGrid w:val="0"/>
        <w:spacing w:beforeLines="0" w:afterLines="0" w:line="440" w:lineRule="exact"/>
        <w:ind w:firstLine="415" w:firstLineChars="198"/>
        <w:rPr>
          <w:rFonts w:hint="eastAsia" w:ascii="仿宋" w:hAnsi="仿宋" w:eastAsia="仿宋" w:cs="仿宋"/>
        </w:rPr>
      </w:pPr>
      <w:r>
        <w:rPr>
          <w:rFonts w:hint="eastAsia" w:ascii="仿宋" w:hAnsi="仿宋" w:eastAsia="仿宋" w:cs="仿宋"/>
        </w:rPr>
        <w:t>经过公开招标采购（编号：*****</w:t>
      </w:r>
      <w:r>
        <w:rPr>
          <w:rFonts w:hint="eastAsia" w:ascii="仿宋" w:hAnsi="仿宋" w:eastAsia="仿宋" w:cs="仿宋"/>
          <w:bCs/>
          <w:kern w:val="0"/>
          <w:sz w:val="24"/>
          <w:szCs w:val="24"/>
          <w:lang w:val="en-US" w:eastAsia="zh-CN" w:bidi="ar-SA"/>
        </w:rPr>
        <w:t xml:space="preserve"> </w:t>
      </w:r>
      <w:r>
        <w:rPr>
          <w:rFonts w:hint="eastAsia" w:ascii="仿宋" w:hAnsi="仿宋" w:eastAsia="仿宋" w:cs="仿宋"/>
        </w:rPr>
        <w:t>），确定*******为中标单位，甲、乙双方经协商，达成以下条款：</w:t>
      </w:r>
    </w:p>
    <w:p w14:paraId="6BE36690">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第一条：采购服务清单及合同价格</w:t>
      </w:r>
    </w:p>
    <w:p w14:paraId="75BA6C50">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单位：元</w:t>
      </w:r>
    </w:p>
    <w:tbl>
      <w:tblPr>
        <w:tblStyle w:val="2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0CB2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39192A77">
            <w:pPr>
              <w:widowControl/>
              <w:overflowPunct w:val="0"/>
              <w:autoSpaceDE w:val="0"/>
              <w:autoSpaceDN w:val="0"/>
              <w:adjustRightInd w:val="0"/>
              <w:snapToGrid w:val="0"/>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34826284">
            <w:pPr>
              <w:widowControl/>
              <w:overflowPunct w:val="0"/>
              <w:autoSpaceDE w:val="0"/>
              <w:autoSpaceDN w:val="0"/>
              <w:adjustRightInd w:val="0"/>
              <w:snapToGrid w:val="0"/>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631CEF">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72CD62E">
            <w:pPr>
              <w:widowControl/>
              <w:overflowPunct w:val="0"/>
              <w:autoSpaceDE w:val="0"/>
              <w:autoSpaceDN w:val="0"/>
              <w:adjustRightInd w:val="0"/>
              <w:snapToGrid w:val="0"/>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B659A5B">
            <w:pPr>
              <w:widowControl/>
              <w:overflowPunct w:val="0"/>
              <w:autoSpaceDE w:val="0"/>
              <w:autoSpaceDN w:val="0"/>
              <w:adjustRightInd w:val="0"/>
              <w:snapToGrid w:val="0"/>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总价</w:t>
            </w:r>
          </w:p>
        </w:tc>
      </w:tr>
      <w:tr w14:paraId="2AE4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33274A63">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14:paraId="75657F12">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79042E">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FE876D">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6EBFF2">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p>
        </w:tc>
      </w:tr>
      <w:tr w14:paraId="12E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14:paraId="7D53D437">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A6695E">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p>
        </w:tc>
      </w:tr>
      <w:tr w14:paraId="53F4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14:paraId="2379D026">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合同总价（人民币大写）：            元整</w:t>
            </w:r>
          </w:p>
        </w:tc>
      </w:tr>
    </w:tbl>
    <w:p w14:paraId="588F276B">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rPr>
        <w:t>注：</w:t>
      </w:r>
      <w:r>
        <w:rPr>
          <w:rFonts w:hint="eastAsia" w:ascii="仿宋" w:hAnsi="仿宋" w:eastAsia="仿宋" w:cs="仿宋"/>
          <w:kern w:val="0"/>
          <w:sz w:val="24"/>
          <w:szCs w:val="24"/>
          <w:highlight w:val="none"/>
          <w:lang w:val="en-US" w:eastAsia="zh-CN"/>
        </w:rPr>
        <w:t>1）</w:t>
      </w:r>
      <w:r>
        <w:rPr>
          <w:rFonts w:hint="eastAsia" w:ascii="仿宋" w:hAnsi="仿宋" w:eastAsia="仿宋" w:cs="仿宋"/>
          <w:color w:val="000000"/>
          <w:sz w:val="24"/>
          <w:szCs w:val="24"/>
          <w:highlight w:val="none"/>
          <w:lang w:eastAsia="zh-CN"/>
        </w:rPr>
        <w:t>本项目费用</w:t>
      </w:r>
      <w:r>
        <w:rPr>
          <w:rFonts w:hint="eastAsia" w:ascii="仿宋" w:hAnsi="仿宋" w:eastAsia="仿宋" w:cs="仿宋"/>
          <w:color w:val="000000"/>
          <w:sz w:val="24"/>
          <w:szCs w:val="24"/>
          <w:highlight w:val="none"/>
        </w:rPr>
        <w:t>包括完成本项目直至验收通过、交付采购人投入使用的全部直接费（包括全部设备、制作、配件附件、辅助材料、包装、安装、调试、人工、机械、包装、运输、装卸、采购保管、仓储、运费等）、间接费、验收费用、管理费、总包配合费、利润、税金、风险费、调试费、售后服务费、专利技术及质保期间等一切费用。</w:t>
      </w:r>
    </w:p>
    <w:p w14:paraId="30F292CA">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第二条：质量保证</w:t>
      </w:r>
    </w:p>
    <w:p w14:paraId="28DB866A">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14:paraId="07223845">
      <w:pPr>
        <w:widowControl/>
        <w:overflowPunct w:val="0"/>
        <w:autoSpaceDE w:val="0"/>
        <w:autoSpaceDN w:val="0"/>
        <w:adjustRightInd w:val="0"/>
        <w:snapToGrid w:val="0"/>
        <w:spacing w:line="440" w:lineRule="exact"/>
        <w:ind w:firstLine="472" w:firstLineChars="196"/>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第三条：交货时间、地点</w:t>
      </w:r>
    </w:p>
    <w:p w14:paraId="057219CB">
      <w:pPr>
        <w:widowControl/>
        <w:overflowPunct w:val="0"/>
        <w:autoSpaceDE w:val="0"/>
        <w:autoSpaceDN w:val="0"/>
        <w:adjustRightInd w:val="0"/>
        <w:snapToGrid w:val="0"/>
        <w:spacing w:before="0" w:beforeLines="0" w:afterLines="0" w:line="360" w:lineRule="auto"/>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bCs/>
          <w:kern w:val="0"/>
          <w:sz w:val="24"/>
          <w:highlight w:val="none"/>
        </w:rPr>
        <w:t>1.中标人收到中标通知后，立即签订供货合同</w:t>
      </w:r>
      <w:r>
        <w:rPr>
          <w:rFonts w:hint="eastAsia" w:ascii="仿宋" w:hAnsi="仿宋" w:eastAsia="仿宋" w:cs="仿宋"/>
          <w:bCs/>
          <w:kern w:val="0"/>
          <w:sz w:val="24"/>
          <w:highlight w:val="none"/>
          <w:lang w:eastAsia="zh-CN"/>
        </w:rPr>
        <w:t>，并且</w:t>
      </w:r>
      <w:r>
        <w:rPr>
          <w:rFonts w:hint="eastAsia" w:ascii="仿宋" w:hAnsi="仿宋" w:eastAsia="仿宋" w:cs="仿宋"/>
          <w:bCs/>
          <w:kern w:val="0"/>
          <w:sz w:val="24"/>
          <w:highlight w:val="none"/>
        </w:rPr>
        <w:t>派人员到甲方指定地点开展工作</w:t>
      </w:r>
      <w:r>
        <w:rPr>
          <w:rFonts w:hint="eastAsia" w:ascii="仿宋" w:hAnsi="仿宋" w:eastAsia="仿宋" w:cs="仿宋"/>
          <w:bCs/>
          <w:kern w:val="0"/>
          <w:sz w:val="24"/>
          <w:highlight w:val="none"/>
          <w:lang w:eastAsia="zh-CN"/>
        </w:rPr>
        <w:t>，</w:t>
      </w:r>
      <w:r>
        <w:rPr>
          <w:rFonts w:hint="eastAsia" w:ascii="仿宋" w:hAnsi="仿宋" w:eastAsia="仿宋" w:cs="仿宋"/>
          <w:bCs/>
          <w:color w:val="000000"/>
          <w:kern w:val="0"/>
          <w:sz w:val="24"/>
          <w:highlight w:val="none"/>
          <w:u w:val="single"/>
          <w:lang w:val="en-US" w:eastAsia="zh-CN"/>
        </w:rPr>
        <w:t>30天</w:t>
      </w:r>
      <w:r>
        <w:rPr>
          <w:rFonts w:hint="eastAsia" w:ascii="仿宋" w:hAnsi="仿宋" w:eastAsia="仿宋" w:cs="仿宋"/>
          <w:bCs/>
          <w:kern w:val="0"/>
          <w:sz w:val="24"/>
          <w:highlight w:val="none"/>
          <w:lang w:val="en-US" w:eastAsia="zh-CN"/>
        </w:rPr>
        <w:t>内</w:t>
      </w:r>
      <w:r>
        <w:rPr>
          <w:rFonts w:hint="eastAsia" w:ascii="仿宋" w:hAnsi="仿宋" w:eastAsia="仿宋" w:cs="仿宋"/>
          <w:bCs/>
          <w:kern w:val="0"/>
          <w:sz w:val="24"/>
          <w:lang w:val="en-US" w:eastAsia="zh-CN"/>
        </w:rPr>
        <w:t>完成供货及安装调试。</w:t>
      </w:r>
    </w:p>
    <w:p w14:paraId="46151578">
      <w:pPr>
        <w:widowControl/>
        <w:overflowPunct w:val="0"/>
        <w:autoSpaceDE w:val="0"/>
        <w:autoSpaceDN w:val="0"/>
        <w:adjustRightInd w:val="0"/>
        <w:snapToGrid w:val="0"/>
        <w:spacing w:before="0" w:beforeLines="0" w:afterLines="0" w:line="360" w:lineRule="auto"/>
        <w:ind w:firstLine="480" w:firstLineChars="200"/>
        <w:jc w:val="left"/>
        <w:textAlignment w:val="baseline"/>
        <w:rPr>
          <w:rFonts w:hint="eastAsia" w:ascii="仿宋" w:hAnsi="仿宋" w:eastAsia="仿宋" w:cs="仿宋"/>
          <w:bCs/>
          <w:kern w:val="0"/>
          <w:sz w:val="24"/>
        </w:rPr>
      </w:pPr>
      <w:r>
        <w:rPr>
          <w:rFonts w:hint="eastAsia" w:ascii="仿宋" w:hAnsi="仿宋" w:eastAsia="仿宋" w:cs="仿宋"/>
          <w:kern w:val="0"/>
          <w:sz w:val="24"/>
          <w:szCs w:val="24"/>
        </w:rPr>
        <w:t>2.在所供商品交付使用时，乙方必须向甲方</w:t>
      </w:r>
      <w:r>
        <w:rPr>
          <w:rFonts w:hint="eastAsia" w:ascii="仿宋" w:hAnsi="仿宋" w:eastAsia="仿宋" w:cs="仿宋"/>
          <w:bCs/>
          <w:kern w:val="0"/>
          <w:sz w:val="24"/>
        </w:rPr>
        <w:t>提供发票、产品合格证、使用维修说明书、</w:t>
      </w:r>
      <w:r>
        <w:rPr>
          <w:rFonts w:hint="eastAsia" w:ascii="仿宋" w:hAnsi="仿宋" w:eastAsia="仿宋" w:cs="仿宋"/>
          <w:kern w:val="0"/>
          <w:sz w:val="24"/>
          <w:szCs w:val="24"/>
        </w:rPr>
        <w:t>质量保证书、保修卡等必须具备的相关资料和必备的附件。</w:t>
      </w:r>
      <w:r>
        <w:rPr>
          <w:rFonts w:hint="eastAsia" w:ascii="仿宋" w:hAnsi="仿宋" w:eastAsia="仿宋" w:cs="仿宋"/>
          <w:bCs/>
          <w:kern w:val="0"/>
          <w:sz w:val="24"/>
        </w:rPr>
        <w:t>为用户单位办理设备保修手续，并向用户提供原产服务承诺书原件。</w:t>
      </w:r>
      <w:r>
        <w:rPr>
          <w:rFonts w:hint="eastAsia" w:ascii="仿宋" w:hAnsi="仿宋" w:eastAsia="仿宋" w:cs="仿宋"/>
          <w:kern w:val="0"/>
          <w:sz w:val="24"/>
          <w:szCs w:val="24"/>
        </w:rPr>
        <w:t>乙</w:t>
      </w:r>
      <w:r>
        <w:rPr>
          <w:rFonts w:hint="eastAsia" w:ascii="仿宋" w:hAnsi="仿宋" w:eastAsia="仿宋" w:cs="仿宋"/>
          <w:bCs/>
          <w:kern w:val="0"/>
          <w:sz w:val="24"/>
        </w:rPr>
        <w:t>方必须提供切实、高效、优质的售后服务，主要产品按要求提供原厂家质保承诺书。供货时，必须在商品的右侧面显著位置粘贴公司标签，注明公司名称、地址、服务电话及供货日期等。具体</w:t>
      </w:r>
      <w:r>
        <w:rPr>
          <w:rFonts w:hint="eastAsia" w:ascii="仿宋" w:hAnsi="仿宋" w:eastAsia="仿宋" w:cs="仿宋"/>
          <w:bCs/>
          <w:kern w:val="0"/>
          <w:sz w:val="24"/>
          <w:lang w:eastAsia="zh-CN"/>
        </w:rPr>
        <w:t>参照</w:t>
      </w:r>
      <w:r>
        <w:rPr>
          <w:rFonts w:hint="eastAsia" w:ascii="仿宋" w:hAnsi="仿宋" w:eastAsia="仿宋" w:cs="仿宋"/>
          <w:bCs/>
          <w:kern w:val="0"/>
          <w:sz w:val="24"/>
        </w:rPr>
        <w:t>富政采[2005]1号文件“关于加强采购售后服务工作的通知”办理。</w:t>
      </w:r>
    </w:p>
    <w:p w14:paraId="01468F96">
      <w:pPr>
        <w:widowControl/>
        <w:overflowPunct w:val="0"/>
        <w:autoSpaceDE w:val="0"/>
        <w:autoSpaceDN w:val="0"/>
        <w:adjustRightInd w:val="0"/>
        <w:snapToGrid w:val="0"/>
        <w:spacing w:line="440" w:lineRule="exact"/>
        <w:ind w:firstLine="472" w:firstLineChars="196"/>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rPr>
        <w:t>第四条：售后服务</w:t>
      </w:r>
    </w:p>
    <w:p w14:paraId="6975E85B">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1.合同项目从验收后合格之日起，乙方提供的商品保修</w:t>
      </w:r>
      <w:r>
        <w:rPr>
          <w:rFonts w:hint="eastAsia" w:ascii="仿宋" w:hAnsi="仿宋" w:eastAsia="仿宋" w:cs="仿宋"/>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3  </w:t>
      </w:r>
      <w:r>
        <w:rPr>
          <w:rFonts w:hint="eastAsia" w:ascii="仿宋" w:hAnsi="仿宋" w:eastAsia="仿宋" w:cs="仿宋"/>
          <w:kern w:val="0"/>
          <w:sz w:val="24"/>
          <w:szCs w:val="24"/>
          <w:highlight w:val="none"/>
        </w:rPr>
        <w:t>年。保修期满后，乙方仍提供维护服务，收取成本费。</w:t>
      </w:r>
    </w:p>
    <w:p w14:paraId="47FE8441">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2.乙方保证所供商品在保修期内发生故障时，最迟</w:t>
      </w:r>
      <w:r>
        <w:rPr>
          <w:rFonts w:hint="eastAsia" w:ascii="仿宋" w:hAnsi="仿宋" w:eastAsia="仿宋" w:cs="仿宋"/>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kern w:val="0"/>
          <w:sz w:val="24"/>
          <w:szCs w:val="24"/>
        </w:rPr>
        <w:t>分钟电话响应，</w:t>
      </w:r>
      <w:r>
        <w:rPr>
          <w:rFonts w:hint="eastAsia" w:ascii="仿宋" w:hAnsi="仿宋" w:eastAsia="仿宋" w:cs="仿宋"/>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个小时到场修理，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小时</w:t>
      </w:r>
      <w:r>
        <w:rPr>
          <w:rFonts w:hint="eastAsia" w:ascii="仿宋" w:hAnsi="仿宋" w:eastAsia="仿宋" w:cs="仿宋"/>
          <w:sz w:val="24"/>
        </w:rPr>
        <w:t>以内解决问题</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否则</w:t>
      </w:r>
      <w:r>
        <w:rPr>
          <w:rFonts w:hint="eastAsia" w:ascii="仿宋" w:hAnsi="仿宋" w:eastAsia="仿宋" w:cs="仿宋"/>
          <w:sz w:val="24"/>
          <w:szCs w:val="24"/>
          <w:highlight w:val="none"/>
        </w:rPr>
        <w:t>必须采取提供备品、备件或备机等措施，以保证采购单位的正常使用</w:t>
      </w:r>
      <w:r>
        <w:rPr>
          <w:rFonts w:hint="eastAsia" w:ascii="仿宋" w:hAnsi="仿宋" w:eastAsia="仿宋" w:cs="仿宋"/>
          <w:kern w:val="0"/>
          <w:sz w:val="24"/>
          <w:szCs w:val="24"/>
        </w:rPr>
        <w:t>。</w:t>
      </w:r>
    </w:p>
    <w:p w14:paraId="1A3C4055">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3.乙方负责对甲方人员的全免（含交通食宿）集中技术培训</w:t>
      </w:r>
      <w:r>
        <w:rPr>
          <w:rFonts w:hint="eastAsia" w:ascii="仿宋" w:hAnsi="仿宋" w:eastAsia="仿宋" w:cs="仿宋"/>
          <w:szCs w:val="24"/>
        </w:rPr>
        <w:t>（≥</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 xml:space="preserve">  </w:t>
      </w:r>
      <w:r>
        <w:rPr>
          <w:rFonts w:hint="eastAsia" w:ascii="仿宋" w:hAnsi="仿宋" w:eastAsia="仿宋" w:cs="仿宋"/>
          <w:szCs w:val="24"/>
        </w:rPr>
        <w:t>人），</w:t>
      </w:r>
      <w:r>
        <w:rPr>
          <w:rFonts w:hint="eastAsia" w:ascii="仿宋" w:hAnsi="仿宋" w:eastAsia="仿宋" w:cs="仿宋"/>
          <w:sz w:val="24"/>
          <w:szCs w:val="24"/>
        </w:rPr>
        <w:t>及不少于</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rPr>
        <w:t>年的免费售后现场技术服务。</w:t>
      </w:r>
    </w:p>
    <w:p w14:paraId="15B24F5B">
      <w:pPr>
        <w:widowControl/>
        <w:overflowPunct w:val="0"/>
        <w:autoSpaceDE w:val="0"/>
        <w:autoSpaceDN w:val="0"/>
        <w:adjustRightInd w:val="0"/>
        <w:snapToGrid w:val="0"/>
        <w:spacing w:line="440" w:lineRule="exact"/>
        <w:ind w:left="479" w:leftChars="228" w:firstLine="0" w:firstLineChars="0"/>
        <w:jc w:val="left"/>
        <w:textAlignment w:val="baseline"/>
        <w:rPr>
          <w:rFonts w:hint="eastAsia" w:ascii="仿宋" w:hAnsi="仿宋" w:eastAsia="仿宋" w:cs="仿宋"/>
          <w:b/>
          <w:bCs/>
          <w:kern w:val="0"/>
          <w:sz w:val="24"/>
          <w:szCs w:val="24"/>
        </w:rPr>
      </w:pPr>
      <w:r>
        <w:rPr>
          <w:rFonts w:hint="eastAsia" w:ascii="仿宋" w:hAnsi="仿宋" w:eastAsia="仿宋" w:cs="仿宋"/>
          <w:sz w:val="24"/>
          <w:szCs w:val="24"/>
        </w:rPr>
        <w:t>4.</w:t>
      </w:r>
      <w:r>
        <w:rPr>
          <w:rFonts w:hint="eastAsia" w:ascii="仿宋" w:hAnsi="仿宋" w:eastAsia="仿宋" w:cs="仿宋"/>
          <w:kern w:val="0"/>
          <w:sz w:val="24"/>
          <w:szCs w:val="24"/>
        </w:rPr>
        <w:t>如投标书中承诺优于本条规定或其他本条未涉及的承诺，按投标书中承诺执行。</w:t>
      </w:r>
      <w:r>
        <w:rPr>
          <w:rFonts w:hint="eastAsia" w:ascii="仿宋" w:hAnsi="仿宋" w:eastAsia="仿宋" w:cs="仿宋"/>
          <w:b/>
          <w:bCs/>
          <w:kern w:val="0"/>
          <w:sz w:val="24"/>
          <w:szCs w:val="24"/>
        </w:rPr>
        <w:t>第五条：验收</w:t>
      </w:r>
    </w:p>
    <w:p w14:paraId="38B09019">
      <w:pPr>
        <w:widowControl/>
        <w:overflowPunct w:val="0"/>
        <w:autoSpaceDE w:val="0"/>
        <w:autoSpaceDN w:val="0"/>
        <w:adjustRightInd w:val="0"/>
        <w:snapToGrid w:val="0"/>
        <w:spacing w:line="440" w:lineRule="exact"/>
        <w:ind w:left="479" w:leftChars="228" w:firstLine="0" w:firstLineChars="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本项目验收分为原材料验收及</w:t>
      </w:r>
      <w:r>
        <w:rPr>
          <w:rFonts w:hint="eastAsia" w:ascii="仿宋" w:hAnsi="仿宋" w:eastAsia="仿宋" w:cs="仿宋"/>
          <w:kern w:val="0"/>
          <w:sz w:val="24"/>
          <w:szCs w:val="24"/>
          <w:highlight w:val="none"/>
          <w:lang w:eastAsia="zh-CN"/>
        </w:rPr>
        <w:t>项目整体</w:t>
      </w:r>
      <w:r>
        <w:rPr>
          <w:rFonts w:hint="eastAsia" w:ascii="仿宋" w:hAnsi="仿宋" w:eastAsia="仿宋" w:cs="仿宋"/>
          <w:kern w:val="0"/>
          <w:sz w:val="24"/>
          <w:szCs w:val="24"/>
          <w:highlight w:val="none"/>
        </w:rPr>
        <w:t>验收。</w:t>
      </w:r>
    </w:p>
    <w:p w14:paraId="38D3C263">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1、原材料（设备）验收：乙方将所供商品运至交货地点，由甲方根据招标清单要求对货物进行验收，合格后方可安装；不合格则清退出场，费用乙方承担。</w:t>
      </w:r>
    </w:p>
    <w:p w14:paraId="4F997B7D">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项目整体</w:t>
      </w:r>
      <w:r>
        <w:rPr>
          <w:rFonts w:hint="eastAsia" w:ascii="仿宋" w:hAnsi="仿宋" w:eastAsia="仿宋" w:cs="仿宋"/>
          <w:kern w:val="0"/>
          <w:sz w:val="24"/>
          <w:szCs w:val="24"/>
          <w:highlight w:val="none"/>
        </w:rPr>
        <w:t>验收：乙方安装、调试完成，自检合格</w:t>
      </w:r>
      <w:r>
        <w:rPr>
          <w:rFonts w:hint="eastAsia" w:ascii="仿宋" w:hAnsi="仿宋" w:eastAsia="仿宋" w:cs="仿宋"/>
          <w:kern w:val="0"/>
          <w:sz w:val="24"/>
          <w:szCs w:val="24"/>
          <w:highlight w:val="none"/>
          <w:lang w:eastAsia="zh-CN"/>
        </w:rPr>
        <w:t>，同时按招标文件要求向甲方提交完整的测试报告、技术文档等资料后</w:t>
      </w:r>
      <w:r>
        <w:rPr>
          <w:rFonts w:hint="eastAsia" w:ascii="仿宋" w:hAnsi="仿宋" w:eastAsia="仿宋" w:cs="仿宋"/>
          <w:kern w:val="0"/>
          <w:sz w:val="24"/>
          <w:szCs w:val="24"/>
          <w:highlight w:val="none"/>
        </w:rPr>
        <w:t>，向甲方申请验收。甲方组织有关部门</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按照标书要求对全部设备的型号、规格、数量、外型</w:t>
      </w:r>
      <w:r>
        <w:rPr>
          <w:rFonts w:hint="eastAsia" w:ascii="仿宋" w:hAnsi="仿宋" w:eastAsia="仿宋" w:cs="仿宋"/>
          <w:sz w:val="24"/>
          <w:szCs w:val="24"/>
          <w:highlight w:val="none"/>
          <w:lang w:eastAsia="zh-CN"/>
        </w:rPr>
        <w:t>、运行等情况进行项目初验。初验合格后进入</w:t>
      </w:r>
      <w:r>
        <w:rPr>
          <w:rFonts w:hint="eastAsia" w:ascii="仿宋" w:hAnsi="仿宋" w:eastAsia="仿宋" w:cs="仿宋"/>
          <w:sz w:val="24"/>
          <w:szCs w:val="24"/>
        </w:rPr>
        <w:t>半</w:t>
      </w:r>
      <w:r>
        <w:rPr>
          <w:rFonts w:hint="eastAsia" w:ascii="仿宋" w:hAnsi="仿宋" w:eastAsia="仿宋" w:cs="仿宋"/>
          <w:sz w:val="24"/>
          <w:szCs w:val="24"/>
          <w:lang w:eastAsia="zh-CN"/>
        </w:rPr>
        <w:t>年</w:t>
      </w:r>
      <w:r>
        <w:rPr>
          <w:rFonts w:hint="eastAsia" w:ascii="仿宋" w:hAnsi="仿宋" w:eastAsia="仿宋" w:cs="仿宋"/>
          <w:sz w:val="24"/>
          <w:szCs w:val="24"/>
        </w:rPr>
        <w:t>的试运行</w:t>
      </w:r>
      <w:r>
        <w:rPr>
          <w:rFonts w:hint="eastAsia" w:ascii="仿宋" w:hAnsi="仿宋" w:eastAsia="仿宋" w:cs="仿宋"/>
          <w:sz w:val="24"/>
          <w:szCs w:val="24"/>
          <w:lang w:eastAsia="zh-CN"/>
        </w:rPr>
        <w:t>期，试运行期合格视为项目最终验收合格。</w:t>
      </w:r>
      <w:r>
        <w:rPr>
          <w:rFonts w:hint="eastAsia" w:ascii="仿宋" w:hAnsi="仿宋" w:eastAsia="仿宋" w:cs="仿宋"/>
          <w:sz w:val="24"/>
          <w:szCs w:val="24"/>
          <w:highlight w:val="none"/>
          <w:lang w:eastAsia="zh-CN"/>
        </w:rPr>
        <w:t>试运行期</w:t>
      </w:r>
      <w:r>
        <w:rPr>
          <w:rFonts w:hint="eastAsia" w:ascii="仿宋" w:hAnsi="仿宋" w:eastAsia="仿宋" w:cs="仿宋"/>
          <w:sz w:val="24"/>
          <w:szCs w:val="24"/>
          <w:highlight w:val="none"/>
          <w:lang w:val="en-US" w:eastAsia="zh-CN"/>
        </w:rPr>
        <w:t>内出现非甲方人为因素或不当使用造成的无法排除的故障，</w:t>
      </w:r>
      <w:r>
        <w:rPr>
          <w:rFonts w:hint="eastAsia" w:ascii="仿宋" w:hAnsi="仿宋" w:eastAsia="仿宋" w:cs="仿宋"/>
          <w:kern w:val="0"/>
          <w:sz w:val="24"/>
          <w:szCs w:val="24"/>
          <w:highlight w:val="none"/>
        </w:rPr>
        <w:t>由乙方予以</w:t>
      </w:r>
      <w:r>
        <w:rPr>
          <w:rFonts w:hint="eastAsia" w:ascii="仿宋" w:hAnsi="仿宋" w:eastAsia="仿宋" w:cs="仿宋"/>
          <w:kern w:val="0"/>
          <w:sz w:val="24"/>
          <w:szCs w:val="24"/>
          <w:highlight w:val="none"/>
          <w:lang w:eastAsia="zh-CN"/>
        </w:rPr>
        <w:t>免费</w:t>
      </w:r>
      <w:r>
        <w:rPr>
          <w:rFonts w:hint="eastAsia" w:ascii="仿宋" w:hAnsi="仿宋" w:eastAsia="仿宋" w:cs="仿宋"/>
          <w:kern w:val="0"/>
          <w:sz w:val="24"/>
          <w:szCs w:val="24"/>
          <w:highlight w:val="none"/>
        </w:rPr>
        <w:t>调换。</w:t>
      </w:r>
    </w:p>
    <w:p w14:paraId="2DFA4178">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第六条：价款的支付及结算价款的确定</w:t>
      </w:r>
    </w:p>
    <w:p w14:paraId="4AB3FB76">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2" w:firstLineChars="200"/>
        <w:jc w:val="left"/>
        <w:textAlignment w:val="baseline"/>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1、货款的支付：</w:t>
      </w:r>
    </w:p>
    <w:p w14:paraId="5BF4388A">
      <w:pPr>
        <w:pStyle w:val="6"/>
        <w:numPr>
          <w:ilvl w:val="0"/>
          <w:numId w:val="0"/>
        </w:numPr>
        <w:spacing w:line="360" w:lineRule="auto"/>
        <w:ind w:firstLine="482" w:firstLineChars="200"/>
        <w:rPr>
          <w:rFonts w:hint="eastAsia" w:ascii="仿宋" w:hAnsi="仿宋" w:eastAsia="仿宋" w:cs="仿宋"/>
          <w:color w:val="0000FF"/>
          <w:sz w:val="24"/>
          <w:szCs w:val="24"/>
          <w:highlight w:val="none"/>
          <w:lang w:eastAsia="zh-CN"/>
        </w:rPr>
      </w:pPr>
      <w:r>
        <w:rPr>
          <w:rFonts w:hint="eastAsia" w:ascii="仿宋" w:hAnsi="仿宋" w:eastAsia="仿宋" w:cs="仿宋"/>
          <w:color w:val="000000"/>
          <w:sz w:val="24"/>
          <w:szCs w:val="24"/>
          <w:highlight w:val="none"/>
          <w:lang w:eastAsia="zh-CN"/>
        </w:rPr>
        <w:t>货到并安装调试完成后支付至合同总价的</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0%，；终验合格后的7个工作日内，支付至合同金额的</w:t>
      </w:r>
      <w:r>
        <w:rPr>
          <w:rFonts w:hint="eastAsia" w:ascii="仿宋" w:hAnsi="仿宋" w:eastAsia="仿宋" w:cs="仿宋"/>
          <w:color w:val="000000"/>
          <w:sz w:val="24"/>
          <w:szCs w:val="24"/>
          <w:highlight w:val="none"/>
          <w:lang w:val="en-US" w:eastAsia="zh-CN"/>
        </w:rPr>
        <w:t>70</w:t>
      </w:r>
      <w:r>
        <w:rPr>
          <w:rFonts w:hint="eastAsia" w:ascii="仿宋" w:hAnsi="仿宋" w:eastAsia="仿宋" w:cs="仿宋"/>
          <w:color w:val="000000"/>
          <w:sz w:val="24"/>
          <w:szCs w:val="24"/>
          <w:highlight w:val="none"/>
          <w:lang w:eastAsia="zh-CN"/>
        </w:rPr>
        <w:t>%,并在一周内无息返还履约保证金；项目审计报告出具日后的7个工作日内，支付至审计额的95%；剩余审计额的5%作为质保金，质保期三年，在质保期结束后的7个工作日内付清。各阶段付款必须在乙方提供相应正规发票后支付。</w:t>
      </w:r>
    </w:p>
    <w:p w14:paraId="0FE36F88">
      <w:pPr>
        <w:pStyle w:val="6"/>
        <w:numPr>
          <w:ilvl w:val="0"/>
          <w:numId w:val="0"/>
        </w:numPr>
        <w:spacing w:line="360" w:lineRule="auto"/>
        <w:ind w:firstLine="482"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eastAsia="zh-CN"/>
        </w:rPr>
        <w:t>结算价款的确定</w:t>
      </w:r>
    </w:p>
    <w:p w14:paraId="4F1FAE65">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1）根据实际施工完成情况，乙方提供完整的竣工图（包括平面图、系统图等），经第三方审计单位审核后确定最终结算价款。其中工程量以实际安装及审计审核为准；</w:t>
      </w:r>
    </w:p>
    <w:p w14:paraId="20ECA822">
      <w:pPr>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单价根据投标单价。</w:t>
      </w:r>
    </w:p>
    <w:p w14:paraId="620DD00F">
      <w:pPr>
        <w:pStyle w:val="6"/>
        <w:ind w:firstLine="480" w:firstLineChars="200"/>
        <w:rPr>
          <w:rFonts w:hint="default"/>
          <w:lang w:val="en-US" w:eastAsia="zh-CN"/>
        </w:rPr>
      </w:pPr>
      <w:r>
        <w:rPr>
          <w:rFonts w:hint="eastAsia" w:ascii="仿宋" w:hAnsi="仿宋" w:eastAsia="仿宋" w:cs="仿宋"/>
          <w:b w:val="0"/>
          <w:bCs w:val="0"/>
          <w:kern w:val="2"/>
          <w:sz w:val="24"/>
          <w:szCs w:val="24"/>
          <w:highlight w:val="none"/>
          <w:lang w:val="en-US" w:eastAsia="zh-CN" w:bidi="ar-SA"/>
        </w:rPr>
        <w:t>2）该招标清单已包含项目正常运行所需的全部设备，原则上不得新增设备，若确需增加，需经过甲方同意并确定价格后方可实施，否则不予认可。</w:t>
      </w:r>
    </w:p>
    <w:p w14:paraId="5BDE76E8">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第七条：履约保证金</w:t>
      </w:r>
    </w:p>
    <w:p w14:paraId="3E539BCD">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rPr>
        <w:t>履约保证</w:t>
      </w:r>
      <w:r>
        <w:rPr>
          <w:rFonts w:hint="eastAsia" w:ascii="仿宋" w:hAnsi="仿宋" w:eastAsia="仿宋" w:cs="仿宋"/>
          <w:color w:val="auto"/>
          <w:kern w:val="0"/>
          <w:sz w:val="24"/>
          <w:szCs w:val="24"/>
          <w:highlight w:val="none"/>
        </w:rPr>
        <w:t>金：按合同总价</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%计取，</w:t>
      </w:r>
      <w:r>
        <w:rPr>
          <w:rFonts w:hint="eastAsia" w:ascii="仿宋" w:hAnsi="仿宋" w:eastAsia="仿宋" w:cs="仿宋"/>
          <w:kern w:val="0"/>
          <w:sz w:val="24"/>
          <w:szCs w:val="24"/>
        </w:rPr>
        <w:t>由乙方交由甲方。乙方可以从以下三种方式中，任选一种向甲方提供：①以银行转账的形式向发包人缴纳履约保证金（无息）</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需在合同签订后一周内缴纳</w:t>
      </w:r>
      <w:r>
        <w:rPr>
          <w:rFonts w:hint="eastAsia" w:ascii="仿宋" w:hAnsi="仿宋" w:eastAsia="仿宋" w:cs="仿宋"/>
          <w:kern w:val="0"/>
          <w:sz w:val="24"/>
          <w:szCs w:val="24"/>
        </w:rPr>
        <w:t>②本地金融机构开具的履约保函③国有控股、参股的担保公司开具的履约保函）。待货到验收合格交付使用后，由甲方在到期后的7日内无息退还。</w:t>
      </w:r>
    </w:p>
    <w:p w14:paraId="1797F3C8">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履约保证金</w:t>
      </w:r>
      <w:r>
        <w:rPr>
          <w:rFonts w:hint="eastAsia" w:ascii="仿宋" w:hAnsi="仿宋" w:eastAsia="仿宋" w:cs="仿宋"/>
          <w:kern w:val="0"/>
          <w:sz w:val="24"/>
          <w:szCs w:val="24"/>
          <w:lang w:val="en-US" w:eastAsia="zh-CN"/>
        </w:rPr>
        <w:t>账户：</w:t>
      </w:r>
    </w:p>
    <w:p w14:paraId="0E1943CF">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名称：杭州富阳城市建设投资集团有限公司</w:t>
      </w:r>
    </w:p>
    <w:p w14:paraId="6E86BBEB">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税号：9133018372523789XJ</w:t>
      </w:r>
    </w:p>
    <w:p w14:paraId="6AD146CC">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开户行：交行富阳支行</w:t>
      </w:r>
    </w:p>
    <w:p w14:paraId="322C6969">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账户：306068800018010011946</w:t>
      </w:r>
    </w:p>
    <w:p w14:paraId="36C598B4">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第八条：其他约定</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项目实施过程中需完成必要的安全文明施工设施，此费用包含在总报价中；设备交付前的成品（半成品）保护由乙方自理。</w:t>
      </w:r>
    </w:p>
    <w:p w14:paraId="1204CE56">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第九条：违约责任</w:t>
      </w:r>
    </w:p>
    <w:p w14:paraId="2B534101">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kern w:val="0"/>
          <w:sz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14:paraId="1211F2D8">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rPr>
        <w:t>2.因甲方原因逾期支付货款的，自逾期之日起，向乙方每日偿付合同总价万分之二的滞纳金，</w:t>
      </w:r>
      <w:r>
        <w:rPr>
          <w:rFonts w:hint="eastAsia" w:ascii="仿宋" w:hAnsi="仿宋" w:eastAsia="仿宋" w:cs="仿宋"/>
          <w:bCs/>
          <w:kern w:val="0"/>
          <w:sz w:val="24"/>
          <w:highlight w:val="none"/>
        </w:rPr>
        <w:t>最高不超过货款的</w:t>
      </w:r>
      <w:r>
        <w:rPr>
          <w:rFonts w:hint="eastAsia" w:ascii="仿宋" w:hAnsi="仿宋" w:eastAsia="仿宋" w:cs="仿宋"/>
          <w:bCs/>
          <w:kern w:val="0"/>
          <w:sz w:val="24"/>
          <w:highlight w:val="none"/>
          <w:lang w:val="en-US" w:eastAsia="zh-CN"/>
        </w:rPr>
        <w:t>1</w:t>
      </w:r>
      <w:r>
        <w:rPr>
          <w:rFonts w:hint="eastAsia" w:ascii="仿宋" w:hAnsi="仿宋" w:eastAsia="仿宋" w:cs="仿宋"/>
          <w:bCs/>
          <w:kern w:val="0"/>
          <w:sz w:val="24"/>
          <w:highlight w:val="none"/>
        </w:rPr>
        <w:t>0%。</w:t>
      </w:r>
      <w:r>
        <w:rPr>
          <w:rFonts w:hint="eastAsia" w:ascii="仿宋" w:hAnsi="仿宋" w:eastAsia="仿宋" w:cs="仿宋"/>
          <w:kern w:val="0"/>
          <w:sz w:val="24"/>
          <w:szCs w:val="24"/>
          <w:highlight w:val="none"/>
        </w:rPr>
        <w:t>甲方无正当理由拒付货款的，应向乙方偿付合同总价百分之五的违约金，同时承担合同付款责任。</w:t>
      </w:r>
    </w:p>
    <w:p w14:paraId="17AD69D7">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3.甲方无故拖延支付货款超过合同规定支付时间的，乙方可直接提出支付申请，并要求</w:t>
      </w:r>
      <w:r>
        <w:rPr>
          <w:rFonts w:hint="eastAsia" w:ascii="仿宋" w:hAnsi="仿宋" w:eastAsia="仿宋" w:cs="仿宋"/>
          <w:kern w:val="0"/>
          <w:sz w:val="24"/>
          <w:highlight w:val="none"/>
        </w:rPr>
        <w:t>杭州市富阳区财政局政府采购监管科</w:t>
      </w:r>
      <w:r>
        <w:rPr>
          <w:rFonts w:hint="eastAsia" w:ascii="仿宋" w:hAnsi="仿宋" w:eastAsia="仿宋" w:cs="仿宋"/>
          <w:kern w:val="0"/>
          <w:sz w:val="24"/>
          <w:szCs w:val="24"/>
          <w:highlight w:val="none"/>
        </w:rPr>
        <w:t>对其违规情况予以通报。</w:t>
      </w:r>
    </w:p>
    <w:p w14:paraId="4A05D02F">
      <w:pPr>
        <w:widowControl/>
        <w:overflowPunct w:val="0"/>
        <w:autoSpaceDE w:val="0"/>
        <w:autoSpaceDN w:val="0"/>
        <w:adjustRightInd w:val="0"/>
        <w:snapToGrid w:val="0"/>
        <w:spacing w:line="440" w:lineRule="exact"/>
        <w:ind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4.在商品交付验收合格之日起六个月后发生质量问题的，按本合同第十条处理。</w:t>
      </w:r>
    </w:p>
    <w:p w14:paraId="298AA076">
      <w:pPr>
        <w:widowControl/>
        <w:overflowPunct w:val="0"/>
        <w:autoSpaceDE w:val="0"/>
        <w:autoSpaceDN w:val="0"/>
        <w:adjustRightInd w:val="0"/>
        <w:snapToGrid w:val="0"/>
        <w:spacing w:line="440" w:lineRule="exact"/>
        <w:ind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第十条：争议的解决</w:t>
      </w:r>
    </w:p>
    <w:p w14:paraId="71406CA8">
      <w:pPr>
        <w:widowControl/>
        <w:snapToGrid w:val="0"/>
        <w:spacing w:line="440" w:lineRule="exact"/>
        <w:ind w:firstLine="487" w:firstLineChars="203"/>
        <w:rPr>
          <w:rFonts w:hint="eastAsia" w:ascii="仿宋" w:hAnsi="仿宋" w:eastAsia="仿宋" w:cs="仿宋"/>
          <w:kern w:val="0"/>
          <w:sz w:val="24"/>
          <w:highlight w:val="none"/>
        </w:rPr>
      </w:pPr>
      <w:r>
        <w:rPr>
          <w:rFonts w:hint="eastAsia" w:ascii="仿宋" w:hAnsi="仿宋" w:eastAsia="仿宋" w:cs="仿宋"/>
          <w:kern w:val="0"/>
          <w:sz w:val="24"/>
          <w:szCs w:val="24"/>
          <w:highlight w:val="none"/>
        </w:rPr>
        <w:t>在发生所供商品的质量、售后服务等问题时，甲方有权直接向乙方索赔，签订必要的书面处理协议。如协商不成，任何一方有权</w:t>
      </w:r>
      <w:r>
        <w:rPr>
          <w:rFonts w:hint="eastAsia" w:ascii="仿宋" w:hAnsi="仿宋" w:eastAsia="仿宋" w:cs="仿宋"/>
          <w:kern w:val="0"/>
          <w:sz w:val="24"/>
          <w:szCs w:val="24"/>
          <w:highlight w:val="none"/>
          <w:lang w:val="en-US" w:eastAsia="zh-CN"/>
        </w:rPr>
        <w:t>向杭州市富阳区人民法院提起诉讼解决</w:t>
      </w:r>
      <w:r>
        <w:rPr>
          <w:rFonts w:hint="eastAsia" w:ascii="仿宋" w:hAnsi="仿宋" w:eastAsia="仿宋" w:cs="仿宋"/>
          <w:kern w:val="0"/>
          <w:sz w:val="24"/>
          <w:szCs w:val="24"/>
          <w:highlight w:val="none"/>
        </w:rPr>
        <w:t>。</w:t>
      </w:r>
    </w:p>
    <w:p w14:paraId="5D8C772B">
      <w:pPr>
        <w:widowControl/>
        <w:snapToGrid w:val="0"/>
        <w:spacing w:line="440" w:lineRule="exact"/>
        <w:ind w:firstLine="489" w:firstLineChars="203"/>
        <w:rPr>
          <w:rFonts w:hint="eastAsia" w:ascii="仿宋" w:hAnsi="仿宋" w:eastAsia="仿宋" w:cs="仿宋"/>
          <w:b/>
          <w:kern w:val="0"/>
          <w:sz w:val="24"/>
          <w:highlight w:val="none"/>
        </w:rPr>
      </w:pPr>
      <w:r>
        <w:rPr>
          <w:rFonts w:hint="eastAsia" w:ascii="仿宋" w:hAnsi="仿宋" w:eastAsia="仿宋" w:cs="仿宋"/>
          <w:b/>
          <w:kern w:val="0"/>
          <w:sz w:val="24"/>
          <w:highlight w:val="none"/>
        </w:rPr>
        <w:t>第十一条：合同的生效</w:t>
      </w:r>
    </w:p>
    <w:p w14:paraId="12E30991">
      <w:pPr>
        <w:widowControl/>
        <w:snapToGrid w:val="0"/>
        <w:spacing w:line="440" w:lineRule="exact"/>
        <w:ind w:firstLine="487" w:firstLineChars="203"/>
        <w:rPr>
          <w:rFonts w:hint="eastAsia" w:ascii="仿宋" w:hAnsi="仿宋" w:eastAsia="仿宋" w:cs="仿宋"/>
          <w:kern w:val="0"/>
          <w:sz w:val="24"/>
          <w:highlight w:val="none"/>
        </w:rPr>
      </w:pPr>
      <w:r>
        <w:rPr>
          <w:rFonts w:hint="eastAsia" w:ascii="仿宋" w:hAnsi="仿宋" w:eastAsia="仿宋" w:cs="仿宋"/>
          <w:kern w:val="0"/>
          <w:sz w:val="24"/>
          <w:highlight w:val="none"/>
        </w:rPr>
        <w:t>本合同经甲方、乙方法定代表人或其委托人签字并加盖</w:t>
      </w:r>
      <w:r>
        <w:rPr>
          <w:rFonts w:hint="eastAsia" w:ascii="仿宋" w:hAnsi="仿宋" w:eastAsia="仿宋" w:cs="仿宋"/>
          <w:kern w:val="0"/>
          <w:sz w:val="24"/>
          <w:highlight w:val="none"/>
          <w:lang w:val="en-US" w:eastAsia="zh-CN"/>
        </w:rPr>
        <w:t>双方</w:t>
      </w:r>
      <w:r>
        <w:rPr>
          <w:rFonts w:hint="eastAsia" w:ascii="仿宋" w:hAnsi="仿宋" w:eastAsia="仿宋" w:cs="仿宋"/>
          <w:kern w:val="0"/>
          <w:sz w:val="24"/>
          <w:highlight w:val="none"/>
        </w:rPr>
        <w:t>公章后生效。</w:t>
      </w:r>
    </w:p>
    <w:p w14:paraId="080D4E48">
      <w:pPr>
        <w:widowControl/>
        <w:snapToGrid w:val="0"/>
        <w:spacing w:line="440" w:lineRule="exact"/>
        <w:ind w:firstLine="487" w:firstLineChars="203"/>
        <w:rPr>
          <w:rFonts w:hint="eastAsia" w:ascii="仿宋" w:hAnsi="仿宋" w:eastAsia="仿宋" w:cs="仿宋"/>
          <w:kern w:val="0"/>
          <w:sz w:val="24"/>
          <w:highlight w:val="none"/>
        </w:rPr>
      </w:pPr>
      <w:r>
        <w:rPr>
          <w:rFonts w:hint="eastAsia" w:ascii="仿宋" w:hAnsi="仿宋" w:eastAsia="仿宋" w:cs="仿宋"/>
          <w:kern w:val="0"/>
          <w:sz w:val="24"/>
          <w:highlight w:val="none"/>
        </w:rPr>
        <w:t>本合同一式</w:t>
      </w:r>
      <w:r>
        <w:rPr>
          <w:rFonts w:hint="eastAsia" w:ascii="仿宋" w:hAnsi="仿宋" w:eastAsia="仿宋" w:cs="仿宋"/>
          <w:kern w:val="0"/>
          <w:sz w:val="24"/>
          <w:highlight w:val="none"/>
          <w:lang w:val="en-US" w:eastAsia="zh-CN"/>
        </w:rPr>
        <w:t>陆</w:t>
      </w:r>
      <w:r>
        <w:rPr>
          <w:rFonts w:hint="eastAsia" w:ascii="仿宋" w:hAnsi="仿宋" w:eastAsia="仿宋" w:cs="仿宋"/>
          <w:kern w:val="0"/>
          <w:sz w:val="24"/>
          <w:highlight w:val="none"/>
        </w:rPr>
        <w:t>份，甲乙双方各执</w:t>
      </w:r>
      <w:r>
        <w:rPr>
          <w:rFonts w:hint="eastAsia" w:ascii="仿宋" w:hAnsi="仿宋" w:eastAsia="仿宋" w:cs="仿宋"/>
          <w:kern w:val="0"/>
          <w:sz w:val="24"/>
          <w:highlight w:val="none"/>
          <w:lang w:val="en-US" w:eastAsia="zh-CN"/>
        </w:rPr>
        <w:t>叁</w:t>
      </w:r>
      <w:r>
        <w:rPr>
          <w:rFonts w:hint="eastAsia" w:ascii="仿宋" w:hAnsi="仿宋" w:eastAsia="仿宋" w:cs="仿宋"/>
          <w:kern w:val="0"/>
          <w:sz w:val="24"/>
          <w:highlight w:val="none"/>
        </w:rPr>
        <w:t>份。</w:t>
      </w:r>
    </w:p>
    <w:p w14:paraId="5954FE0E">
      <w:pPr>
        <w:widowControl/>
        <w:shd w:val="clear" w:color="auto" w:fill="FFFFFF"/>
        <w:adjustRightInd w:val="0"/>
        <w:snapToGrid w:val="0"/>
        <w:spacing w:line="400" w:lineRule="exact"/>
        <w:ind w:left="-171" w:firstLine="720" w:firstLineChars="300"/>
        <w:jc w:val="left"/>
        <w:textAlignment w:val="baseline"/>
        <w:rPr>
          <w:rFonts w:hint="eastAsia" w:ascii="仿宋" w:hAnsi="仿宋" w:eastAsia="仿宋" w:cs="仿宋"/>
          <w:bCs/>
          <w:sz w:val="24"/>
          <w:szCs w:val="24"/>
        </w:rPr>
      </w:pPr>
      <w:r>
        <w:rPr>
          <w:rFonts w:hint="eastAsia" w:ascii="仿宋" w:hAnsi="仿宋" w:eastAsia="仿宋" w:cs="仿宋"/>
          <w:kern w:val="0"/>
          <w:sz w:val="24"/>
        </w:rPr>
        <w:t>与本合同有关标书及记录同本合同具有同等法律效果。</w:t>
      </w:r>
    </w:p>
    <w:p w14:paraId="7C8FABC8">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甲方（公章）：                       乙方（公章）：</w:t>
      </w:r>
    </w:p>
    <w:p w14:paraId="3E75A8EA">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法定代表人或受委托人（签字）         法定代表人或受委托人（签字）</w:t>
      </w:r>
    </w:p>
    <w:p w14:paraId="77CE01C5">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地址：                               地址：</w:t>
      </w:r>
    </w:p>
    <w:p w14:paraId="4CE3BB41">
      <w:pPr>
        <w:widowControl/>
        <w:overflowPunct w:val="0"/>
        <w:autoSpaceDE w:val="0"/>
        <w:autoSpaceDN w:val="0"/>
        <w:adjustRightInd w:val="0"/>
        <w:snapToGrid w:val="0"/>
        <w:spacing w:line="440" w:lineRule="exact"/>
        <w:ind w:left="2"/>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电话：                               电话：</w:t>
      </w:r>
    </w:p>
    <w:p w14:paraId="44BF475E">
      <w:pPr>
        <w:widowControl/>
        <w:overflowPunct w:val="0"/>
        <w:autoSpaceDE w:val="0"/>
        <w:autoSpaceDN w:val="0"/>
        <w:adjustRightInd w:val="0"/>
        <w:snapToGrid w:val="0"/>
        <w:spacing w:line="440" w:lineRule="exact"/>
        <w:jc w:val="left"/>
        <w:textAlignment w:val="baseline"/>
        <w:rPr>
          <w:rFonts w:hint="eastAsia"/>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签约时间：</w:t>
      </w:r>
      <w:r>
        <w:rPr>
          <w:rFonts w:hint="eastAsia" w:ascii="宋体" w:hAnsi="宋体" w:eastAsia="宋体" w:cs="宋体"/>
          <w:kern w:val="0"/>
          <w:sz w:val="24"/>
          <w:szCs w:val="24"/>
        </w:rPr>
        <w:t xml:space="preserve">                   </w:t>
      </w:r>
    </w:p>
    <w:p w14:paraId="06C9A09E">
      <w:pPr>
        <w:rPr>
          <w:rFonts w:hint="eastAsia"/>
        </w:rPr>
      </w:pPr>
    </w:p>
    <w:p w14:paraId="1CF2A279">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6A1A6AB9">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655D9E7D">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06AC6EE4">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68F88B65">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63DAC5A2">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7AC66248">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7F448175">
      <w:pPr>
        <w:pStyle w:val="10"/>
        <w:tabs>
          <w:tab w:val="left" w:pos="4032"/>
          <w:tab w:val="left" w:pos="4992"/>
          <w:tab w:val="left" w:pos="5953"/>
        </w:tabs>
        <w:kinsoku w:val="0"/>
        <w:overflowPunct w:val="0"/>
        <w:spacing w:before="0" w:line="557" w:lineRule="exact"/>
        <w:ind w:right="94"/>
        <w:jc w:val="both"/>
        <w:rPr>
          <w:rFonts w:hint="eastAsia" w:ascii="仿宋" w:hAnsi="仿宋" w:eastAsia="仿宋" w:cs="仿宋"/>
          <w:b/>
          <w:bCs/>
          <w:sz w:val="32"/>
          <w:szCs w:val="32"/>
        </w:rPr>
      </w:pPr>
    </w:p>
    <w:p w14:paraId="67894A60">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p>
    <w:p w14:paraId="32E7BE36">
      <w:pPr>
        <w:pStyle w:val="10"/>
        <w:tabs>
          <w:tab w:val="left" w:pos="4032"/>
          <w:tab w:val="left" w:pos="4992"/>
          <w:tab w:val="left" w:pos="5953"/>
        </w:tabs>
        <w:kinsoku w:val="0"/>
        <w:overflowPunct w:val="0"/>
        <w:spacing w:before="0" w:line="557" w:lineRule="exact"/>
        <w:ind w:right="94"/>
        <w:jc w:val="center"/>
        <w:rPr>
          <w:rFonts w:hint="eastAsia" w:ascii="仿宋" w:hAnsi="仿宋" w:eastAsia="仿宋" w:cs="仿宋"/>
          <w:b/>
          <w:bCs/>
          <w:sz w:val="32"/>
          <w:szCs w:val="32"/>
        </w:rPr>
      </w:pPr>
      <w:r>
        <w:rPr>
          <w:rFonts w:hint="eastAsia" w:ascii="仿宋" w:hAnsi="仿宋" w:eastAsia="仿宋" w:cs="仿宋"/>
          <w:b/>
          <w:bCs/>
          <w:sz w:val="32"/>
          <w:szCs w:val="32"/>
        </w:rPr>
        <w:t>廉  政  协  议</w:t>
      </w:r>
    </w:p>
    <w:p w14:paraId="7A1C8E48">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为了进一步加强公共资源交易的廉政建设，特订立如下合同。</w:t>
      </w:r>
    </w:p>
    <w:p w14:paraId="5135E2C4">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一、甲、乙双方的权利和义务</w:t>
      </w:r>
    </w:p>
    <w:p w14:paraId="417F155B">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1、甲乙双方应严格遵守党的政策规定和国家有关法律法规。</w:t>
      </w:r>
    </w:p>
    <w:p w14:paraId="0A773510">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2、甲乙双方应严格执行项目的合同文件，自觉按合同办事。</w:t>
      </w:r>
    </w:p>
    <w:p w14:paraId="0711CEAD">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3、甲乙双方的业务活动应坚持公开、公平、公正、诚信、透明的原则。</w:t>
      </w:r>
    </w:p>
    <w:p w14:paraId="04A05BAE">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4、甲乙双方不得以任何理由向对方工作人员行贿或馈赠礼金、有价证券、贵重礼品。不得在对方报销任何应由个人支付的费用。</w:t>
      </w:r>
    </w:p>
    <w:p w14:paraId="2D2E1D15">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5、甲乙双方不得以任何理由违反廉洁自律的有关规定。</w:t>
      </w:r>
    </w:p>
    <w:p w14:paraId="029FC813">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6、甲乙双方发现对方严重违反本合同条款的行为，由及时提醒对方、向其上级有关部门举报、建议给予处理并要求告知处理结果的权利。</w:t>
      </w:r>
    </w:p>
    <w:p w14:paraId="23D4BAD0">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二、违约责任</w:t>
      </w:r>
    </w:p>
    <w:p w14:paraId="7D38D4C0">
      <w:pPr>
        <w:spacing w:line="4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1、甲、乙双方及其工作人员违反本合同有关规定的，按管理权限，依据有关规定给予经济处罚或追究党纪政纪责任；涉嫌犯罪的，移交司法机关追究刑事责任；给双方单位造成经济损失的，应给予赔偿。</w:t>
      </w:r>
    </w:p>
    <w:p w14:paraId="3EAB377B">
      <w:pPr>
        <w:spacing w:line="4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2、本合同一式</w:t>
      </w:r>
      <w:r>
        <w:rPr>
          <w:rFonts w:hint="eastAsia" w:ascii="仿宋" w:hAnsi="仿宋" w:eastAsia="仿宋" w:cs="仿宋"/>
          <w:sz w:val="24"/>
          <w:szCs w:val="24"/>
          <w:lang w:eastAsia="zh-CN"/>
        </w:rPr>
        <w:t>六</w:t>
      </w:r>
      <w:r>
        <w:rPr>
          <w:rFonts w:hint="eastAsia" w:ascii="仿宋" w:hAnsi="仿宋" w:eastAsia="仿宋" w:cs="仿宋"/>
          <w:sz w:val="24"/>
          <w:szCs w:val="24"/>
        </w:rPr>
        <w:t>份，由甲、乙双方各执</w:t>
      </w:r>
      <w:r>
        <w:rPr>
          <w:rFonts w:hint="eastAsia" w:ascii="仿宋" w:hAnsi="仿宋" w:eastAsia="仿宋" w:cs="仿宋"/>
          <w:sz w:val="24"/>
          <w:szCs w:val="24"/>
          <w:lang w:eastAsia="zh-CN"/>
        </w:rPr>
        <w:t>三</w:t>
      </w:r>
      <w:r>
        <w:rPr>
          <w:rFonts w:hint="eastAsia" w:ascii="仿宋" w:hAnsi="仿宋" w:eastAsia="仿宋" w:cs="仿宋"/>
          <w:sz w:val="24"/>
          <w:szCs w:val="24"/>
        </w:rPr>
        <w:t>份。</w:t>
      </w:r>
    </w:p>
    <w:p w14:paraId="0A451000">
      <w:pPr>
        <w:spacing w:line="460" w:lineRule="exact"/>
        <w:ind w:firstLine="600" w:firstLineChars="250"/>
        <w:rPr>
          <w:rFonts w:hint="eastAsia" w:ascii="仿宋" w:hAnsi="仿宋" w:eastAsia="仿宋" w:cs="仿宋"/>
          <w:sz w:val="24"/>
          <w:szCs w:val="24"/>
        </w:rPr>
      </w:pPr>
    </w:p>
    <w:p w14:paraId="2E633CD7">
      <w:pPr>
        <w:spacing w:line="460" w:lineRule="exact"/>
        <w:rPr>
          <w:rFonts w:hint="eastAsia" w:ascii="仿宋" w:hAnsi="仿宋" w:eastAsia="仿宋" w:cs="仿宋"/>
          <w:sz w:val="24"/>
          <w:szCs w:val="24"/>
        </w:rPr>
      </w:pPr>
      <w:r>
        <w:rPr>
          <w:rFonts w:hint="eastAsia" w:ascii="仿宋" w:hAnsi="仿宋" w:eastAsia="仿宋" w:cs="仿宋"/>
          <w:sz w:val="24"/>
          <w:szCs w:val="24"/>
        </w:rPr>
        <w:t>甲方单位（盖章）：                      乙方单位（盖章）</w:t>
      </w:r>
    </w:p>
    <w:p w14:paraId="609543B4">
      <w:pPr>
        <w:spacing w:line="460" w:lineRule="exact"/>
        <w:rPr>
          <w:rFonts w:hint="eastAsia" w:ascii="仿宋" w:hAnsi="仿宋" w:eastAsia="仿宋" w:cs="仿宋"/>
          <w:sz w:val="24"/>
          <w:szCs w:val="24"/>
        </w:rPr>
      </w:pPr>
    </w:p>
    <w:p w14:paraId="7B8AF3CD">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14:paraId="0F3B1C0B">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38F9CF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3DCFA5BA">
      <w:pPr>
        <w:spacing w:line="440" w:lineRule="exact"/>
        <w:rPr>
          <w:rFonts w:hint="eastAsia" w:ascii="宋体" w:hAnsi="宋体" w:eastAsia="宋体" w:cs="宋体"/>
          <w:b/>
          <w:sz w:val="24"/>
          <w:szCs w:val="24"/>
        </w:rPr>
      </w:pPr>
    </w:p>
    <w:p w14:paraId="3657D21E">
      <w:pPr>
        <w:spacing w:line="440" w:lineRule="exact"/>
        <w:rPr>
          <w:rFonts w:hint="eastAsia" w:ascii="宋体" w:hAnsi="宋体" w:eastAsia="宋体" w:cs="宋体"/>
          <w:b/>
          <w:sz w:val="24"/>
          <w:szCs w:val="24"/>
        </w:rPr>
      </w:pPr>
    </w:p>
    <w:p w14:paraId="40E685DF">
      <w:pPr>
        <w:spacing w:line="440" w:lineRule="exact"/>
        <w:rPr>
          <w:rFonts w:hint="eastAsia" w:ascii="宋体" w:hAnsi="宋体" w:eastAsia="宋体" w:cs="宋体"/>
          <w:b/>
          <w:sz w:val="24"/>
          <w:szCs w:val="24"/>
        </w:rPr>
      </w:pPr>
    </w:p>
    <w:p w14:paraId="7430B7E9">
      <w:pPr>
        <w:spacing w:line="440" w:lineRule="exact"/>
        <w:rPr>
          <w:rFonts w:hint="eastAsia" w:ascii="宋体" w:hAnsi="宋体" w:eastAsia="宋体" w:cs="宋体"/>
          <w:b/>
          <w:sz w:val="24"/>
          <w:szCs w:val="24"/>
        </w:rPr>
      </w:pPr>
    </w:p>
    <w:p w14:paraId="124292E1">
      <w:pPr>
        <w:spacing w:line="440" w:lineRule="exact"/>
        <w:rPr>
          <w:rFonts w:hint="eastAsia" w:ascii="宋体" w:hAnsi="宋体" w:eastAsia="宋体" w:cs="宋体"/>
          <w:b/>
          <w:sz w:val="24"/>
          <w:szCs w:val="24"/>
        </w:rPr>
      </w:pPr>
    </w:p>
    <w:p w14:paraId="7F7EE4A4">
      <w:pPr>
        <w:spacing w:line="440" w:lineRule="exact"/>
        <w:rPr>
          <w:rFonts w:hint="eastAsia" w:ascii="宋体" w:hAnsi="宋体" w:eastAsia="宋体" w:cs="宋体"/>
          <w:b/>
          <w:sz w:val="24"/>
          <w:szCs w:val="24"/>
        </w:rPr>
      </w:pPr>
    </w:p>
    <w:p w14:paraId="55F88859">
      <w:pPr>
        <w:spacing w:line="440" w:lineRule="exact"/>
        <w:rPr>
          <w:rFonts w:hint="eastAsia" w:ascii="宋体" w:hAnsi="宋体" w:eastAsia="宋体" w:cs="宋体"/>
          <w:b/>
          <w:sz w:val="24"/>
          <w:szCs w:val="24"/>
        </w:rPr>
      </w:pPr>
    </w:p>
    <w:p w14:paraId="0C9FA7BF">
      <w:pPr>
        <w:spacing w:line="440" w:lineRule="exact"/>
        <w:rPr>
          <w:rFonts w:hint="eastAsia" w:ascii="宋体" w:hAnsi="宋体" w:eastAsia="宋体" w:cs="宋体"/>
          <w:b/>
          <w:sz w:val="24"/>
          <w:szCs w:val="24"/>
        </w:rPr>
      </w:pPr>
    </w:p>
    <w:p w14:paraId="16F5A9E5">
      <w:pPr>
        <w:spacing w:line="440" w:lineRule="exact"/>
        <w:rPr>
          <w:rFonts w:hint="eastAsia" w:ascii="宋体" w:hAnsi="宋体" w:eastAsia="宋体" w:cs="宋体"/>
          <w:b/>
          <w:sz w:val="24"/>
          <w:szCs w:val="24"/>
        </w:rPr>
      </w:pPr>
    </w:p>
    <w:p w14:paraId="7507210F">
      <w:pPr>
        <w:spacing w:line="440" w:lineRule="exact"/>
        <w:rPr>
          <w:rFonts w:hint="eastAsia" w:ascii="宋体" w:hAnsi="宋体" w:eastAsia="宋体" w:cs="宋体"/>
          <w:b/>
          <w:sz w:val="32"/>
          <w:szCs w:val="32"/>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一</w:t>
      </w:r>
      <w:r>
        <w:rPr>
          <w:rFonts w:hint="eastAsia" w:ascii="宋体" w:hAnsi="宋体" w:eastAsia="宋体" w:cs="宋体"/>
          <w:b/>
          <w:sz w:val="24"/>
          <w:szCs w:val="24"/>
        </w:rPr>
        <w:t>：</w:t>
      </w:r>
    </w:p>
    <w:p w14:paraId="6567D9DC">
      <w:pPr>
        <w:snapToGrid w:val="0"/>
        <w:spacing w:line="440" w:lineRule="exact"/>
        <w:jc w:val="center"/>
        <w:rPr>
          <w:rFonts w:hint="eastAsia" w:ascii="宋体" w:hAnsi="宋体" w:eastAsia="宋体" w:cs="宋体"/>
          <w:b/>
          <w:sz w:val="32"/>
        </w:rPr>
      </w:pPr>
      <w:r>
        <w:rPr>
          <w:rFonts w:hint="eastAsia" w:ascii="宋体" w:hAnsi="宋体" w:eastAsia="宋体" w:cs="宋体"/>
          <w:b/>
          <w:sz w:val="32"/>
          <w:szCs w:val="32"/>
        </w:rPr>
        <w:t>报价</w:t>
      </w:r>
      <w:r>
        <w:rPr>
          <w:rFonts w:hint="eastAsia" w:ascii="宋体" w:hAnsi="宋体" w:eastAsia="宋体" w:cs="宋体"/>
          <w:b/>
          <w:sz w:val="32"/>
        </w:rPr>
        <w:t>一览表</w:t>
      </w:r>
    </w:p>
    <w:p w14:paraId="3C7B7414">
      <w:pPr>
        <w:keepNext w:val="0"/>
        <w:keepLines w:val="0"/>
        <w:pageBreakBefore w:val="0"/>
        <w:widowControl w:val="0"/>
        <w:kinsoku/>
        <w:wordWrap w:val="0"/>
        <w:overflowPunct/>
        <w:topLinePunct w:val="0"/>
        <w:autoSpaceDE/>
        <w:autoSpaceDN/>
        <w:bidi w:val="0"/>
        <w:adjustRightInd/>
        <w:snapToGrid/>
        <w:spacing w:beforeLines="0"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bl>
      <w:tblPr>
        <w:tblStyle w:val="24"/>
        <w:tblW w:w="5204"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201"/>
        <w:gridCol w:w="4700"/>
        <w:gridCol w:w="550"/>
        <w:gridCol w:w="583"/>
        <w:gridCol w:w="950"/>
        <w:gridCol w:w="933"/>
        <w:gridCol w:w="617"/>
      </w:tblGrid>
      <w:tr w14:paraId="7C34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DD0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B12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33A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A0D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BE5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92E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92C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总价（元）</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C0B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533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C1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03C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监控摄像机</w:t>
            </w:r>
          </w:p>
        </w:tc>
        <w:tc>
          <w:tcPr>
            <w:tcW w:w="2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F07B7">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1、名称：高清网络摄像机</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传感器总像素≥400万像素,自动聚焦、高分辨率彩色一体化摄像机;昼/夜型,540TVL,128X宽动态范围(WDR);视频输出支持1920X1080@60fps,1280X720@60fps,分辨力不小于1100TVL;最低照度彩色0.001Lux,黑白0.0001Lux;红外距离不小于400米;光学变倍≥37倍或更高;同时支持数字高清输出及标清模拟输出;RS422或RS485控制口,支持模拟控制;移动检测,图像增强及电子图像稳定,300个预置位,%%P0.1%%D预置位精度;480%%D/秒水平预置速度和200%%D/秒垂直预置速度;水平移动速度0.1到150%%D/秒;支持三码流同时输出,主码流、第三码流同时支持1920X1080@60fps,1280X720@60fps;支持云台优先级控制,485与网络可设置不同优先级;支持区域入侵、越界入侵、徘徊、物品遗留、物品移除、音频异常、人脸检测、人员聚集、快速移动、进入区域、离开区域,并联动报警;支持车牌识别</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369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817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25B2">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EC0A">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988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p>
        </w:tc>
      </w:tr>
      <w:tr w14:paraId="2A8B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C8E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E18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机箱（柜）</w:t>
            </w:r>
          </w:p>
        </w:tc>
        <w:tc>
          <w:tcPr>
            <w:tcW w:w="2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FB3B1">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1、名称：抱杆机箱</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2、规格：箱体尺寸W×D×H=400×300×550mm,304不锈钢钢板制作,箱体、方孔条、托盘1.5mm厚,箱门2mm厚;室外型,含小型断路器、空开等附件,带门锁、新型门轴;要求单面开门,箱体颜色与周边交通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DF74">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C8A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8E18">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B8E8">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315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p>
        </w:tc>
      </w:tr>
      <w:tr w14:paraId="677B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7E1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7D93">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电源避雷器</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A0C7">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1、名称：稳压电源1000w 220v单相</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2D5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FAA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431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8D1C">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FE2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p>
        </w:tc>
      </w:tr>
      <w:tr w14:paraId="2C89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6E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456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数据防雷器</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9611">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1、名称：摄像机电源 AC24V/3A</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C33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5A1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5D6">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8C0E">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10A">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77D3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F54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9ED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数据防雷器</w:t>
            </w:r>
          </w:p>
        </w:tc>
        <w:tc>
          <w:tcPr>
            <w:tcW w:w="2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37B3">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1、名称：网络信号防雷器RJ-45</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B9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8B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D0F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F953">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066B">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10D4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2E6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63F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数据防雷器</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0BC0">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1、名称：低压电源防雷器 SP-24DC10-2P</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08B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EA4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1ED2">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9E88">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4519">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1516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4F0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884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光端机</w:t>
            </w:r>
          </w:p>
        </w:tc>
        <w:tc>
          <w:tcPr>
            <w:tcW w:w="2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F570">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1、名称：中继光端机</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2路以上视频,2路数据(包含RS232/422等数据接口),2个千兆网口;视频指标:视频输入/输出阻抗75Ω(非平衡),视频输入/输出电压典型峰值1.0V,最大1.5V,频率响应5Hz~7.5MHz,微分增益(10-90%APL)&lt;1%%D(典型值),微分相位(10-90%APL)&lt;1%%D(典型值),信噪比70dB(加权);数据指标:速率0~115.2kbs,电平标准RS-232,RS485,RS-422,曼码速率0~100Mbps(Ethernet),误码率10-9;一般指标:工作度-40℃~+74℃;存放温度-40℃~+85℃;工作湿度0~95%无冷凝;平均无故障时间(MTBF)10万小时以上</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9A3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2E24">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56FC">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27AD">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ED10">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6ED4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11D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BDF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收发器</w:t>
            </w:r>
          </w:p>
        </w:tc>
        <w:tc>
          <w:tcPr>
            <w:tcW w:w="2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B499">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1、名称：光纤终端盒</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2、规格：4口FC光缆终端盒,含4只FC型光纤适配器,4条FC单芯单模光纤尾纤,1条FC-FC单芯单模光纤跳线,光纤熔接</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0CC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887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A22A">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D90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366">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5FA5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404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2B87">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标杆</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4457">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1.类型:类型:φ219×10L型长悬臂立杆;材质:无缝钢管;规格:高度10米,悬臂挑长6米;油漆:热浸镀锌后亚光喷漆处理;接地:25x4接地扁钢焊接L50x5x2500热镀锌角钢接地极;</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2.基础、垫层：基础:1100×1100×1500mmC25混凝土基础浇筑,基础开挖、回填、废弃料外运、基础浇筑、浇捣</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A35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D354">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566A">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7CAE">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2750">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59DC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0B2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E67A">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电缆</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03B5">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铜芯电力电缆敷设 YJV22-0.6/1kV-3×6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CF3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A8DF">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0E98">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66D8">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F208">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7945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B94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DF17">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电缆终端头</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A8F7">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干包式电力电缆终端头制作、安装 1kV以下（截面mm2以内）35~10mm2及以下三芯及以上铜芯电力电缆头敷设</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2B5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09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4509">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2959">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8F3B">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2B78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6E1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82F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配线</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677D">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1、名称：穿多芯软导线 RVV-3*1.5</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B86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5A5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5085">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4581">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E8A6">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10D3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484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D72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光缆</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5F71">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管内穿线 4芯室外单模光缆</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4C5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9649">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A609">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9E80">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DA49">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0EEC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F7E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58B5">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配线</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C497">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管内穿线 六类阻水网线</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386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B2A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DE67">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798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9C0B">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5A62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B8E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FE3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安装监控辅材</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50EE">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安装监控辅材</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CE8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0B96">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47D2">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AB79">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CDBB">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2655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8AE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16A0">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存储设备</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04D3">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1、名称：存储设备</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2、规格：高性能64位处理器,32G缓存,2个管理网络接口,单节点最大可提供216TB的存储容量,数据网络支持1Gb/10Gb/56Gb IB/100Gb IB/100Gb OPA,1+1冗余电源,内嵌高性能数据存取引擎,用于并行处理所有客户端的数据访问请求,内嵌高性能数据恢复引擎,支持节点间replication(多副本)/N+M(纠删码)数据冗余方式;对外提供FTP、NFS、CIFS、POSIX、HDFS、S3/Swift、RDMA等接口;存储节点采用传统的X86架构,单个存储系统可扩展到≥4096个存储节点;单一文件系统容量支持≥10PB;增加存储节点后,存储节点可自动实现数据负载均衡;存储容量扩展的同时,系统数据吞吐能力也线性增长;支持N+M纠删码数据保护,M可选1、2、4;数据保护不依赖磁盘RAID保护;全系统无单点故障;任意单个节点失效时,服务不停止,数据不丢失,支持磁盘坏道自动检测和自动纠错;NAS机头支持虚IP漂移;双口10G多模光纤网卡;双口10G多模光纤网卡(内部网络);IP负载均衡功能,公安内网告警推送功能,且可实现NAS写入HTTP读取等灵活选择方式。需要与交警大队原有的存储系统无缝对接,实现兼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101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70D1">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B5D1">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725D">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4CE4">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4AC2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9F0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359E">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网络服务器</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7AD9">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1、名称：服务器</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2、规格：2\2个Intel Xeon E5-2609四核2.4GHz,三级缓存4M以上;16GB内存(ECCDDR3),可支持12个内存插槽以上;2个2.5英寸 146G 15000转SAS硬盘,及1个智能阵列控制器;1个4端口千兆网络适配器,集成iLO4远程管理端口;3个以上PCI扩展插槽;标准的串口、并口、SAS接口、2个以上USB 2.0接口;冗余电源,460W热插拔电源;机架式安装</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5DB4">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2007">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C6A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BFD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50DF">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071D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3C3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E39D">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企业级硬盘</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9DD3">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 xml:space="preserve">1、名称：企业级硬盘  </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2、规格：6TB/128MB(12GB/秒 NCQ)/7200RPM/SAS 3.5HDD</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4A3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E2D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58E5">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AD22">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A1DD">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36CB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9CD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D2D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输入设备</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481F">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1、名称：1光8电传输设备</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2、规格：H8口百兆光纤收发器工业导轨式发送机;光口:1个百兆光口,距离20公里,LC口,单模单纤;电口:8个百兆网口;安装方式:工业导轨式</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3FF7">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AB93">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BFDD">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FDC1">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B7D9">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76CA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54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503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交换机</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77A1">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1、名称：汇聚交换机</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2、规格：支持24个10/100M自适应以太网RJ45接口,4个千兆SFP扩展槽,支持MR-Ring快速环网(自愈时间&lt;20ms),兼容STP/RSTP/MSTP生成树协议;支持ACL,对L2-L4层数据进行过滤;支持QoS,基于端口的流量监管,WRR、DRR、SP、队列调度算法、报文的802.1p;支持静态路由、策略路由、RIPV1/2、OSPF、IS-IS、BGP、虚拟路由冗余协议VRRP;支持IP组播PIM-SM、PIM-DM;支持IPv6路由OSPFv3、BGP4、SISv6,背板带宽13Gbps,包转发速率9.6Mpps,包缓存区10Mbit;宽×高×深:482.6×44×340mm,MTBF不小于350000小时</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B8E8">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台套</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DC62">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402">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3B74">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180A">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6EC8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D74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1243">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光缆接入点</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6700">
            <w:pPr>
              <w:keepNext w:val="0"/>
              <w:keepLines w:val="0"/>
              <w:pageBreakBefore w:val="0"/>
              <w:kinsoku/>
              <w:wordWrap w:val="0"/>
              <w:overflowPunct/>
              <w:topLinePunct w:val="0"/>
              <w:autoSpaceDE/>
              <w:autoSpaceDN/>
              <w:bidi w:val="0"/>
              <w:adjustRightInd/>
              <w:snapToGrid/>
              <w:spacing w:line="240" w:lineRule="atLeast"/>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VPN链路租用，租期三年</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168B">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C0EC">
            <w:pPr>
              <w:keepNext w:val="0"/>
              <w:keepLines w:val="0"/>
              <w:pageBreakBefore w:val="0"/>
              <w:kinsoku/>
              <w:wordWrap w:val="0"/>
              <w:overflowPunct/>
              <w:topLinePunct w:val="0"/>
              <w:autoSpaceDE/>
              <w:autoSpaceDN/>
              <w:bidi w:val="0"/>
              <w:adjustRightInd/>
              <w:snapToGrid/>
              <w:spacing w:line="240" w:lineRule="atLeast"/>
              <w:jc w:val="center"/>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szCs w:val="24"/>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AF16">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98F">
            <w:pPr>
              <w:keepNext w:val="0"/>
              <w:keepLines w:val="0"/>
              <w:pageBreakBefore w:val="0"/>
              <w:kinsoku/>
              <w:wordWrap w:val="0"/>
              <w:overflowPunct/>
              <w:topLinePunct w:val="0"/>
              <w:autoSpaceDE/>
              <w:autoSpaceDN/>
              <w:bidi w:val="0"/>
              <w:adjustRightInd/>
              <w:snapToGrid/>
              <w:spacing w:beforeLines="0" w:afterLines="0"/>
              <w:jc w:val="center"/>
              <w:rPr>
                <w:rFonts w:hint="eastAsia" w:ascii="宋体" w:hAnsi="宋体" w:eastAsiaTheme="minorEastAsia" w:cstheme="minorBidi"/>
                <w:color w:val="000000"/>
                <w:kern w:val="2"/>
                <w:sz w:val="18"/>
                <w:szCs w:val="24"/>
                <w:lang w:val="en-US" w:eastAsia="zh-CN" w:bidi="ar-SA"/>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438F">
            <w:pPr>
              <w:keepNext w:val="0"/>
              <w:keepLines w:val="0"/>
              <w:pageBreakBefore w:val="0"/>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r w14:paraId="1F44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4B723">
            <w:pPr>
              <w:spacing w:line="300" w:lineRule="exact"/>
              <w:jc w:val="center"/>
              <w:rPr>
                <w:rFonts w:hint="eastAsia" w:ascii="宋体" w:hAnsi="宋体" w:eastAsia="宋体" w:cs="宋体"/>
                <w:i w:val="0"/>
                <w:iCs w:val="0"/>
                <w:color w:val="000000"/>
                <w:sz w:val="22"/>
                <w:szCs w:val="22"/>
                <w:u w:val="none"/>
              </w:rPr>
            </w:pPr>
            <w:r>
              <w:rPr>
                <w:rFonts w:hint="eastAsia" w:ascii="宋体" w:hAnsi="宋体" w:eastAsia="宋体" w:cs="宋体"/>
                <w:b/>
                <w:bCs/>
                <w:sz w:val="22"/>
                <w:szCs w:val="22"/>
                <w:lang w:val="zh-CN"/>
              </w:rPr>
              <w:t>投标总价</w:t>
            </w:r>
          </w:p>
        </w:tc>
        <w:tc>
          <w:tcPr>
            <w:tcW w:w="415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25110">
            <w:pPr>
              <w:spacing w:line="320" w:lineRule="exact"/>
              <w:rPr>
                <w:rFonts w:hint="eastAsia" w:ascii="宋体" w:hAnsi="宋体" w:eastAsia="宋体" w:cs="宋体"/>
                <w:i w:val="0"/>
                <w:iCs w:val="0"/>
                <w:color w:val="000000"/>
                <w:sz w:val="22"/>
                <w:szCs w:val="22"/>
                <w:u w:val="none"/>
              </w:rPr>
            </w:pPr>
            <w:r>
              <w:rPr>
                <w:rFonts w:hint="eastAsia" w:ascii="宋体" w:hAnsi="宋体" w:eastAsia="宋体" w:cs="宋体"/>
                <w:sz w:val="22"/>
                <w:szCs w:val="22"/>
              </w:rPr>
              <w:t>（小写）￥：</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元，（大写）：</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元</w:t>
            </w:r>
          </w:p>
        </w:tc>
      </w:tr>
      <w:tr w14:paraId="7179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865CD">
            <w:pPr>
              <w:spacing w:line="300" w:lineRule="exact"/>
              <w:jc w:val="center"/>
              <w:rPr>
                <w:rFonts w:hint="eastAsia" w:ascii="宋体" w:hAnsi="宋体" w:eastAsia="宋体" w:cs="宋体"/>
                <w:i w:val="0"/>
                <w:iCs w:val="0"/>
                <w:color w:val="000000"/>
                <w:sz w:val="22"/>
                <w:szCs w:val="22"/>
                <w:u w:val="none"/>
              </w:rPr>
            </w:pPr>
            <w:r>
              <w:rPr>
                <w:rFonts w:hint="eastAsia" w:ascii="宋体" w:hAnsi="宋体" w:eastAsia="宋体" w:cs="宋体"/>
                <w:b/>
                <w:bCs/>
                <w:sz w:val="22"/>
                <w:szCs w:val="22"/>
                <w:lang w:val="zh-CN"/>
              </w:rPr>
              <w:t>质保期</w:t>
            </w:r>
          </w:p>
        </w:tc>
        <w:tc>
          <w:tcPr>
            <w:tcW w:w="415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0D586E">
            <w:pPr>
              <w:spacing w:line="3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lang w:eastAsia="zh-CN"/>
              </w:rPr>
              <w:t>年</w:t>
            </w:r>
          </w:p>
        </w:tc>
      </w:tr>
    </w:tbl>
    <w:p w14:paraId="014E7FB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1、设备安装按业主方要求实施，按实结算。</w:t>
      </w:r>
    </w:p>
    <w:p w14:paraId="169B3BE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2、报价以人民币为结算币种，运输装卸费、保险费、安装调试费、材料费、人工费、管理费、利润、税费等所有费用。</w:t>
      </w:r>
    </w:p>
    <w:p w14:paraId="5A3932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3、投标报价超过本项目综合单价限价和总价最高限价的，做无效标处理。</w:t>
      </w:r>
    </w:p>
    <w:p w14:paraId="3F566285">
      <w:pPr>
        <w:pStyle w:val="64"/>
        <w:keepNext w:val="0"/>
        <w:keepLines w:val="0"/>
        <w:pageBreakBefore w:val="0"/>
        <w:widowControl w:val="0"/>
        <w:kinsoku/>
        <w:wordWrap/>
        <w:overflowPunct/>
        <w:topLinePunct w:val="0"/>
        <w:autoSpaceDE/>
        <w:autoSpaceDN/>
        <w:bidi w:val="0"/>
        <w:adjustRightInd/>
        <w:snapToGrid w:val="0"/>
        <w:spacing w:beforeLines="0" w:line="360" w:lineRule="exact"/>
        <w:textAlignment w:val="auto"/>
        <w:rPr>
          <w:rFonts w:hint="eastAsia" w:ascii="宋体" w:hAnsi="宋体" w:eastAsia="宋体" w:cs="宋体"/>
          <w:b/>
          <w:bCs/>
          <w:color w:val="000000"/>
          <w:lang w:val="zh-CN"/>
        </w:rPr>
      </w:pPr>
      <w:r>
        <w:rPr>
          <w:rFonts w:hint="eastAsia" w:ascii="宋体" w:hAnsi="宋体" w:cs="宋体"/>
          <w:b/>
          <w:bCs/>
          <w:color w:val="000000"/>
          <w:lang w:val="en-US" w:eastAsia="zh-CN"/>
        </w:rPr>
        <w:t>4</w:t>
      </w:r>
      <w:r>
        <w:rPr>
          <w:rFonts w:hint="eastAsia" w:ascii="宋体" w:hAnsi="宋体" w:eastAsia="宋体" w:cs="宋体"/>
          <w:b/>
          <w:bCs/>
          <w:color w:val="000000"/>
          <w:lang w:val="en-US" w:eastAsia="zh-CN"/>
        </w:rPr>
        <w:t>、</w:t>
      </w:r>
      <w:r>
        <w:rPr>
          <w:rFonts w:hint="eastAsia" w:ascii="宋体" w:hAnsi="宋体" w:eastAsia="宋体" w:cs="宋体"/>
          <w:b/>
          <w:bCs/>
          <w:color w:val="000000"/>
          <w:lang w:val="zh-CN"/>
        </w:rPr>
        <w:t>“报价一览表”为多页的，每页均需加盖投标人电子签章。</w:t>
      </w:r>
    </w:p>
    <w:p w14:paraId="20DD75F3">
      <w:pPr>
        <w:pStyle w:val="64"/>
        <w:keepNext w:val="0"/>
        <w:keepLines w:val="0"/>
        <w:pageBreakBefore w:val="0"/>
        <w:widowControl w:val="0"/>
        <w:kinsoku/>
        <w:wordWrap/>
        <w:overflowPunct/>
        <w:topLinePunct w:val="0"/>
        <w:autoSpaceDE/>
        <w:autoSpaceDN/>
        <w:bidi w:val="0"/>
        <w:adjustRightInd/>
        <w:snapToGrid w:val="0"/>
        <w:spacing w:beforeLines="0" w:line="300" w:lineRule="exact"/>
        <w:ind w:firstLine="480" w:firstLineChars="200"/>
        <w:textAlignment w:val="auto"/>
        <w:rPr>
          <w:rFonts w:hint="eastAsia" w:ascii="宋体" w:hAnsi="宋体" w:eastAsia="宋体" w:cs="宋体"/>
          <w:color w:val="000000"/>
          <w:szCs w:val="24"/>
        </w:rPr>
      </w:pPr>
    </w:p>
    <w:p w14:paraId="52CB037B">
      <w:pPr>
        <w:pStyle w:val="64"/>
        <w:keepNext w:val="0"/>
        <w:keepLines w:val="0"/>
        <w:pageBreakBefore w:val="0"/>
        <w:widowControl w:val="0"/>
        <w:kinsoku/>
        <w:wordWrap/>
        <w:overflowPunct/>
        <w:topLinePunct w:val="0"/>
        <w:autoSpaceDE/>
        <w:autoSpaceDN/>
        <w:bidi w:val="0"/>
        <w:adjustRightInd/>
        <w:snapToGrid w:val="0"/>
        <w:spacing w:beforeLines="0" w:line="400" w:lineRule="exact"/>
        <w:ind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49C70D4C">
      <w:pPr>
        <w:keepNext w:val="0"/>
        <w:keepLines w:val="0"/>
        <w:pageBreakBefore w:val="0"/>
        <w:widowControl w:val="0"/>
        <w:kinsoku/>
        <w:wordWrap/>
        <w:overflowPunct/>
        <w:topLinePunct w:val="0"/>
        <w:autoSpaceDE/>
        <w:autoSpaceDN/>
        <w:bidi w:val="0"/>
        <w:adjustRightInd/>
        <w:snapToGrid w:val="0"/>
        <w:spacing w:beforeLines="0" w:line="400" w:lineRule="exact"/>
        <w:ind w:right="6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14:paraId="7C4A1D94">
      <w:pPr>
        <w:keepNext w:val="0"/>
        <w:keepLines w:val="0"/>
        <w:pageBreakBefore w:val="0"/>
        <w:widowControl w:val="0"/>
        <w:kinsoku/>
        <w:wordWrap/>
        <w:overflowPunct/>
        <w:topLinePunct w:val="0"/>
        <w:autoSpaceDE/>
        <w:autoSpaceDN/>
        <w:bidi w:val="0"/>
        <w:adjustRightInd/>
        <w:snapToGrid w:val="0"/>
        <w:spacing w:beforeLines="0" w:line="400" w:lineRule="exact"/>
        <w:ind w:firstLine="480" w:firstLineChars="200"/>
        <w:textAlignment w:val="auto"/>
        <w:rPr>
          <w:rFonts w:hint="eastAsia" w:ascii="宋体" w:hAnsi="宋体" w:eastAsia="宋体" w:cs="宋体"/>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14:paraId="16E00069">
      <w:pPr>
        <w:jc w:val="left"/>
        <w:rPr>
          <w:rFonts w:hint="eastAsia" w:ascii="宋体" w:hAnsi="宋体" w:eastAsia="宋体" w:cs="宋体"/>
          <w:b/>
          <w:bCs/>
          <w:sz w:val="24"/>
          <w:szCs w:val="24"/>
          <w:lang w:val="en-US" w:eastAsia="zh-CN"/>
        </w:rPr>
      </w:pPr>
    </w:p>
    <w:p w14:paraId="363207AD">
      <w:pPr>
        <w:jc w:val="left"/>
        <w:rPr>
          <w:rFonts w:hint="eastAsia" w:ascii="宋体" w:hAnsi="宋体" w:eastAsia="宋体" w:cs="宋体"/>
          <w:b/>
          <w:bCs/>
          <w:sz w:val="24"/>
          <w:szCs w:val="24"/>
          <w:lang w:val="en-US" w:eastAsia="zh-CN"/>
        </w:rPr>
      </w:pPr>
    </w:p>
    <w:p w14:paraId="4C72E9FC">
      <w:pPr>
        <w:jc w:val="left"/>
        <w:rPr>
          <w:rFonts w:hint="eastAsia" w:ascii="宋体" w:hAnsi="宋体" w:eastAsia="宋体" w:cs="宋体"/>
          <w:b/>
          <w:bCs/>
          <w:sz w:val="24"/>
          <w:szCs w:val="24"/>
          <w:lang w:val="en-US" w:eastAsia="zh-CN"/>
        </w:rPr>
      </w:pPr>
    </w:p>
    <w:p w14:paraId="200FF262">
      <w:pPr>
        <w:jc w:val="left"/>
        <w:rPr>
          <w:rFonts w:hint="eastAsia" w:ascii="宋体" w:hAnsi="宋体" w:eastAsia="宋体" w:cs="宋体"/>
          <w:b/>
          <w:bCs/>
          <w:sz w:val="24"/>
          <w:szCs w:val="24"/>
          <w:lang w:val="en-US" w:eastAsia="zh-CN"/>
        </w:rPr>
      </w:pPr>
    </w:p>
    <w:p w14:paraId="5421735C">
      <w:pPr>
        <w:jc w:val="left"/>
        <w:rPr>
          <w:rFonts w:hint="eastAsia" w:ascii="宋体" w:hAnsi="宋体" w:eastAsia="宋体" w:cs="宋体"/>
          <w:b/>
          <w:bCs/>
          <w:sz w:val="24"/>
          <w:szCs w:val="24"/>
          <w:lang w:val="en-US" w:eastAsia="zh-CN"/>
        </w:rPr>
      </w:pPr>
    </w:p>
    <w:p w14:paraId="04DC3F26">
      <w:pPr>
        <w:jc w:val="left"/>
        <w:rPr>
          <w:rFonts w:hint="eastAsia" w:ascii="宋体" w:hAnsi="宋体" w:eastAsia="宋体" w:cs="宋体"/>
          <w:b/>
          <w:bCs/>
          <w:sz w:val="24"/>
          <w:szCs w:val="24"/>
          <w:lang w:val="en-US" w:eastAsia="zh-CN"/>
        </w:rPr>
      </w:pPr>
    </w:p>
    <w:p w14:paraId="4542BFF0">
      <w:pPr>
        <w:jc w:val="left"/>
        <w:rPr>
          <w:rFonts w:hint="eastAsia" w:ascii="宋体" w:hAnsi="宋体" w:eastAsia="宋体" w:cs="宋体"/>
          <w:b/>
          <w:bCs/>
          <w:sz w:val="24"/>
          <w:szCs w:val="24"/>
          <w:lang w:val="en-US" w:eastAsia="zh-CN"/>
        </w:rPr>
      </w:pPr>
    </w:p>
    <w:p w14:paraId="28A8D015">
      <w:pPr>
        <w:jc w:val="left"/>
        <w:rPr>
          <w:rFonts w:hint="eastAsia" w:ascii="宋体" w:hAnsi="宋体" w:eastAsia="宋体" w:cs="宋体"/>
          <w:b/>
          <w:bCs/>
          <w:sz w:val="24"/>
          <w:szCs w:val="24"/>
          <w:lang w:val="en-US" w:eastAsia="zh-CN"/>
        </w:rPr>
      </w:pPr>
    </w:p>
    <w:p w14:paraId="61BB621C">
      <w:pPr>
        <w:jc w:val="left"/>
        <w:rPr>
          <w:rFonts w:hint="eastAsia" w:ascii="宋体" w:hAnsi="宋体" w:eastAsia="宋体" w:cs="宋体"/>
          <w:b/>
          <w:bCs/>
          <w:sz w:val="24"/>
          <w:szCs w:val="24"/>
          <w:lang w:val="en-US" w:eastAsia="zh-CN"/>
        </w:rPr>
      </w:pPr>
    </w:p>
    <w:p w14:paraId="2577CFEC">
      <w:pPr>
        <w:jc w:val="left"/>
        <w:rPr>
          <w:rFonts w:hint="eastAsia" w:ascii="宋体" w:hAnsi="宋体" w:eastAsia="宋体" w:cs="宋体"/>
          <w:b/>
          <w:bCs/>
          <w:sz w:val="24"/>
          <w:szCs w:val="24"/>
          <w:lang w:val="en-US" w:eastAsia="zh-CN"/>
        </w:rPr>
      </w:pPr>
    </w:p>
    <w:p w14:paraId="670E562B">
      <w:pPr>
        <w:jc w:val="left"/>
        <w:rPr>
          <w:rFonts w:hint="eastAsia" w:ascii="宋体" w:hAnsi="宋体" w:eastAsia="宋体" w:cs="宋体"/>
          <w:b/>
          <w:bCs/>
          <w:sz w:val="24"/>
          <w:szCs w:val="24"/>
          <w:lang w:val="en-US" w:eastAsia="zh-CN"/>
        </w:rPr>
      </w:pPr>
    </w:p>
    <w:p w14:paraId="42FA06C8">
      <w:pPr>
        <w:jc w:val="left"/>
        <w:rPr>
          <w:rFonts w:hint="eastAsia" w:ascii="宋体" w:hAnsi="宋体" w:eastAsia="宋体" w:cs="宋体"/>
          <w:b/>
          <w:bCs/>
          <w:sz w:val="24"/>
          <w:szCs w:val="24"/>
          <w:lang w:val="en-US" w:eastAsia="zh-CN"/>
        </w:rPr>
      </w:pPr>
    </w:p>
    <w:p w14:paraId="1661E224">
      <w:pPr>
        <w:jc w:val="left"/>
        <w:rPr>
          <w:rFonts w:hint="eastAsia" w:ascii="宋体" w:hAnsi="宋体" w:eastAsia="宋体" w:cs="宋体"/>
          <w:b/>
          <w:bCs/>
          <w:sz w:val="24"/>
          <w:szCs w:val="24"/>
          <w:lang w:val="en-US" w:eastAsia="zh-CN"/>
        </w:rPr>
      </w:pPr>
    </w:p>
    <w:p w14:paraId="7F898AF2">
      <w:pPr>
        <w:jc w:val="left"/>
        <w:rPr>
          <w:rFonts w:hint="eastAsia" w:ascii="宋体" w:hAnsi="宋体" w:eastAsia="宋体" w:cs="宋体"/>
          <w:b/>
          <w:bCs/>
          <w:sz w:val="24"/>
          <w:szCs w:val="24"/>
          <w:lang w:val="en-US" w:eastAsia="zh-CN"/>
        </w:rPr>
      </w:pPr>
    </w:p>
    <w:p w14:paraId="3F7C972B">
      <w:pPr>
        <w:jc w:val="left"/>
        <w:rPr>
          <w:rFonts w:hint="eastAsia" w:ascii="宋体" w:hAnsi="宋体" w:eastAsia="宋体" w:cs="宋体"/>
          <w:b/>
          <w:bCs/>
          <w:sz w:val="24"/>
          <w:szCs w:val="24"/>
          <w:lang w:val="en-US" w:eastAsia="zh-CN"/>
        </w:rPr>
      </w:pPr>
    </w:p>
    <w:p w14:paraId="44B047FE">
      <w:pPr>
        <w:jc w:val="left"/>
        <w:rPr>
          <w:rFonts w:hint="eastAsia" w:ascii="宋体" w:hAnsi="宋体" w:eastAsia="宋体" w:cs="宋体"/>
          <w:b/>
          <w:bCs/>
          <w:sz w:val="24"/>
          <w:szCs w:val="24"/>
          <w:lang w:val="en-US" w:eastAsia="zh-CN"/>
        </w:rPr>
      </w:pPr>
    </w:p>
    <w:p w14:paraId="2F7C3087">
      <w:pPr>
        <w:jc w:val="left"/>
        <w:rPr>
          <w:rFonts w:hint="eastAsia" w:ascii="宋体" w:hAnsi="宋体" w:eastAsia="宋体" w:cs="宋体"/>
          <w:b/>
          <w:bCs/>
          <w:sz w:val="24"/>
          <w:szCs w:val="24"/>
          <w:lang w:val="en-US" w:eastAsia="zh-CN"/>
        </w:rPr>
      </w:pPr>
    </w:p>
    <w:p w14:paraId="4FA8B2E2">
      <w:pPr>
        <w:jc w:val="left"/>
        <w:rPr>
          <w:rFonts w:hint="eastAsia" w:ascii="宋体" w:hAnsi="宋体" w:eastAsia="宋体" w:cs="宋体"/>
          <w:b/>
          <w:bCs/>
          <w:sz w:val="24"/>
          <w:szCs w:val="24"/>
          <w:lang w:val="en-US" w:eastAsia="zh-CN"/>
        </w:rPr>
      </w:pPr>
    </w:p>
    <w:p w14:paraId="480DCCBC">
      <w:pPr>
        <w:jc w:val="left"/>
        <w:rPr>
          <w:rFonts w:hint="eastAsia" w:ascii="宋体" w:hAnsi="宋体" w:eastAsia="宋体" w:cs="宋体"/>
          <w:b/>
          <w:bCs/>
          <w:sz w:val="24"/>
          <w:szCs w:val="24"/>
          <w:lang w:val="en-US" w:eastAsia="zh-CN"/>
        </w:rPr>
      </w:pPr>
    </w:p>
    <w:p w14:paraId="3A6E42F1">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附件三：</w:t>
      </w:r>
    </w:p>
    <w:p w14:paraId="77CA6C1C">
      <w:pPr>
        <w:jc w:val="center"/>
        <w:rPr>
          <w:rFonts w:hint="eastAsia" w:ascii="宋体" w:hAnsi="宋体" w:eastAsia="宋体" w:cs="宋体"/>
          <w:sz w:val="32"/>
          <w:szCs w:val="32"/>
        </w:rPr>
      </w:pPr>
      <w:r>
        <w:rPr>
          <w:rFonts w:hint="eastAsia" w:ascii="宋体" w:hAnsi="宋体" w:eastAsia="宋体" w:cs="宋体"/>
          <w:sz w:val="32"/>
          <w:szCs w:val="32"/>
        </w:rPr>
        <w:t>承诺书</w:t>
      </w:r>
    </w:p>
    <w:p w14:paraId="5118295A">
      <w:pPr>
        <w:ind w:firstLine="1120" w:firstLineChars="400"/>
        <w:rPr>
          <w:rFonts w:hint="eastAsia" w:ascii="宋体" w:hAnsi="宋体" w:eastAsia="宋体" w:cs="宋体"/>
          <w:sz w:val="28"/>
          <w:szCs w:val="28"/>
        </w:rPr>
      </w:pPr>
      <w:r>
        <w:rPr>
          <w:rFonts w:hint="eastAsia" w:ascii="宋体" w:hAnsi="宋体" w:eastAsia="宋体" w:cs="宋体"/>
          <w:sz w:val="28"/>
          <w:szCs w:val="28"/>
        </w:rPr>
        <w:t>兹______________________________________公司参与________________________项目在线询价（反向竞价）报价，我公司参与报价时严格按照采购人商务文件等要求，符合且按采购人要求提供___________、___________、____________、_________等资料。我公司承诺以上资料加盖公章，真实有效，符合采购人要求，若存在我方弄虚作假、所提供的资料不符合采购人要求（实质性材料内容不符合采购需求、未上传或上传不齐全所须采购需求）、系统或纸质报价错误，且采购系统自动成交中标的情形，我方同意并认可采购人进行取消我方中标资格，取消双方订单，不予签订合同等行为，由此引起的一切法律责任与经济纠纷由本公司承担。</w:t>
      </w:r>
    </w:p>
    <w:p w14:paraId="73D977F6">
      <w:pPr>
        <w:ind w:firstLine="1120" w:firstLineChars="400"/>
        <w:rPr>
          <w:rFonts w:hint="eastAsia" w:ascii="宋体" w:hAnsi="宋体" w:eastAsia="宋体" w:cs="宋体"/>
          <w:sz w:val="28"/>
          <w:szCs w:val="28"/>
        </w:rPr>
      </w:pPr>
    </w:p>
    <w:p w14:paraId="608734CA">
      <w:pPr>
        <w:ind w:firstLine="1120" w:firstLineChars="400"/>
        <w:rPr>
          <w:rFonts w:hint="eastAsia" w:ascii="宋体" w:hAnsi="宋体" w:eastAsia="宋体" w:cs="宋体"/>
          <w:sz w:val="28"/>
          <w:szCs w:val="28"/>
        </w:rPr>
      </w:pPr>
    </w:p>
    <w:p w14:paraId="2BE0CB60">
      <w:pPr>
        <w:ind w:firstLine="1440" w:firstLineChars="400"/>
        <w:jc w:val="both"/>
        <w:rPr>
          <w:rFonts w:hint="eastAsia" w:ascii="宋体" w:hAnsi="宋体" w:eastAsia="宋体" w:cs="宋体"/>
          <w:sz w:val="36"/>
          <w:szCs w:val="36"/>
        </w:rPr>
      </w:pPr>
    </w:p>
    <w:p w14:paraId="02A3EA24">
      <w:pPr>
        <w:pStyle w:val="64"/>
        <w:snapToGrid w:val="0"/>
        <w:spacing w:line="52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承诺人</w:t>
      </w:r>
      <w:r>
        <w:rPr>
          <w:rFonts w:hint="eastAsia" w:ascii="宋体" w:hAnsi="宋体" w:eastAsia="宋体" w:cs="宋体"/>
          <w:color w:val="auto"/>
          <w:sz w:val="28"/>
          <w:szCs w:val="28"/>
        </w:rPr>
        <w:t>全称（</w:t>
      </w:r>
      <w:r>
        <w:rPr>
          <w:rFonts w:hint="eastAsia" w:ascii="宋体" w:hAnsi="宋体" w:eastAsia="宋体" w:cs="宋体"/>
          <w:color w:val="auto"/>
          <w:kern w:val="0"/>
          <w:sz w:val="28"/>
          <w:szCs w:val="24"/>
          <w:lang w:val="zh-CN"/>
        </w:rPr>
        <w:t>盖公章</w:t>
      </w:r>
      <w:r>
        <w:rPr>
          <w:rFonts w:hint="eastAsia" w:ascii="宋体" w:hAnsi="宋体" w:eastAsia="宋体" w:cs="宋体"/>
          <w:color w:val="auto"/>
          <w:sz w:val="28"/>
          <w:szCs w:val="28"/>
        </w:rPr>
        <w:t>）：</w:t>
      </w:r>
    </w:p>
    <w:p w14:paraId="583F51CA">
      <w:pPr>
        <w:snapToGrid w:val="0"/>
        <w:spacing w:line="520" w:lineRule="exact"/>
        <w:ind w:right="600"/>
        <w:jc w:val="both"/>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法定代表人或授权代表（签名或签章）：</w:t>
      </w:r>
    </w:p>
    <w:p w14:paraId="70F0EFA9">
      <w:pPr>
        <w:snapToGrid w:val="0"/>
        <w:spacing w:line="520" w:lineRule="exact"/>
        <w:jc w:val="both"/>
        <w:rPr>
          <w:rFonts w:hint="eastAsia" w:ascii="宋体" w:hAnsi="宋体" w:eastAsia="宋体" w:cs="宋体"/>
          <w:b/>
          <w:color w:val="auto"/>
          <w:sz w:val="36"/>
          <w:szCs w:val="36"/>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年     月     日</w:t>
      </w:r>
    </w:p>
    <w:p w14:paraId="5D0AB7E1">
      <w:pPr>
        <w:pStyle w:val="10"/>
        <w:keepNext w:val="0"/>
        <w:keepLines w:val="0"/>
        <w:pageBreakBefore w:val="0"/>
        <w:kinsoku/>
        <w:wordWrap/>
        <w:topLinePunct w:val="0"/>
        <w:bidi w:val="0"/>
        <w:spacing w:after="0" w:line="440" w:lineRule="exact"/>
        <w:rPr>
          <w:rFonts w:hint="eastAsia" w:ascii="宋体" w:hAnsi="宋体" w:eastAsia="宋体" w:cs="宋体"/>
          <w:sz w:val="22"/>
          <w:szCs w:val="22"/>
        </w:rPr>
      </w:pPr>
    </w:p>
    <w:sectPr>
      <w:pgSz w:w="11906" w:h="16838"/>
      <w:pgMar w:top="1134" w:right="1247" w:bottom="1134"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_x0004_falt">
    <w:altName w:val="PMingLiU-ExtB"/>
    <w:panose1 w:val="020205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01EC9"/>
    <w:multiLevelType w:val="singleLevel"/>
    <w:tmpl w:val="B0601EC9"/>
    <w:lvl w:ilvl="0" w:tentative="0">
      <w:start w:val="3"/>
      <w:numFmt w:val="chineseCounting"/>
      <w:suff w:val="nothing"/>
      <w:lvlText w:val="%1、"/>
      <w:lvlJc w:val="left"/>
      <w:rPr>
        <w:rFonts w:hint="eastAsia"/>
      </w:rPr>
    </w:lvl>
  </w:abstractNum>
  <w:abstractNum w:abstractNumId="1">
    <w:nsid w:val="C1C38200"/>
    <w:multiLevelType w:val="singleLevel"/>
    <w:tmpl w:val="C1C38200"/>
    <w:lvl w:ilvl="0" w:tentative="0">
      <w:start w:val="1"/>
      <w:numFmt w:val="decimal"/>
      <w:lvlText w:val="%1."/>
      <w:lvlJc w:val="left"/>
      <w:pPr>
        <w:tabs>
          <w:tab w:val="left" w:pos="312"/>
        </w:tabs>
      </w:pPr>
    </w:lvl>
  </w:abstractNum>
  <w:abstractNum w:abstractNumId="2">
    <w:nsid w:val="3361593E"/>
    <w:multiLevelType w:val="multilevel"/>
    <w:tmpl w:val="3361593E"/>
    <w:lvl w:ilvl="0" w:tentative="0">
      <w:start w:val="1"/>
      <w:numFmt w:val="decimal"/>
      <w:isLgl/>
      <w:suff w:val="space"/>
      <w:lvlText w:val="%1"/>
      <w:lvlJc w:val="left"/>
      <w:pPr>
        <w:ind w:left="425" w:hanging="425"/>
      </w:pPr>
      <w:rPr>
        <w:rFonts w:hint="eastAsia" w:eastAsia="宋体"/>
        <w:b/>
        <w:i w:val="0"/>
        <w:sz w:val="48"/>
      </w:rPr>
    </w:lvl>
    <w:lvl w:ilvl="1" w:tentative="0">
      <w:start w:val="1"/>
      <w:numFmt w:val="decimal"/>
      <w:isLgl/>
      <w:suff w:val="space"/>
      <w:lvlText w:val="%1.%2"/>
      <w:lvlJc w:val="left"/>
      <w:pPr>
        <w:ind w:left="992" w:hanging="879"/>
      </w:pPr>
      <w:rPr>
        <w:rFonts w:hint="eastAsia" w:eastAsia="黑体"/>
        <w:b/>
        <w:i w:val="0"/>
        <w:sz w:val="36"/>
      </w:rPr>
    </w:lvl>
    <w:lvl w:ilvl="2" w:tentative="0">
      <w:start w:val="1"/>
      <w:numFmt w:val="decimal"/>
      <w:isLgl/>
      <w:suff w:val="space"/>
      <w:lvlText w:val="%1.%2.%3"/>
      <w:lvlJc w:val="left"/>
      <w:pPr>
        <w:ind w:left="1418" w:hanging="1191"/>
      </w:pPr>
      <w:rPr>
        <w:rFonts w:hint="eastAsia" w:eastAsia="宋体"/>
        <w:b/>
        <w:i w:val="0"/>
        <w:sz w:val="32"/>
      </w:rPr>
    </w:lvl>
    <w:lvl w:ilvl="3" w:tentative="0">
      <w:start w:val="1"/>
      <w:numFmt w:val="decimal"/>
      <w:pStyle w:val="5"/>
      <w:lvlText w:val="%4."/>
      <w:lvlJc w:val="left"/>
      <w:pPr>
        <w:ind w:left="5046" w:hanging="1644"/>
      </w:pPr>
      <w:rPr>
        <w:rFonts w:hint="default"/>
        <w:b/>
        <w:i w:val="0"/>
        <w:sz w:val="28"/>
        <w:szCs w:val="30"/>
      </w:rPr>
    </w:lvl>
    <w:lvl w:ilvl="4" w:tentative="0">
      <w:start w:val="1"/>
      <w:numFmt w:val="decimal"/>
      <w:suff w:val="space"/>
      <w:lvlText w:val="%1.%2.%3.%4.%5"/>
      <w:lvlJc w:val="left"/>
      <w:pPr>
        <w:ind w:left="2551" w:hanging="2097"/>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suff w:val="space"/>
      <w:lvlText w:val="%1.%2.%3.%4.%5.%6"/>
      <w:lvlJc w:val="left"/>
      <w:pPr>
        <w:ind w:left="3260" w:hanging="2693"/>
      </w:pPr>
      <w:rPr>
        <w:rFonts w:hint="default" w:ascii="宋体" w:hAnsi="宋体" w:eastAsia="宋体"/>
        <w:b/>
        <w:i w:val="0"/>
        <w:szCs w:val="24"/>
      </w:rPr>
    </w:lvl>
    <w:lvl w:ilvl="6" w:tentative="0">
      <w:start w:val="1"/>
      <w:numFmt w:val="decimal"/>
      <w:suff w:val="space"/>
      <w:lvlText w:val="%1.%2.%3.%4.%5.%6.%7"/>
      <w:lvlJc w:val="left"/>
      <w:pPr>
        <w:ind w:left="3827" w:hanging="3147"/>
      </w:pPr>
      <w:rPr>
        <w:rFonts w:hint="eastAsia"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suff w:val="space"/>
      <w:lvlText w:val="%1.%2.%3.%4.%5.%6.%7.%8"/>
      <w:lvlJc w:val="left"/>
      <w:pPr>
        <w:ind w:left="4394" w:hanging="3600"/>
      </w:pPr>
      <w:rPr>
        <w:rFonts w:hint="eastAsia" w:eastAsia="黑体"/>
        <w:b/>
        <w:i w:val="0"/>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OTYwMGIxNjJjMDVmYWMwY2Y3NzliNzE5NTQ3M2IifQ=="/>
    <w:docVar w:name="KSO_WPS_MARK_KEY" w:val="08d0d81d-f57e-4036-9c4f-889a1e134677"/>
  </w:docVars>
  <w:rsids>
    <w:rsidRoot w:val="00172A27"/>
    <w:rsid w:val="00017031"/>
    <w:rsid w:val="00033042"/>
    <w:rsid w:val="00042845"/>
    <w:rsid w:val="00074150"/>
    <w:rsid w:val="0009536D"/>
    <w:rsid w:val="000A5B1E"/>
    <w:rsid w:val="000D55A6"/>
    <w:rsid w:val="000E0C1A"/>
    <w:rsid w:val="000E6B71"/>
    <w:rsid w:val="000E7EA6"/>
    <w:rsid w:val="00102FD4"/>
    <w:rsid w:val="00120FA8"/>
    <w:rsid w:val="0012697D"/>
    <w:rsid w:val="00134ED0"/>
    <w:rsid w:val="00144B78"/>
    <w:rsid w:val="00150FBC"/>
    <w:rsid w:val="001C3A0D"/>
    <w:rsid w:val="001C723E"/>
    <w:rsid w:val="001E46D3"/>
    <w:rsid w:val="002141B9"/>
    <w:rsid w:val="0022084E"/>
    <w:rsid w:val="00281E35"/>
    <w:rsid w:val="00292A2C"/>
    <w:rsid w:val="00295D02"/>
    <w:rsid w:val="002A6FAD"/>
    <w:rsid w:val="002F593A"/>
    <w:rsid w:val="002F5B98"/>
    <w:rsid w:val="0033471E"/>
    <w:rsid w:val="003526B8"/>
    <w:rsid w:val="00377F98"/>
    <w:rsid w:val="003944DE"/>
    <w:rsid w:val="003958A3"/>
    <w:rsid w:val="003968B8"/>
    <w:rsid w:val="003A17EA"/>
    <w:rsid w:val="003A7FC5"/>
    <w:rsid w:val="003C04CE"/>
    <w:rsid w:val="003C2218"/>
    <w:rsid w:val="003E20D0"/>
    <w:rsid w:val="00400286"/>
    <w:rsid w:val="00403465"/>
    <w:rsid w:val="0041160F"/>
    <w:rsid w:val="00416225"/>
    <w:rsid w:val="00424176"/>
    <w:rsid w:val="004A2166"/>
    <w:rsid w:val="004C26BC"/>
    <w:rsid w:val="004D74AE"/>
    <w:rsid w:val="004D7822"/>
    <w:rsid w:val="004E4E85"/>
    <w:rsid w:val="004E61BE"/>
    <w:rsid w:val="004F7AB4"/>
    <w:rsid w:val="00527846"/>
    <w:rsid w:val="00554463"/>
    <w:rsid w:val="005B6728"/>
    <w:rsid w:val="005D741A"/>
    <w:rsid w:val="005D769D"/>
    <w:rsid w:val="005F251D"/>
    <w:rsid w:val="005F2E25"/>
    <w:rsid w:val="00615743"/>
    <w:rsid w:val="006516E0"/>
    <w:rsid w:val="006A3484"/>
    <w:rsid w:val="006D36E3"/>
    <w:rsid w:val="006D710F"/>
    <w:rsid w:val="006E2691"/>
    <w:rsid w:val="00704858"/>
    <w:rsid w:val="007252CA"/>
    <w:rsid w:val="00740AF2"/>
    <w:rsid w:val="007477DA"/>
    <w:rsid w:val="00754656"/>
    <w:rsid w:val="00755522"/>
    <w:rsid w:val="00764C6A"/>
    <w:rsid w:val="00767CEB"/>
    <w:rsid w:val="007711C6"/>
    <w:rsid w:val="007765CC"/>
    <w:rsid w:val="007923B9"/>
    <w:rsid w:val="007D010D"/>
    <w:rsid w:val="007E2CD6"/>
    <w:rsid w:val="007F0086"/>
    <w:rsid w:val="008046AC"/>
    <w:rsid w:val="00811F0E"/>
    <w:rsid w:val="00812717"/>
    <w:rsid w:val="00812A22"/>
    <w:rsid w:val="00815D9A"/>
    <w:rsid w:val="00816541"/>
    <w:rsid w:val="00826626"/>
    <w:rsid w:val="008335A6"/>
    <w:rsid w:val="00896050"/>
    <w:rsid w:val="008A2C07"/>
    <w:rsid w:val="008E0EEE"/>
    <w:rsid w:val="008F40C8"/>
    <w:rsid w:val="00900DC5"/>
    <w:rsid w:val="0091433A"/>
    <w:rsid w:val="00924693"/>
    <w:rsid w:val="00937417"/>
    <w:rsid w:val="009412B7"/>
    <w:rsid w:val="0095103E"/>
    <w:rsid w:val="009633D0"/>
    <w:rsid w:val="00990D78"/>
    <w:rsid w:val="00992309"/>
    <w:rsid w:val="009B2F83"/>
    <w:rsid w:val="00A712E7"/>
    <w:rsid w:val="00A97805"/>
    <w:rsid w:val="00AA5E8B"/>
    <w:rsid w:val="00AB6B00"/>
    <w:rsid w:val="00AC1835"/>
    <w:rsid w:val="00AF5644"/>
    <w:rsid w:val="00B343A0"/>
    <w:rsid w:val="00B417F1"/>
    <w:rsid w:val="00BC5D68"/>
    <w:rsid w:val="00BE2108"/>
    <w:rsid w:val="00C22B8E"/>
    <w:rsid w:val="00C568EC"/>
    <w:rsid w:val="00C833DE"/>
    <w:rsid w:val="00C873AD"/>
    <w:rsid w:val="00CA56F8"/>
    <w:rsid w:val="00CE4B71"/>
    <w:rsid w:val="00D1499E"/>
    <w:rsid w:val="00D21296"/>
    <w:rsid w:val="00D33958"/>
    <w:rsid w:val="00D40032"/>
    <w:rsid w:val="00D70303"/>
    <w:rsid w:val="00D71EF6"/>
    <w:rsid w:val="00D75D96"/>
    <w:rsid w:val="00D84392"/>
    <w:rsid w:val="00D90C7D"/>
    <w:rsid w:val="00DC19A1"/>
    <w:rsid w:val="00DE175A"/>
    <w:rsid w:val="00DE1FAB"/>
    <w:rsid w:val="00DE4C14"/>
    <w:rsid w:val="00DF44D5"/>
    <w:rsid w:val="00DF7871"/>
    <w:rsid w:val="00E10CB3"/>
    <w:rsid w:val="00E1516E"/>
    <w:rsid w:val="00E26E8D"/>
    <w:rsid w:val="00E36E32"/>
    <w:rsid w:val="00E37C75"/>
    <w:rsid w:val="00E83819"/>
    <w:rsid w:val="00E86D3D"/>
    <w:rsid w:val="00E95471"/>
    <w:rsid w:val="00E9551F"/>
    <w:rsid w:val="00EA25CA"/>
    <w:rsid w:val="00EA6631"/>
    <w:rsid w:val="00EC5A47"/>
    <w:rsid w:val="00ED0F63"/>
    <w:rsid w:val="00ED628E"/>
    <w:rsid w:val="00F01F77"/>
    <w:rsid w:val="00F13C16"/>
    <w:rsid w:val="00F22814"/>
    <w:rsid w:val="00F465D7"/>
    <w:rsid w:val="00FB431E"/>
    <w:rsid w:val="00FB52E8"/>
    <w:rsid w:val="00FD3688"/>
    <w:rsid w:val="03AC7D7B"/>
    <w:rsid w:val="056E1EC4"/>
    <w:rsid w:val="06A532C7"/>
    <w:rsid w:val="074071BA"/>
    <w:rsid w:val="07B37BF2"/>
    <w:rsid w:val="0B7838E0"/>
    <w:rsid w:val="0C9A175C"/>
    <w:rsid w:val="0E080602"/>
    <w:rsid w:val="0F5B5C8D"/>
    <w:rsid w:val="10221A23"/>
    <w:rsid w:val="10C4229A"/>
    <w:rsid w:val="118B0CF5"/>
    <w:rsid w:val="13B577E8"/>
    <w:rsid w:val="146E5DC0"/>
    <w:rsid w:val="154B7FCF"/>
    <w:rsid w:val="16E70E4C"/>
    <w:rsid w:val="17DB1E51"/>
    <w:rsid w:val="17F46AE7"/>
    <w:rsid w:val="1954439D"/>
    <w:rsid w:val="1BF016E0"/>
    <w:rsid w:val="1C1B0443"/>
    <w:rsid w:val="1EE97F24"/>
    <w:rsid w:val="1FD84ACA"/>
    <w:rsid w:val="23751213"/>
    <w:rsid w:val="275E4112"/>
    <w:rsid w:val="28127EEE"/>
    <w:rsid w:val="291B6B32"/>
    <w:rsid w:val="2938573F"/>
    <w:rsid w:val="2A726B96"/>
    <w:rsid w:val="2B6B0791"/>
    <w:rsid w:val="2BC31225"/>
    <w:rsid w:val="2CA90664"/>
    <w:rsid w:val="2D2956FD"/>
    <w:rsid w:val="2D7B53AD"/>
    <w:rsid w:val="2E85004F"/>
    <w:rsid w:val="2FAC43AF"/>
    <w:rsid w:val="32243C5D"/>
    <w:rsid w:val="322851EE"/>
    <w:rsid w:val="35772498"/>
    <w:rsid w:val="36044A3E"/>
    <w:rsid w:val="380D523C"/>
    <w:rsid w:val="3AA34D2C"/>
    <w:rsid w:val="3AB422ED"/>
    <w:rsid w:val="3C47364C"/>
    <w:rsid w:val="3DC14B05"/>
    <w:rsid w:val="428C70B0"/>
    <w:rsid w:val="44731D65"/>
    <w:rsid w:val="44DA55D4"/>
    <w:rsid w:val="47E0603D"/>
    <w:rsid w:val="480A6306"/>
    <w:rsid w:val="48E629B4"/>
    <w:rsid w:val="493B09A4"/>
    <w:rsid w:val="4D5F01AF"/>
    <w:rsid w:val="4ECC4356"/>
    <w:rsid w:val="52097120"/>
    <w:rsid w:val="52A81D6A"/>
    <w:rsid w:val="5381362D"/>
    <w:rsid w:val="562543F0"/>
    <w:rsid w:val="57276F71"/>
    <w:rsid w:val="57AE5F14"/>
    <w:rsid w:val="57E552C6"/>
    <w:rsid w:val="5A541DB1"/>
    <w:rsid w:val="5C3B2EDB"/>
    <w:rsid w:val="5DD02E0E"/>
    <w:rsid w:val="60981941"/>
    <w:rsid w:val="617C5C7D"/>
    <w:rsid w:val="64946810"/>
    <w:rsid w:val="657109B0"/>
    <w:rsid w:val="67031FB0"/>
    <w:rsid w:val="695F311C"/>
    <w:rsid w:val="6B317E61"/>
    <w:rsid w:val="6CC42272"/>
    <w:rsid w:val="6E664879"/>
    <w:rsid w:val="6E8E3403"/>
    <w:rsid w:val="6EC323D4"/>
    <w:rsid w:val="7035239D"/>
    <w:rsid w:val="70670D22"/>
    <w:rsid w:val="71DD099A"/>
    <w:rsid w:val="722C460E"/>
    <w:rsid w:val="72D36754"/>
    <w:rsid w:val="773118D1"/>
    <w:rsid w:val="7D3470D8"/>
    <w:rsid w:val="7EBE7ADB"/>
    <w:rsid w:val="7F42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ind w:left="1020"/>
      <w:outlineLvl w:val="1"/>
    </w:pPr>
    <w:rPr>
      <w:rFonts w:ascii="PMingLiU_x0004_falt" w:hAnsi="PMingLiU_x0004_falt" w:eastAsia="PMingLiU_x0004_falt" w:cs="PMingLiU_x0004_falt"/>
      <w:sz w:val="24"/>
      <w:lang w:val="zh-CN"/>
    </w:rPr>
  </w:style>
  <w:style w:type="paragraph" w:styleId="4">
    <w:name w:val="heading 3"/>
    <w:basedOn w:val="1"/>
    <w:next w:val="1"/>
    <w:link w:val="40"/>
    <w:qFormat/>
    <w:uiPriority w:val="0"/>
    <w:pPr>
      <w:keepNext/>
      <w:keepLines/>
      <w:spacing w:before="260" w:after="260" w:line="415" w:lineRule="auto"/>
      <w:outlineLvl w:val="2"/>
    </w:pPr>
    <w:rPr>
      <w:rFonts w:ascii="Times New Roman" w:hAnsi="Times New Roman" w:eastAsia="宋体" w:cs="Times New Roman"/>
      <w:b/>
      <w:sz w:val="32"/>
    </w:rPr>
  </w:style>
  <w:style w:type="paragraph" w:styleId="5">
    <w:name w:val="heading 4"/>
    <w:basedOn w:val="1"/>
    <w:next w:val="1"/>
    <w:qFormat/>
    <w:uiPriority w:val="9"/>
    <w:pPr>
      <w:keepNext/>
      <w:keepLines/>
      <w:numPr>
        <w:ilvl w:val="3"/>
        <w:numId w:val="1"/>
      </w:numPr>
      <w:spacing w:before="280" w:after="290" w:line="377" w:lineRule="auto"/>
      <w:jc w:val="left"/>
      <w:outlineLvl w:val="3"/>
    </w:pPr>
    <w:rPr>
      <w:rFonts w:ascii="Cambria" w:hAnsi="Cambria"/>
      <w:b/>
      <w:bCs/>
      <w:sz w:val="28"/>
      <w:szCs w:val="28"/>
    </w:rPr>
  </w:style>
  <w:style w:type="paragraph" w:styleId="6">
    <w:name w:val="heading 5"/>
    <w:basedOn w:val="1"/>
    <w:next w:val="1"/>
    <w:qFormat/>
    <w:uiPriority w:val="0"/>
    <w:pPr>
      <w:keepNext/>
      <w:keepLines/>
      <w:spacing w:after="120" w:line="360" w:lineRule="auto"/>
      <w:outlineLvl w:val="4"/>
    </w:pPr>
    <w:rPr>
      <w:rFonts w:eastAsia="微软雅黑"/>
      <w:b/>
      <w:bCs/>
      <w:kern w:val="0"/>
      <w:sz w:val="24"/>
      <w:szCs w:val="24"/>
    </w:rPr>
  </w:style>
  <w:style w:type="paragraph" w:styleId="7">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0"/>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9">
    <w:name w:val="annotation text"/>
    <w:basedOn w:val="1"/>
    <w:link w:val="57"/>
    <w:qFormat/>
    <w:uiPriority w:val="0"/>
    <w:pPr>
      <w:jc w:val="left"/>
    </w:pPr>
  </w:style>
  <w:style w:type="paragraph" w:styleId="10">
    <w:name w:val="Body Text"/>
    <w:basedOn w:val="1"/>
    <w:next w:val="1"/>
    <w:semiHidden/>
    <w:unhideWhenUsed/>
    <w:qFormat/>
    <w:uiPriority w:val="99"/>
    <w:pPr>
      <w:spacing w:after="120"/>
    </w:pPr>
  </w:style>
  <w:style w:type="paragraph" w:styleId="11">
    <w:name w:val="Body Text Indent"/>
    <w:basedOn w:val="1"/>
    <w:next w:val="1"/>
    <w:link w:val="60"/>
    <w:qFormat/>
    <w:uiPriority w:val="0"/>
    <w:pPr>
      <w:ind w:firstLine="645"/>
    </w:pPr>
    <w:rPr>
      <w:rFonts w:ascii="Times New Roman" w:hAnsi="Times New Roman" w:eastAsia="宋体" w:cs="Times New Roman"/>
      <w:sz w:val="28"/>
    </w:rPr>
  </w:style>
  <w:style w:type="paragraph" w:styleId="12">
    <w:name w:val="Plain Text"/>
    <w:basedOn w:val="1"/>
    <w:next w:val="1"/>
    <w:link w:val="36"/>
    <w:qFormat/>
    <w:uiPriority w:val="0"/>
    <w:rPr>
      <w:rFonts w:ascii="宋体" w:hAnsi="Courier New" w:eastAsia="宋体"/>
    </w:rPr>
  </w:style>
  <w:style w:type="paragraph" w:styleId="13">
    <w:name w:val="Date"/>
    <w:basedOn w:val="1"/>
    <w:next w:val="1"/>
    <w:link w:val="58"/>
    <w:qFormat/>
    <w:uiPriority w:val="0"/>
    <w:pPr>
      <w:ind w:left="100" w:leftChars="2500"/>
    </w:pPr>
    <w:rPr>
      <w:rFonts w:ascii="Times New Roman" w:hAnsi="Times New Roman" w:eastAsia="宋体" w:cs="Times New Roman"/>
    </w:rPr>
  </w:style>
  <w:style w:type="paragraph" w:styleId="14">
    <w:name w:val="Body Text Indent 2"/>
    <w:basedOn w:val="1"/>
    <w:link w:val="56"/>
    <w:qFormat/>
    <w:uiPriority w:val="0"/>
    <w:pPr>
      <w:spacing w:after="120" w:line="480" w:lineRule="auto"/>
      <w:ind w:left="420" w:leftChars="200"/>
    </w:pPr>
    <w:rPr>
      <w:szCs w:val="20"/>
    </w:rPr>
  </w:style>
  <w:style w:type="paragraph" w:styleId="15">
    <w:name w:val="Balloon Text"/>
    <w:basedOn w:val="1"/>
    <w:link w:val="38"/>
    <w:unhideWhenUsed/>
    <w:qFormat/>
    <w:uiPriority w:val="0"/>
    <w:rPr>
      <w:sz w:val="18"/>
      <w:szCs w:val="18"/>
    </w:rPr>
  </w:style>
  <w:style w:type="paragraph" w:styleId="16">
    <w:name w:val="footer"/>
    <w:basedOn w:val="1"/>
    <w:link w:val="32"/>
    <w:unhideWhenUsed/>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right" w:leader="dot" w:pos="9231"/>
      </w:tabs>
      <w:spacing w:after="100" w:line="276" w:lineRule="auto"/>
      <w:jc w:val="center"/>
    </w:pPr>
    <w:rPr>
      <w:rFonts w:ascii="Times New Roman" w:hAnsi="Times New Roman" w:eastAsia="仿宋_GB2312" w:cs="Times New Roman"/>
      <w:kern w:val="0"/>
      <w:sz w:val="28"/>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9"/>
    <w:next w:val="9"/>
    <w:link w:val="59"/>
    <w:qFormat/>
    <w:uiPriority w:val="0"/>
    <w:rPr>
      <w:b/>
      <w:bCs/>
    </w:rPr>
  </w:style>
  <w:style w:type="paragraph" w:styleId="22">
    <w:name w:val="Body Text First Indent"/>
    <w:basedOn w:val="10"/>
    <w:next w:val="1"/>
    <w:qFormat/>
    <w:uiPriority w:val="0"/>
    <w:pPr>
      <w:ind w:firstLine="420" w:firstLineChars="100"/>
    </w:pPr>
    <w:rPr>
      <w:rFonts w:ascii="Calibri" w:hAnsi="Calibri"/>
    </w:rPr>
  </w:style>
  <w:style w:type="paragraph" w:styleId="23">
    <w:name w:val="Body Text First Indent 2"/>
    <w:basedOn w:val="11"/>
    <w:qFormat/>
    <w:uiPriority w:val="0"/>
    <w:pPr>
      <w:spacing w:before="0" w:beforeLines="0"/>
      <w:ind w:firstLine="420" w:firstLineChars="200"/>
    </w:pPr>
    <w:rPr>
      <w:rFonts w:ascii="宋体" w:hAnsi="Courier New"/>
      <w:spacing w:val="-4"/>
      <w:kern w:val="0"/>
      <w:sz w:val="20"/>
      <w:szCs w:val="24"/>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Normal Indent1"/>
    <w:basedOn w:val="1"/>
    <w:qFormat/>
    <w:uiPriority w:val="0"/>
    <w:pPr>
      <w:ind w:firstLine="420" w:firstLineChars="200"/>
    </w:pPr>
  </w:style>
  <w:style w:type="character" w:customStyle="1" w:styleId="31">
    <w:name w:val="页眉 Char"/>
    <w:basedOn w:val="26"/>
    <w:link w:val="18"/>
    <w:qFormat/>
    <w:uiPriority w:val="99"/>
    <w:rPr>
      <w:sz w:val="18"/>
      <w:szCs w:val="18"/>
    </w:rPr>
  </w:style>
  <w:style w:type="character" w:customStyle="1" w:styleId="32">
    <w:name w:val="页脚 Char"/>
    <w:basedOn w:val="26"/>
    <w:link w:val="16"/>
    <w:semiHidden/>
    <w:qFormat/>
    <w:uiPriority w:val="99"/>
    <w:rPr>
      <w:sz w:val="18"/>
      <w:szCs w:val="18"/>
    </w:rPr>
  </w:style>
  <w:style w:type="character" w:customStyle="1" w:styleId="33">
    <w:name w:val="可研正文 Char"/>
    <w:basedOn w:val="26"/>
    <w:link w:val="34"/>
    <w:qFormat/>
    <w:locked/>
    <w:uiPriority w:val="99"/>
    <w:rPr>
      <w:rFonts w:ascii="Calibri" w:hAnsi="Calibri" w:cs="Times New Roman"/>
      <w:sz w:val="28"/>
      <w:szCs w:val="28"/>
    </w:rPr>
  </w:style>
  <w:style w:type="paragraph" w:customStyle="1" w:styleId="34">
    <w:name w:val="可研正文"/>
    <w:basedOn w:val="1"/>
    <w:link w:val="33"/>
    <w:qFormat/>
    <w:uiPriority w:val="99"/>
    <w:pPr>
      <w:adjustRightInd w:val="0"/>
      <w:spacing w:line="360" w:lineRule="auto"/>
      <w:ind w:firstLine="200" w:firstLineChars="200"/>
    </w:pPr>
    <w:rPr>
      <w:rFonts w:ascii="Calibri" w:hAnsi="Calibri" w:cs="Times New Roman"/>
      <w:sz w:val="28"/>
      <w:szCs w:val="28"/>
    </w:rPr>
  </w:style>
  <w:style w:type="character" w:customStyle="1" w:styleId="35">
    <w:name w:val="纯文本 Char"/>
    <w:basedOn w:val="26"/>
    <w:qFormat/>
    <w:locked/>
    <w:uiPriority w:val="0"/>
    <w:rPr>
      <w:rFonts w:ascii="宋体" w:hAnsi="Courier New" w:eastAsia="宋体"/>
    </w:rPr>
  </w:style>
  <w:style w:type="character" w:customStyle="1" w:styleId="36">
    <w:name w:val="纯文本 Char1"/>
    <w:basedOn w:val="26"/>
    <w:link w:val="12"/>
    <w:semiHidden/>
    <w:qFormat/>
    <w:uiPriority w:val="99"/>
    <w:rPr>
      <w:rFonts w:ascii="宋体" w:hAnsi="Courier New" w:eastAsia="宋体" w:cs="Courier New"/>
      <w:szCs w:val="21"/>
    </w:rPr>
  </w:style>
  <w:style w:type="character" w:customStyle="1" w:styleId="37">
    <w:name w:val="样式 仿宋"/>
    <w:qFormat/>
    <w:uiPriority w:val="0"/>
    <w:rPr>
      <w:rFonts w:ascii="仿宋" w:eastAsia="仿宋"/>
      <w:kern w:val="2"/>
      <w:sz w:val="21"/>
      <w:szCs w:val="21"/>
    </w:rPr>
  </w:style>
  <w:style w:type="character" w:customStyle="1" w:styleId="38">
    <w:name w:val="批注框文本 Char"/>
    <w:basedOn w:val="26"/>
    <w:link w:val="15"/>
    <w:qFormat/>
    <w:uiPriority w:val="0"/>
    <w:rPr>
      <w:sz w:val="18"/>
      <w:szCs w:val="18"/>
    </w:rPr>
  </w:style>
  <w:style w:type="character" w:customStyle="1" w:styleId="39">
    <w:name w:val="标题 1 Char"/>
    <w:basedOn w:val="26"/>
    <w:link w:val="2"/>
    <w:qFormat/>
    <w:uiPriority w:val="0"/>
    <w:rPr>
      <w:rFonts w:ascii="Times New Roman" w:hAnsi="Times New Roman" w:eastAsia="宋体" w:cs="Times New Roman"/>
      <w:b/>
      <w:bCs/>
      <w:kern w:val="44"/>
      <w:sz w:val="44"/>
      <w:szCs w:val="44"/>
    </w:rPr>
  </w:style>
  <w:style w:type="character" w:customStyle="1" w:styleId="40">
    <w:name w:val="标题 3 Char"/>
    <w:basedOn w:val="26"/>
    <w:link w:val="4"/>
    <w:qFormat/>
    <w:uiPriority w:val="0"/>
    <w:rPr>
      <w:rFonts w:ascii="Times New Roman" w:hAnsi="Times New Roman" w:eastAsia="宋体" w:cs="Times New Roman"/>
      <w:b/>
      <w:kern w:val="2"/>
      <w:sz w:val="32"/>
      <w:szCs w:val="22"/>
    </w:rPr>
  </w:style>
  <w:style w:type="character" w:customStyle="1" w:styleId="41">
    <w:name w:val="正文缩进 Char"/>
    <w:link w:val="8"/>
    <w:qFormat/>
    <w:uiPriority w:val="0"/>
    <w:rPr>
      <w:rFonts w:ascii="宋体" w:hAnsi="Times New Roman" w:eastAsia="宋体" w:cs="Times New Roman"/>
      <w:snapToGrid w:val="0"/>
      <w:color w:val="000000"/>
      <w:kern w:val="28"/>
      <w:sz w:val="28"/>
    </w:rPr>
  </w:style>
  <w:style w:type="character" w:customStyle="1" w:styleId="42">
    <w:name w:val="zbggmain style9"/>
    <w:basedOn w:val="26"/>
    <w:qFormat/>
    <w:uiPriority w:val="0"/>
  </w:style>
  <w:style w:type="character" w:customStyle="1" w:styleId="43">
    <w:name w:val="批注文字 Char"/>
    <w:link w:val="9"/>
    <w:qFormat/>
    <w:uiPriority w:val="0"/>
    <w:rPr>
      <w:kern w:val="2"/>
      <w:sz w:val="21"/>
      <w:szCs w:val="22"/>
    </w:rPr>
  </w:style>
  <w:style w:type="character" w:customStyle="1" w:styleId="44">
    <w:name w:val="无间隔 Char"/>
    <w:link w:val="45"/>
    <w:qFormat/>
    <w:uiPriority w:val="0"/>
    <w:rPr>
      <w:rFonts w:eastAsia="Times New Roman"/>
      <w:sz w:val="22"/>
      <w:szCs w:val="22"/>
    </w:rPr>
  </w:style>
  <w:style w:type="paragraph" w:styleId="45">
    <w:name w:val="No Spacing"/>
    <w:link w:val="44"/>
    <w:qFormat/>
    <w:uiPriority w:val="0"/>
    <w:rPr>
      <w:rFonts w:eastAsia="Times New Roman" w:asciiTheme="minorHAnsi" w:hAnsiTheme="minorHAnsi" w:cstheme="minorBidi"/>
      <w:sz w:val="22"/>
      <w:szCs w:val="22"/>
      <w:lang w:val="en-US" w:eastAsia="zh-CN" w:bidi="ar-SA"/>
    </w:rPr>
  </w:style>
  <w:style w:type="character" w:customStyle="1" w:styleId="46">
    <w:name w:val="样式 黑色"/>
    <w:qFormat/>
    <w:uiPriority w:val="0"/>
    <w:rPr>
      <w:color w:val="000000"/>
      <w:spacing w:val="4"/>
    </w:rPr>
  </w:style>
  <w:style w:type="character" w:customStyle="1" w:styleId="47">
    <w:name w:val="正文文本缩进 2 Char"/>
    <w:link w:val="14"/>
    <w:qFormat/>
    <w:uiPriority w:val="0"/>
    <w:rPr>
      <w:kern w:val="2"/>
      <w:sz w:val="21"/>
    </w:rPr>
  </w:style>
  <w:style w:type="character" w:customStyle="1" w:styleId="48">
    <w:name w:val="批注主题 Char"/>
    <w:link w:val="21"/>
    <w:qFormat/>
    <w:uiPriority w:val="0"/>
    <w:rPr>
      <w:b/>
      <w:bCs/>
      <w:kern w:val="2"/>
      <w:sz w:val="21"/>
      <w:szCs w:val="22"/>
    </w:rPr>
  </w:style>
  <w:style w:type="character" w:customStyle="1" w:styleId="49">
    <w:name w:val="纯文本 Char Char Char Char Char Char Char Char Char Char Char Char Char Char3"/>
    <w:qFormat/>
    <w:locked/>
    <w:uiPriority w:val="0"/>
    <w:rPr>
      <w:rFonts w:ascii="宋体" w:hAnsi="Courier New" w:eastAsia="宋体" w:cs="Courier New"/>
      <w:kern w:val="2"/>
      <w:sz w:val="21"/>
      <w:szCs w:val="21"/>
      <w:lang w:val="en-US" w:eastAsia="zh-CN" w:bidi="ar-SA"/>
    </w:rPr>
  </w:style>
  <w:style w:type="character" w:customStyle="1" w:styleId="50">
    <w:name w:val="引用 Char"/>
    <w:qFormat/>
    <w:uiPriority w:val="29"/>
    <w:rPr>
      <w:i/>
      <w:iCs/>
      <w:color w:val="000000"/>
      <w:kern w:val="2"/>
      <w:sz w:val="21"/>
      <w:szCs w:val="22"/>
    </w:rPr>
  </w:style>
  <w:style w:type="paragraph" w:styleId="51">
    <w:name w:val="Quote"/>
    <w:basedOn w:val="1"/>
    <w:next w:val="1"/>
    <w:link w:val="68"/>
    <w:qFormat/>
    <w:uiPriority w:val="29"/>
    <w:rPr>
      <w:i/>
      <w:iCs/>
      <w:color w:val="000000"/>
    </w:rPr>
  </w:style>
  <w:style w:type="character" w:customStyle="1" w:styleId="52">
    <w:name w:val="textcontents1"/>
    <w:qFormat/>
    <w:uiPriority w:val="0"/>
    <w:rPr>
      <w:color w:val="000000"/>
      <w:sz w:val="30"/>
      <w:szCs w:val="30"/>
    </w:rPr>
  </w:style>
  <w:style w:type="character" w:customStyle="1" w:styleId="53">
    <w:name w:val="td21"/>
    <w:qFormat/>
    <w:uiPriority w:val="0"/>
    <w:rPr>
      <w:sz w:val="21"/>
      <w:szCs w:val="21"/>
      <w:u w:val="none"/>
    </w:rPr>
  </w:style>
  <w:style w:type="character" w:customStyle="1" w:styleId="54">
    <w:name w:val="标题 41"/>
    <w:qFormat/>
    <w:uiPriority w:val="0"/>
    <w:rPr>
      <w:rFonts w:ascii="Arial" w:hAnsi="Arial" w:eastAsia="宋体"/>
      <w:b/>
      <w:spacing w:val="10"/>
      <w:kern w:val="24"/>
      <w:sz w:val="24"/>
      <w:lang w:val="en-US" w:eastAsia="zh-CN" w:bidi="ar-SA"/>
    </w:rPr>
  </w:style>
  <w:style w:type="paragraph" w:customStyle="1" w:styleId="55">
    <w:name w:val="肖正"/>
    <w:basedOn w:val="1"/>
    <w:qFormat/>
    <w:uiPriority w:val="0"/>
    <w:pPr>
      <w:ind w:firstLine="567"/>
    </w:pPr>
    <w:rPr>
      <w:rFonts w:ascii="Times New Roman" w:hAnsi="Times New Roman" w:eastAsia="宋体" w:cs="Times New Roman"/>
      <w:sz w:val="24"/>
      <w:szCs w:val="18"/>
    </w:rPr>
  </w:style>
  <w:style w:type="character" w:customStyle="1" w:styleId="56">
    <w:name w:val="正文文本缩进 2 Char1"/>
    <w:basedOn w:val="26"/>
    <w:link w:val="14"/>
    <w:semiHidden/>
    <w:qFormat/>
    <w:uiPriority w:val="99"/>
    <w:rPr>
      <w:kern w:val="2"/>
      <w:sz w:val="21"/>
      <w:szCs w:val="22"/>
    </w:rPr>
  </w:style>
  <w:style w:type="character" w:customStyle="1" w:styleId="57">
    <w:name w:val="批注文字 Char1"/>
    <w:basedOn w:val="26"/>
    <w:link w:val="9"/>
    <w:semiHidden/>
    <w:qFormat/>
    <w:uiPriority w:val="99"/>
    <w:rPr>
      <w:kern w:val="2"/>
      <w:sz w:val="21"/>
      <w:szCs w:val="22"/>
    </w:rPr>
  </w:style>
  <w:style w:type="character" w:customStyle="1" w:styleId="58">
    <w:name w:val="日期 Char"/>
    <w:basedOn w:val="26"/>
    <w:link w:val="13"/>
    <w:qFormat/>
    <w:uiPriority w:val="0"/>
    <w:rPr>
      <w:rFonts w:ascii="Times New Roman" w:hAnsi="Times New Roman" w:eastAsia="宋体" w:cs="Times New Roman"/>
      <w:kern w:val="2"/>
      <w:sz w:val="21"/>
      <w:szCs w:val="22"/>
    </w:rPr>
  </w:style>
  <w:style w:type="character" w:customStyle="1" w:styleId="59">
    <w:name w:val="批注主题 Char1"/>
    <w:basedOn w:val="57"/>
    <w:link w:val="21"/>
    <w:semiHidden/>
    <w:qFormat/>
    <w:uiPriority w:val="99"/>
    <w:rPr>
      <w:b/>
      <w:bCs/>
    </w:rPr>
  </w:style>
  <w:style w:type="character" w:customStyle="1" w:styleId="60">
    <w:name w:val="正文文本缩进 Char"/>
    <w:basedOn w:val="26"/>
    <w:link w:val="11"/>
    <w:qFormat/>
    <w:uiPriority w:val="0"/>
    <w:rPr>
      <w:rFonts w:ascii="Times New Roman" w:hAnsi="Times New Roman" w:eastAsia="宋体" w:cs="Times New Roman"/>
      <w:kern w:val="2"/>
      <w:sz w:val="28"/>
      <w:szCs w:val="22"/>
    </w:rPr>
  </w:style>
  <w:style w:type="paragraph" w:customStyle="1" w:styleId="61">
    <w:name w:val="03"/>
    <w:basedOn w:val="1"/>
    <w:qFormat/>
    <w:uiPriority w:val="0"/>
    <w:pPr>
      <w:spacing w:line="500" w:lineRule="exact"/>
      <w:ind w:firstLine="567"/>
    </w:pPr>
    <w:rPr>
      <w:rFonts w:ascii="Times New Roman" w:hAnsi="Times New Roman" w:eastAsia="宋体" w:cs="Times New Roman"/>
      <w:spacing w:val="20"/>
      <w:sz w:val="28"/>
      <w:szCs w:val="20"/>
    </w:rPr>
  </w:style>
  <w:style w:type="paragraph" w:customStyle="1" w:styleId="62">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styleId="63">
    <w:name w:val="List Paragraph"/>
    <w:basedOn w:val="1"/>
    <w:qFormat/>
    <w:uiPriority w:val="0"/>
    <w:pPr>
      <w:ind w:firstLine="420" w:firstLineChars="200"/>
    </w:pPr>
    <w:rPr>
      <w:rFonts w:ascii="Times New Roman" w:hAnsi="Times New Roman" w:eastAsia="宋体" w:cs="Times New Roman"/>
      <w:szCs w:val="24"/>
    </w:rPr>
  </w:style>
  <w:style w:type="paragraph" w:customStyle="1" w:styleId="64">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65">
    <w:name w:val="_正文"/>
    <w:basedOn w:val="1"/>
    <w:qFormat/>
    <w:uiPriority w:val="0"/>
    <w:pPr>
      <w:tabs>
        <w:tab w:val="left" w:pos="540"/>
      </w:tabs>
      <w:spacing w:line="360" w:lineRule="auto"/>
      <w:ind w:firstLine="200" w:firstLineChars="200"/>
    </w:pPr>
    <w:rPr>
      <w:rFonts w:ascii="Times New Roman" w:hAnsi="Times New Roman" w:eastAsia="宋体" w:cs="Arial"/>
      <w:sz w:val="24"/>
    </w:rPr>
  </w:style>
  <w:style w:type="paragraph" w:customStyle="1" w:styleId="66">
    <w:name w:val="2"/>
    <w:basedOn w:val="1"/>
    <w:next w:val="1"/>
    <w:qFormat/>
    <w:uiPriority w:val="0"/>
    <w:rPr>
      <w:rFonts w:ascii="Times New Roman" w:hAnsi="Times New Roman" w:eastAsia="仿宋_GB2312" w:cs="Times New Roman"/>
      <w:sz w:val="18"/>
      <w:szCs w:val="20"/>
    </w:rPr>
  </w:style>
  <w:style w:type="paragraph" w:customStyle="1" w:styleId="67">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68">
    <w:name w:val="引用 Char1"/>
    <w:basedOn w:val="26"/>
    <w:link w:val="51"/>
    <w:semiHidden/>
    <w:qFormat/>
    <w:uiPriority w:val="99"/>
    <w:rPr>
      <w:i/>
      <w:iCs/>
      <w:color w:val="000000" w:themeColor="text1"/>
      <w:kern w:val="2"/>
      <w:sz w:val="21"/>
      <w:szCs w:val="22"/>
      <w14:textFill>
        <w14:solidFill>
          <w14:schemeClr w14:val="tx1"/>
        </w14:solidFill>
      </w14:textFill>
    </w:rPr>
  </w:style>
  <w:style w:type="paragraph" w:customStyle="1" w:styleId="69">
    <w:name w:val="标题4"/>
    <w:basedOn w:val="1"/>
    <w:qFormat/>
    <w:uiPriority w:val="0"/>
    <w:rPr>
      <w:rFonts w:ascii="Times New Roman" w:hAnsi="Times New Roman" w:eastAsia="仿宋_GB2312" w:cs="Times New Roman"/>
      <w:sz w:val="32"/>
    </w:rPr>
  </w:style>
  <w:style w:type="paragraph" w:customStyle="1" w:styleId="70">
    <w:name w:val="列出段落1"/>
    <w:basedOn w:val="1"/>
    <w:qFormat/>
    <w:uiPriority w:val="1"/>
    <w:pPr>
      <w:ind w:firstLine="420" w:firstLineChars="200"/>
    </w:pPr>
    <w:rPr>
      <w:rFonts w:ascii="Calibri" w:hAnsi="Calibri"/>
    </w:rPr>
  </w:style>
  <w:style w:type="paragraph" w:customStyle="1" w:styleId="71">
    <w:name w:val="样式1"/>
    <w:basedOn w:val="8"/>
    <w:qFormat/>
    <w:uiPriority w:val="0"/>
    <w:pPr>
      <w:adjustRightInd w:val="0"/>
      <w:ind w:firstLine="510" w:firstLineChars="0"/>
      <w:textAlignment w:val="baseline"/>
    </w:pPr>
    <w:rPr>
      <w:rFonts w:ascii="宋体"/>
      <w:kern w:val="0"/>
      <w:sz w:val="24"/>
      <w:szCs w:val="20"/>
    </w:rPr>
  </w:style>
  <w:style w:type="character" w:customStyle="1" w:styleId="72">
    <w:name w:val="font81"/>
    <w:basedOn w:val="26"/>
    <w:qFormat/>
    <w:uiPriority w:val="0"/>
    <w:rPr>
      <w:rFonts w:hint="eastAsia" w:ascii="宋体" w:hAnsi="宋体" w:eastAsia="宋体" w:cs="宋体"/>
      <w:color w:val="000000"/>
      <w:sz w:val="20"/>
      <w:szCs w:val="20"/>
      <w:u w:val="none"/>
    </w:rPr>
  </w:style>
  <w:style w:type="character" w:customStyle="1" w:styleId="73">
    <w:name w:val="font91"/>
    <w:basedOn w:val="26"/>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5966</Words>
  <Characters>7185</Characters>
  <Lines>10</Lines>
  <Paragraphs>3</Paragraphs>
  <TotalTime>33</TotalTime>
  <ScaleCrop>false</ScaleCrop>
  <LinksUpToDate>false</LinksUpToDate>
  <CharactersWithSpaces>7423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2017-08-30T02:49:00Z</dcterms:created>
  <dc:creator>lenovo</dc:creator>
  <cp:lastModifiedBy>鱼跃江水</cp:lastModifiedBy>
  <cp:lastPrinted>2023-09-26T09:28:00Z</cp:lastPrinted>
  <dcterms:modified xsi:type="dcterms:W3CDTF">2025-07-07T09:54:34Z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D7FAEFA0B88643D2991895B7003110AE</vt:lpwstr>
  </property>
  <property fmtid="{D5CDD505-2E9C-101B-9397-08002B2CF9AE}" pid="4" name="KSOTemplateDocerSaveRecord">
    <vt:lpwstr>eyJoZGlkIjoiNmIyZjBlZjZmOGU1ZDA5Y2I4MWVlZDBlYWMyYWU4YzciLCJ1c2VySWQiOiI4MzM1MjM1OTYifQ==</vt:lpwstr>
  </property>
</Properties>
</file>