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AC70F">
      <w:pPr>
        <w:spacing w:line="600" w:lineRule="exact"/>
        <w:jc w:val="center"/>
        <w:rPr>
          <w:rFonts w:hint="default" w:ascii="宋体" w:hAnsi="宋体" w:cs="宋体"/>
          <w:b/>
          <w:bCs/>
          <w:color w:val="auto"/>
          <w:sz w:val="30"/>
          <w:szCs w:val="30"/>
          <w:highlight w:val="none"/>
          <w:lang w:val="en-US"/>
        </w:rPr>
      </w:pPr>
      <w:r>
        <w:rPr>
          <w:rFonts w:hint="eastAsia" w:ascii="宋体" w:hAnsi="宋体" w:cs="宋体"/>
          <w:b/>
          <w:bCs/>
          <w:color w:val="auto"/>
          <w:sz w:val="30"/>
          <w:szCs w:val="30"/>
          <w:highlight w:val="none"/>
        </w:rPr>
        <w:t>北支江（亚运）旅游集散中心建设项目-东梓关旅游码头</w:t>
      </w:r>
      <w:r>
        <w:rPr>
          <w:rFonts w:hint="eastAsia" w:ascii="宋体" w:hAnsi="宋体" w:cs="宋体"/>
          <w:b/>
          <w:bCs/>
          <w:color w:val="auto"/>
          <w:sz w:val="30"/>
          <w:szCs w:val="30"/>
          <w:highlight w:val="none"/>
          <w:lang w:eastAsia="zh-CN"/>
        </w:rPr>
        <w:t>、北支江（亚运）旅游集散中心建设项目-桐洲岛旅游码头工程</w:t>
      </w:r>
      <w:r>
        <w:rPr>
          <w:rFonts w:hint="eastAsia" w:ascii="宋体" w:hAnsi="宋体" w:cs="宋体"/>
          <w:b/>
          <w:bCs/>
          <w:color w:val="auto"/>
          <w:sz w:val="30"/>
          <w:szCs w:val="30"/>
          <w:highlight w:val="none"/>
          <w:lang w:val="en-US" w:eastAsia="zh-CN"/>
        </w:rPr>
        <w:t>环保验收-商务需求</w:t>
      </w:r>
    </w:p>
    <w:p w14:paraId="3E3F1A4F">
      <w:pPr>
        <w:numPr>
          <w:ilvl w:val="0"/>
          <w:numId w:val="2"/>
        </w:numPr>
        <w:spacing w:line="600" w:lineRule="exac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rPr>
        <w:t>项目概况</w:t>
      </w:r>
      <w:r>
        <w:rPr>
          <w:rFonts w:hint="eastAsia" w:ascii="宋体" w:hAnsi="宋体" w:cs="宋体"/>
          <w:b/>
          <w:bCs/>
          <w:color w:val="auto"/>
          <w:sz w:val="24"/>
          <w:highlight w:val="none"/>
          <w:lang w:val="en-US" w:eastAsia="zh-CN"/>
        </w:rPr>
        <w:t>及采购内容</w:t>
      </w:r>
    </w:p>
    <w:p w14:paraId="6F602483">
      <w:pPr>
        <w:numPr>
          <w:ilvl w:val="0"/>
          <w:numId w:val="3"/>
        </w:numPr>
        <w:spacing w:line="600" w:lineRule="exac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项目概况：</w:t>
      </w:r>
      <w:r>
        <w:rPr>
          <w:rFonts w:hint="default" w:ascii="宋体" w:hAnsi="宋体" w:cs="宋体"/>
          <w:b w:val="0"/>
          <w:bCs w:val="0"/>
          <w:color w:val="auto"/>
          <w:sz w:val="24"/>
          <w:highlight w:val="none"/>
          <w:lang w:val="en-US" w:eastAsia="zh-CN"/>
        </w:rPr>
        <w:t>根据《建设项目环境保护管理条例》及《建设项目竣工环境保护验收暂行办法》(国环规环评[2017]4号)等有关规定,东梓关旅游码头工程、桐洲岛旅游码头工程需对环境影响报告所提出的环境保护措施采购内容和建议的落实情况进行相关环保验收,完成竣工环保验收、备案并通过相关行政主管部门的审查</w:t>
      </w:r>
      <w:r>
        <w:rPr>
          <w:rFonts w:hint="eastAsia" w:ascii="宋体" w:hAnsi="宋体" w:cs="宋体"/>
          <w:b w:val="0"/>
          <w:bCs w:val="0"/>
          <w:color w:val="auto"/>
          <w:sz w:val="24"/>
          <w:highlight w:val="none"/>
          <w:lang w:val="en-US" w:eastAsia="zh-CN"/>
        </w:rPr>
        <w:t>。</w:t>
      </w:r>
    </w:p>
    <w:p w14:paraId="6BFC8C31">
      <w:pPr>
        <w:numPr>
          <w:ilvl w:val="0"/>
          <w:numId w:val="3"/>
        </w:numPr>
        <w:spacing w:line="600" w:lineRule="exact"/>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最高限价：</w:t>
      </w:r>
      <w:r>
        <w:rPr>
          <w:rFonts w:hint="eastAsia"/>
          <w:b w:val="0"/>
          <w:bCs w:val="0"/>
          <w:sz w:val="24"/>
          <w:szCs w:val="32"/>
          <w:lang w:val="en-US" w:eastAsia="zh-CN"/>
        </w:rPr>
        <w:t>本项目设有最高限价，总价最高限价为</w:t>
      </w:r>
      <w:r>
        <w:rPr>
          <w:rFonts w:hint="eastAsia" w:ascii="宋体" w:hAnsi="宋体" w:cs="宋体"/>
          <w:b/>
          <w:bCs/>
          <w:i w:val="0"/>
          <w:iCs w:val="0"/>
          <w:color w:val="000000"/>
          <w:kern w:val="0"/>
          <w:sz w:val="24"/>
          <w:szCs w:val="24"/>
          <w:u w:val="none"/>
          <w:lang w:val="en-US" w:eastAsia="zh-CN" w:bidi="ar"/>
        </w:rPr>
        <w:t>470000</w:t>
      </w:r>
      <w:r>
        <w:rPr>
          <w:rFonts w:hint="eastAsia"/>
          <w:b w:val="0"/>
          <w:bCs w:val="0"/>
          <w:sz w:val="24"/>
          <w:szCs w:val="32"/>
          <w:lang w:val="en-US" w:eastAsia="zh-CN"/>
        </w:rPr>
        <w:t>元，超过最高限价（含综合单价最高限价）的报价，作无效报价处理。</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8"/>
        <w:gridCol w:w="3746"/>
        <w:gridCol w:w="983"/>
        <w:gridCol w:w="1100"/>
        <w:gridCol w:w="1827"/>
      </w:tblGrid>
      <w:tr w14:paraId="45792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exact"/>
          <w:jc w:val="center"/>
        </w:trPr>
        <w:tc>
          <w:tcPr>
            <w:tcW w:w="848" w:type="dxa"/>
            <w:vAlign w:val="center"/>
          </w:tcPr>
          <w:p w14:paraId="196270EB">
            <w:pPr>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3746" w:type="dxa"/>
            <w:vAlign w:val="center"/>
          </w:tcPr>
          <w:p w14:paraId="165F75F1">
            <w:pPr>
              <w:jc w:val="center"/>
              <w:rPr>
                <w:rFonts w:ascii="宋体" w:hAnsi="宋体" w:cs="宋体"/>
                <w:color w:val="auto"/>
                <w:sz w:val="24"/>
                <w:szCs w:val="24"/>
                <w:highlight w:val="none"/>
              </w:rPr>
            </w:pPr>
            <w:r>
              <w:rPr>
                <w:rFonts w:hint="eastAsia" w:ascii="宋体" w:hAnsi="宋体" w:cs="宋体"/>
                <w:color w:val="auto"/>
                <w:sz w:val="24"/>
                <w:szCs w:val="24"/>
                <w:highlight w:val="none"/>
              </w:rPr>
              <w:t>采购内容</w:t>
            </w:r>
          </w:p>
        </w:tc>
        <w:tc>
          <w:tcPr>
            <w:tcW w:w="983" w:type="dxa"/>
            <w:vAlign w:val="center"/>
          </w:tcPr>
          <w:p w14:paraId="1FE8FA98">
            <w:pPr>
              <w:jc w:val="center"/>
              <w:rPr>
                <w:rFonts w:ascii="宋体" w:hAnsi="宋体" w:cs="宋体"/>
                <w:color w:val="auto"/>
                <w:sz w:val="24"/>
                <w:szCs w:val="24"/>
                <w:highlight w:val="none"/>
              </w:rPr>
            </w:pPr>
            <w:r>
              <w:rPr>
                <w:rFonts w:hint="eastAsia" w:ascii="宋体" w:hAnsi="宋体" w:cs="宋体"/>
                <w:color w:val="auto"/>
                <w:sz w:val="24"/>
                <w:szCs w:val="24"/>
                <w:highlight w:val="none"/>
              </w:rPr>
              <w:t>数量</w:t>
            </w:r>
          </w:p>
        </w:tc>
        <w:tc>
          <w:tcPr>
            <w:tcW w:w="1100" w:type="dxa"/>
            <w:vAlign w:val="center"/>
          </w:tcPr>
          <w:p w14:paraId="446D93B6">
            <w:pPr>
              <w:jc w:val="center"/>
              <w:rPr>
                <w:rFonts w:ascii="宋体" w:hAnsi="宋体" w:cs="宋体"/>
                <w:color w:val="auto"/>
                <w:sz w:val="24"/>
                <w:szCs w:val="24"/>
                <w:highlight w:val="none"/>
              </w:rPr>
            </w:pPr>
            <w:r>
              <w:rPr>
                <w:rFonts w:hint="eastAsia" w:ascii="宋体" w:hAnsi="宋体" w:cs="宋体"/>
                <w:color w:val="auto"/>
                <w:sz w:val="24"/>
                <w:szCs w:val="24"/>
                <w:highlight w:val="none"/>
              </w:rPr>
              <w:t>单位</w:t>
            </w:r>
          </w:p>
        </w:tc>
        <w:tc>
          <w:tcPr>
            <w:tcW w:w="1827" w:type="dxa"/>
            <w:vAlign w:val="center"/>
          </w:tcPr>
          <w:p w14:paraId="6EE4AB21">
            <w:pPr>
              <w:jc w:val="center"/>
              <w:rPr>
                <w:rFonts w:hint="eastAsia" w:ascii="宋体" w:hAnsi="宋体" w:eastAsia="宋体" w:cs="宋体"/>
                <w:color w:val="auto"/>
                <w:sz w:val="24"/>
                <w:szCs w:val="24"/>
                <w:highlight w:val="none"/>
                <w:lang w:eastAsia="zh-CN"/>
              </w:rPr>
            </w:pPr>
            <w:r>
              <w:rPr>
                <w:rFonts w:hint="eastAsia"/>
                <w:b w:val="0"/>
                <w:bCs w:val="0"/>
                <w:sz w:val="24"/>
                <w:szCs w:val="32"/>
                <w:lang w:val="en-US" w:eastAsia="zh-CN"/>
              </w:rPr>
              <w:t>综合单价</w:t>
            </w:r>
            <w:r>
              <w:rPr>
                <w:rFonts w:hint="eastAsia" w:ascii="宋体" w:hAnsi="宋体" w:cs="宋体"/>
                <w:color w:val="auto"/>
                <w:sz w:val="24"/>
                <w:szCs w:val="24"/>
                <w:highlight w:val="none"/>
              </w:rPr>
              <w:t>最高限价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元</w:t>
            </w:r>
            <w:r>
              <w:rPr>
                <w:rFonts w:hint="eastAsia" w:ascii="宋体" w:hAnsi="宋体" w:cs="宋体"/>
                <w:color w:val="auto"/>
                <w:sz w:val="24"/>
                <w:szCs w:val="24"/>
                <w:highlight w:val="none"/>
                <w:lang w:eastAsia="zh-CN"/>
              </w:rPr>
              <w:t>）</w:t>
            </w:r>
          </w:p>
        </w:tc>
      </w:tr>
      <w:tr w14:paraId="074F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848" w:type="dxa"/>
            <w:vAlign w:val="center"/>
          </w:tcPr>
          <w:p w14:paraId="06CF0DB3">
            <w:pPr>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3746" w:type="dxa"/>
            <w:vAlign w:val="center"/>
          </w:tcPr>
          <w:p w14:paraId="69570106">
            <w:pPr>
              <w:bidi w:val="0"/>
              <w:jc w:val="center"/>
              <w:rPr>
                <w:rFonts w:ascii="宋体" w:hAnsi="宋体"/>
                <w:color w:val="auto"/>
                <w:sz w:val="24"/>
                <w:szCs w:val="24"/>
                <w:highlight w:val="none"/>
              </w:rPr>
            </w:pPr>
            <w:r>
              <w:rPr>
                <w:rFonts w:hint="eastAsia" w:ascii="宋体" w:hAnsi="宋体" w:eastAsia="宋体" w:cs="宋体"/>
                <w:b w:val="0"/>
                <w:bCs w:val="0"/>
                <w:color w:val="auto"/>
                <w:sz w:val="24"/>
                <w:szCs w:val="24"/>
                <w:highlight w:val="none"/>
                <w:lang w:val="en-US" w:eastAsia="zh-CN"/>
              </w:rPr>
              <w:t>东梓关旅游码头工程环保竣工验收报告</w:t>
            </w:r>
          </w:p>
        </w:tc>
        <w:tc>
          <w:tcPr>
            <w:tcW w:w="983" w:type="dxa"/>
            <w:vAlign w:val="center"/>
          </w:tcPr>
          <w:p w14:paraId="46E46583">
            <w:pPr>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1</w:t>
            </w:r>
          </w:p>
        </w:tc>
        <w:tc>
          <w:tcPr>
            <w:tcW w:w="1100" w:type="dxa"/>
            <w:vAlign w:val="center"/>
          </w:tcPr>
          <w:p w14:paraId="453553E5">
            <w:pPr>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项</w:t>
            </w:r>
          </w:p>
        </w:tc>
        <w:tc>
          <w:tcPr>
            <w:tcW w:w="1827" w:type="dxa"/>
            <w:vAlign w:val="center"/>
          </w:tcPr>
          <w:p w14:paraId="6C7773CA">
            <w:pPr>
              <w:spacing w:line="5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125000</w:t>
            </w:r>
          </w:p>
        </w:tc>
      </w:tr>
      <w:tr w14:paraId="565F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jc w:val="center"/>
        </w:trPr>
        <w:tc>
          <w:tcPr>
            <w:tcW w:w="848" w:type="dxa"/>
            <w:vAlign w:val="center"/>
          </w:tcPr>
          <w:p w14:paraId="31130D3A">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3746" w:type="dxa"/>
            <w:vAlign w:val="center"/>
          </w:tcPr>
          <w:p w14:paraId="0A221DD8">
            <w:pPr>
              <w:bidi w:val="0"/>
              <w:jc w:val="center"/>
              <w:rPr>
                <w:rFonts w:hint="eastAsia" w:ascii="宋体" w:hAnsi="宋体"/>
                <w:color w:val="auto"/>
                <w:sz w:val="24"/>
                <w:szCs w:val="24"/>
                <w:highlight w:val="none"/>
              </w:rPr>
            </w:pPr>
            <w:r>
              <w:rPr>
                <w:rFonts w:hint="eastAsia" w:ascii="宋体" w:hAnsi="宋体" w:eastAsia="宋体" w:cs="宋体"/>
                <w:b w:val="0"/>
                <w:bCs w:val="0"/>
                <w:color w:val="auto"/>
                <w:sz w:val="24"/>
                <w:szCs w:val="24"/>
                <w:highlight w:val="none"/>
                <w:lang w:val="en-US" w:eastAsia="zh-CN"/>
              </w:rPr>
              <w:t>桐洲岛旅游码头工程环保竣工验收报告</w:t>
            </w:r>
          </w:p>
        </w:tc>
        <w:tc>
          <w:tcPr>
            <w:tcW w:w="983" w:type="dxa"/>
            <w:vAlign w:val="center"/>
          </w:tcPr>
          <w:p w14:paraId="5F285CD2">
            <w:pPr>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w:t>
            </w:r>
          </w:p>
        </w:tc>
        <w:tc>
          <w:tcPr>
            <w:tcW w:w="1100" w:type="dxa"/>
            <w:vAlign w:val="center"/>
          </w:tcPr>
          <w:p w14:paraId="5B456AAB">
            <w:pPr>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项</w:t>
            </w:r>
          </w:p>
        </w:tc>
        <w:tc>
          <w:tcPr>
            <w:tcW w:w="1827" w:type="dxa"/>
            <w:vAlign w:val="center"/>
          </w:tcPr>
          <w:p w14:paraId="64A60B84">
            <w:pPr>
              <w:spacing w:line="500" w:lineRule="exact"/>
              <w:jc w:val="center"/>
              <w:rPr>
                <w:rFonts w:hint="default" w:ascii="宋体" w:hAnsi="宋体" w:cs="宋体"/>
                <w:color w:val="auto"/>
                <w:sz w:val="24"/>
                <w:szCs w:val="24"/>
                <w:highlight w:val="none"/>
                <w:lang w:val="en-US" w:eastAsia="zh-CN"/>
              </w:rPr>
            </w:pPr>
            <w:r>
              <w:rPr>
                <w:rFonts w:hint="eastAsia" w:ascii="宋体" w:hAnsi="宋体" w:eastAsia="宋体" w:cs="宋体"/>
                <w:sz w:val="24"/>
                <w:szCs w:val="24"/>
                <w:lang w:val="en-US" w:eastAsia="zh-CN"/>
              </w:rPr>
              <w:t>125000</w:t>
            </w:r>
          </w:p>
        </w:tc>
      </w:tr>
      <w:tr w14:paraId="7580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848" w:type="dxa"/>
            <w:vAlign w:val="center"/>
          </w:tcPr>
          <w:p w14:paraId="63419E87">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3746" w:type="dxa"/>
            <w:vAlign w:val="center"/>
          </w:tcPr>
          <w:p w14:paraId="088276F5">
            <w:pPr>
              <w:bidi w:val="0"/>
              <w:jc w:val="center"/>
              <w:rPr>
                <w:rFonts w:hint="eastAsia" w:ascii="宋体" w:hAnsi="宋体"/>
                <w:color w:val="auto"/>
                <w:sz w:val="24"/>
                <w:szCs w:val="24"/>
                <w:highlight w:val="none"/>
              </w:rPr>
            </w:pPr>
            <w:r>
              <w:rPr>
                <w:rFonts w:hint="eastAsia" w:ascii="宋体" w:hAnsi="宋体" w:eastAsia="宋体" w:cs="宋体"/>
                <w:b w:val="0"/>
                <w:bCs w:val="0"/>
                <w:color w:val="auto"/>
                <w:sz w:val="24"/>
                <w:szCs w:val="24"/>
                <w:highlight w:val="none"/>
                <w:lang w:val="en-US" w:eastAsia="zh-CN"/>
              </w:rPr>
              <w:t>东梓关旅游码头工程环保竣工验收监测费</w:t>
            </w:r>
          </w:p>
        </w:tc>
        <w:tc>
          <w:tcPr>
            <w:tcW w:w="983" w:type="dxa"/>
            <w:vAlign w:val="center"/>
          </w:tcPr>
          <w:p w14:paraId="557F3880">
            <w:pPr>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w:t>
            </w:r>
          </w:p>
        </w:tc>
        <w:tc>
          <w:tcPr>
            <w:tcW w:w="1100" w:type="dxa"/>
            <w:vAlign w:val="center"/>
          </w:tcPr>
          <w:p w14:paraId="5EE91743">
            <w:pPr>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项</w:t>
            </w:r>
          </w:p>
        </w:tc>
        <w:tc>
          <w:tcPr>
            <w:tcW w:w="1827" w:type="dxa"/>
            <w:vAlign w:val="center"/>
          </w:tcPr>
          <w:p w14:paraId="321BF562">
            <w:pPr>
              <w:spacing w:line="500" w:lineRule="exact"/>
              <w:jc w:val="center"/>
              <w:rPr>
                <w:rFonts w:hint="default" w:ascii="宋体" w:hAnsi="宋体" w:cs="宋体"/>
                <w:color w:val="auto"/>
                <w:sz w:val="24"/>
                <w:szCs w:val="24"/>
                <w:highlight w:val="none"/>
                <w:lang w:val="en-US" w:eastAsia="zh-CN"/>
              </w:rPr>
            </w:pPr>
            <w:r>
              <w:rPr>
                <w:rFonts w:hint="eastAsia" w:ascii="宋体" w:hAnsi="宋体" w:eastAsia="宋体" w:cs="宋体"/>
                <w:sz w:val="24"/>
                <w:szCs w:val="24"/>
                <w:lang w:val="en-US" w:eastAsia="zh-CN"/>
              </w:rPr>
              <w:t>110000</w:t>
            </w:r>
          </w:p>
        </w:tc>
      </w:tr>
      <w:tr w14:paraId="2BD59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848" w:type="dxa"/>
            <w:vAlign w:val="center"/>
          </w:tcPr>
          <w:p w14:paraId="49231C7B">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3746" w:type="dxa"/>
            <w:vAlign w:val="center"/>
          </w:tcPr>
          <w:p w14:paraId="281E546C">
            <w:pPr>
              <w:bidi w:val="0"/>
              <w:jc w:val="center"/>
              <w:rPr>
                <w:rFonts w:hint="eastAsia" w:ascii="宋体" w:hAnsi="宋体" w:eastAsia="宋体" w:cs="宋体"/>
                <w:kern w:val="2"/>
                <w:sz w:val="24"/>
                <w:szCs w:val="24"/>
                <w:lang w:eastAsia="zh-CN"/>
              </w:rPr>
            </w:pPr>
            <w:r>
              <w:rPr>
                <w:rFonts w:hint="eastAsia" w:ascii="宋体" w:hAnsi="宋体" w:eastAsia="宋体" w:cs="宋体"/>
                <w:b w:val="0"/>
                <w:bCs w:val="0"/>
                <w:color w:val="auto"/>
                <w:sz w:val="24"/>
                <w:szCs w:val="24"/>
                <w:highlight w:val="none"/>
                <w:lang w:val="en-US" w:eastAsia="zh-CN"/>
              </w:rPr>
              <w:t>桐洲岛旅游码头工程环保竣工验收监测费</w:t>
            </w:r>
          </w:p>
        </w:tc>
        <w:tc>
          <w:tcPr>
            <w:tcW w:w="983" w:type="dxa"/>
            <w:shd w:val="clear" w:color="auto" w:fill="auto"/>
            <w:vAlign w:val="center"/>
          </w:tcPr>
          <w:p w14:paraId="5CB7212F">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val="en-US" w:eastAsia="zh-CN"/>
              </w:rPr>
              <w:t>1</w:t>
            </w:r>
          </w:p>
        </w:tc>
        <w:tc>
          <w:tcPr>
            <w:tcW w:w="1100" w:type="dxa"/>
            <w:shd w:val="clear" w:color="auto" w:fill="auto"/>
            <w:vAlign w:val="center"/>
          </w:tcPr>
          <w:p w14:paraId="79E15A23">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val="en-US" w:eastAsia="zh-CN"/>
              </w:rPr>
              <w:t>项</w:t>
            </w:r>
          </w:p>
        </w:tc>
        <w:tc>
          <w:tcPr>
            <w:tcW w:w="1827" w:type="dxa"/>
            <w:vAlign w:val="center"/>
          </w:tcPr>
          <w:p w14:paraId="1E89678E">
            <w:pPr>
              <w:spacing w:line="500" w:lineRule="exact"/>
              <w:jc w:val="center"/>
              <w:rPr>
                <w:rFonts w:hint="eastAsia" w:ascii="宋体" w:hAnsi="宋体" w:eastAsia="宋体" w:cs="宋体"/>
                <w:kern w:val="2"/>
                <w:sz w:val="24"/>
                <w:szCs w:val="24"/>
                <w:lang w:eastAsia="zh-CN"/>
              </w:rPr>
            </w:pPr>
            <w:r>
              <w:rPr>
                <w:rFonts w:hint="eastAsia" w:ascii="宋体" w:hAnsi="宋体" w:eastAsia="宋体" w:cs="宋体"/>
                <w:sz w:val="24"/>
                <w:szCs w:val="24"/>
                <w:lang w:val="en-US" w:eastAsia="zh-CN"/>
              </w:rPr>
              <w:t>110000</w:t>
            </w:r>
          </w:p>
        </w:tc>
      </w:tr>
      <w:tr w14:paraId="33331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4" w:hRule="atLeast"/>
          <w:jc w:val="center"/>
        </w:trPr>
        <w:tc>
          <w:tcPr>
            <w:tcW w:w="848" w:type="dxa"/>
            <w:vAlign w:val="center"/>
          </w:tcPr>
          <w:p w14:paraId="389981DE">
            <w:pPr>
              <w:jc w:val="center"/>
              <w:rPr>
                <w:rFonts w:hint="eastAsia" w:ascii="宋体" w:hAnsi="宋体" w:cs="宋体"/>
                <w:color w:val="auto"/>
                <w:sz w:val="24"/>
                <w:szCs w:val="24"/>
                <w:highlight w:val="none"/>
                <w:lang w:val="en-US" w:eastAsia="zh-CN"/>
              </w:rPr>
            </w:pPr>
          </w:p>
        </w:tc>
        <w:tc>
          <w:tcPr>
            <w:tcW w:w="3746" w:type="dxa"/>
            <w:vAlign w:val="center"/>
          </w:tcPr>
          <w:p w14:paraId="60FF2236">
            <w:pPr>
              <w:widowControl w:val="0"/>
              <w:adjustRightInd/>
              <w:snapToGrid/>
              <w:spacing w:after="0"/>
              <w:jc w:val="center"/>
              <w:textAlignment w:val="center"/>
              <w:rPr>
                <w:rFonts w:hint="default" w:ascii="宋体" w:hAnsi="宋体" w:eastAsia="宋体" w:cs="宋体"/>
                <w:kern w:val="2"/>
                <w:sz w:val="24"/>
                <w:szCs w:val="24"/>
                <w:lang w:val="en-US" w:eastAsia="zh-CN"/>
              </w:rPr>
            </w:pPr>
            <w:r>
              <w:rPr>
                <w:rFonts w:hint="eastAsia" w:ascii="宋体" w:hAnsi="宋体" w:cs="宋体"/>
                <w:kern w:val="2"/>
                <w:sz w:val="24"/>
                <w:szCs w:val="24"/>
                <w:lang w:val="en-US" w:eastAsia="zh-CN"/>
              </w:rPr>
              <w:t>合计</w:t>
            </w:r>
          </w:p>
        </w:tc>
        <w:tc>
          <w:tcPr>
            <w:tcW w:w="983" w:type="dxa"/>
            <w:vAlign w:val="center"/>
          </w:tcPr>
          <w:p w14:paraId="404C7A2E">
            <w:pPr>
              <w:jc w:val="center"/>
              <w:rPr>
                <w:rFonts w:hint="eastAsia" w:ascii="宋体" w:hAnsi="宋体"/>
                <w:color w:val="auto"/>
                <w:sz w:val="24"/>
                <w:szCs w:val="24"/>
                <w:highlight w:val="none"/>
                <w:lang w:val="en-US" w:eastAsia="zh-CN"/>
              </w:rPr>
            </w:pPr>
          </w:p>
        </w:tc>
        <w:tc>
          <w:tcPr>
            <w:tcW w:w="1100" w:type="dxa"/>
            <w:vAlign w:val="center"/>
          </w:tcPr>
          <w:p w14:paraId="452B76D8">
            <w:pPr>
              <w:jc w:val="center"/>
              <w:rPr>
                <w:rFonts w:hint="eastAsia" w:ascii="宋体" w:hAnsi="宋体"/>
                <w:color w:val="auto"/>
                <w:sz w:val="24"/>
                <w:szCs w:val="24"/>
                <w:highlight w:val="none"/>
                <w:lang w:val="en-US" w:eastAsia="zh-CN"/>
              </w:rPr>
            </w:pPr>
          </w:p>
        </w:tc>
        <w:tc>
          <w:tcPr>
            <w:tcW w:w="1827" w:type="dxa"/>
            <w:vAlign w:val="center"/>
          </w:tcPr>
          <w:p w14:paraId="15452F5D">
            <w:pPr>
              <w:keepNext w:val="0"/>
              <w:keepLines w:val="0"/>
              <w:widowControl/>
              <w:suppressLineNumbers w:val="0"/>
              <w:jc w:val="center"/>
              <w:textAlignment w:val="center"/>
              <w:rPr>
                <w:rFonts w:hint="eastAsia" w:ascii="宋体" w:hAnsi="宋体" w:eastAsia="宋体" w:cs="宋体"/>
                <w:kern w:val="2"/>
                <w:sz w:val="24"/>
                <w:szCs w:val="24"/>
                <w:lang w:eastAsia="zh-CN"/>
              </w:rPr>
            </w:pPr>
            <w:r>
              <w:rPr>
                <w:rFonts w:hint="eastAsia" w:ascii="宋体" w:hAnsi="宋体" w:cs="宋体"/>
                <w:b/>
                <w:bCs/>
                <w:i w:val="0"/>
                <w:iCs w:val="0"/>
                <w:color w:val="000000"/>
                <w:kern w:val="0"/>
                <w:sz w:val="24"/>
                <w:szCs w:val="24"/>
                <w:u w:val="none"/>
                <w:lang w:val="en-US" w:eastAsia="zh-CN" w:bidi="ar"/>
              </w:rPr>
              <w:t>470000</w:t>
            </w:r>
          </w:p>
        </w:tc>
      </w:tr>
    </w:tbl>
    <w:p w14:paraId="2A935879">
      <w:pPr>
        <w:spacing w:line="400" w:lineRule="exact"/>
        <w:rPr>
          <w:rFonts w:ascii="宋体" w:hAnsi="宋体"/>
          <w:b/>
          <w:bCs/>
          <w:color w:val="auto"/>
          <w:sz w:val="24"/>
          <w:highlight w:val="none"/>
        </w:rPr>
      </w:pPr>
      <w:r>
        <w:rPr>
          <w:rFonts w:hint="eastAsia" w:ascii="宋体" w:hAnsi="宋体"/>
          <w:b/>
          <w:bCs/>
          <w:color w:val="auto"/>
          <w:sz w:val="24"/>
          <w:highlight w:val="none"/>
        </w:rPr>
        <w:t>二、主要服务要求</w:t>
      </w:r>
    </w:p>
    <w:p w14:paraId="6D389A4A">
      <w:pPr>
        <w:spacing w:before="150" w:line="360" w:lineRule="auto"/>
        <w:ind w:left="21" w:firstLine="499"/>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1、定期进行环境监测（按照批准的环境影响评价报告书中工作</w:t>
      </w:r>
      <w:r>
        <w:rPr>
          <w:rFonts w:ascii="宋体" w:hAnsi="宋体" w:eastAsia="宋体" w:cs="宋体"/>
          <w:color w:val="auto"/>
          <w:spacing w:val="-1"/>
          <w:sz w:val="24"/>
          <w:szCs w:val="24"/>
          <w:highlight w:val="none"/>
        </w:rPr>
        <w:t>内容及相关</w:t>
      </w:r>
      <w:r>
        <w:rPr>
          <w:rFonts w:ascii="宋体" w:hAnsi="宋体" w:eastAsia="宋体" w:cs="宋体"/>
          <w:color w:val="auto"/>
          <w:spacing w:val="-3"/>
          <w:sz w:val="24"/>
          <w:szCs w:val="24"/>
          <w:highlight w:val="none"/>
        </w:rPr>
        <w:t>批复的要求，针对本工程建设期特性，结合其所处的环境状况，对项目建设实施</w:t>
      </w:r>
      <w:r>
        <w:rPr>
          <w:rFonts w:ascii="宋体" w:hAnsi="宋体" w:eastAsia="宋体" w:cs="宋体"/>
          <w:color w:val="auto"/>
          <w:sz w:val="24"/>
          <w:szCs w:val="24"/>
          <w:highlight w:val="none"/>
        </w:rPr>
        <w:t>阶段、竣工阶段开展环境监测工作）并提供环境监测报告；</w:t>
      </w:r>
    </w:p>
    <w:p w14:paraId="505BA5BB">
      <w:pPr>
        <w:spacing w:before="150" w:line="360" w:lineRule="auto"/>
        <w:ind w:left="21" w:firstLine="499"/>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2、对建设全部内容</w:t>
      </w:r>
      <w:r>
        <w:rPr>
          <w:rFonts w:ascii="宋体" w:hAnsi="宋体" w:eastAsia="宋体" w:cs="宋体"/>
          <w:color w:val="auto"/>
          <w:spacing w:val="-3"/>
          <w:sz w:val="24"/>
          <w:szCs w:val="24"/>
          <w:highlight w:val="none"/>
        </w:rPr>
        <w:t>及各项环境保护措施实施情况进行环境监测，提出合理化建议，协助招标人补充</w:t>
      </w:r>
      <w:r>
        <w:rPr>
          <w:rFonts w:ascii="宋体" w:hAnsi="宋体" w:eastAsia="宋体" w:cs="宋体"/>
          <w:color w:val="auto"/>
          <w:sz w:val="24"/>
          <w:szCs w:val="24"/>
          <w:highlight w:val="none"/>
        </w:rPr>
        <w:t>落实并做好环保设施三同时工作、环境保护专项验收工作；</w:t>
      </w:r>
    </w:p>
    <w:p w14:paraId="45E1178A">
      <w:pPr>
        <w:spacing w:before="150" w:line="360" w:lineRule="auto"/>
        <w:ind w:left="21" w:firstLine="499"/>
        <w:jc w:val="both"/>
        <w:rPr>
          <w:rFonts w:ascii="宋体" w:hAnsi="宋体" w:eastAsia="宋体" w:cs="宋体"/>
          <w:color w:val="auto"/>
          <w:spacing w:val="8"/>
          <w:sz w:val="24"/>
          <w:szCs w:val="24"/>
          <w:highlight w:val="none"/>
        </w:rPr>
      </w:pPr>
      <w:r>
        <w:rPr>
          <w:rFonts w:hint="eastAsia" w:ascii="宋体" w:hAnsi="宋体" w:eastAsia="宋体" w:cs="宋体"/>
          <w:color w:val="auto"/>
          <w:sz w:val="24"/>
          <w:szCs w:val="24"/>
          <w:highlight w:val="none"/>
          <w:lang w:val="en-US" w:eastAsia="zh-CN"/>
        </w:rPr>
        <w:t>3</w:t>
      </w:r>
      <w:r>
        <w:rPr>
          <w:rFonts w:ascii="宋体" w:hAnsi="宋体" w:eastAsia="宋体" w:cs="宋体"/>
          <w:color w:val="auto"/>
          <w:sz w:val="24"/>
          <w:szCs w:val="24"/>
          <w:highlight w:val="none"/>
        </w:rPr>
        <w:t>、开展环境监测工作，在施工</w:t>
      </w:r>
      <w:r>
        <w:rPr>
          <w:rFonts w:ascii="宋体" w:hAnsi="宋体" w:eastAsia="宋体" w:cs="宋体"/>
          <w:color w:val="auto"/>
          <w:spacing w:val="-3"/>
          <w:sz w:val="24"/>
          <w:szCs w:val="24"/>
          <w:highlight w:val="none"/>
        </w:rPr>
        <w:t>区域周边设置多个</w:t>
      </w:r>
      <w:r>
        <w:rPr>
          <w:rFonts w:hint="eastAsia" w:ascii="宋体" w:hAnsi="宋体" w:eastAsia="宋体" w:cs="宋体"/>
          <w:color w:val="auto"/>
          <w:spacing w:val="-3"/>
          <w:sz w:val="24"/>
          <w:szCs w:val="24"/>
          <w:highlight w:val="none"/>
          <w:lang w:eastAsia="zh-CN"/>
        </w:rPr>
        <w:t>水、</w:t>
      </w:r>
      <w:r>
        <w:rPr>
          <w:rFonts w:ascii="宋体" w:hAnsi="宋体" w:eastAsia="宋体" w:cs="宋体"/>
          <w:color w:val="auto"/>
          <w:spacing w:val="-3"/>
          <w:sz w:val="24"/>
          <w:szCs w:val="24"/>
          <w:highlight w:val="none"/>
        </w:rPr>
        <w:t>大气、噪声</w:t>
      </w:r>
      <w:r>
        <w:rPr>
          <w:rFonts w:hint="eastAsia" w:ascii="宋体" w:hAnsi="宋体" w:eastAsia="宋体" w:cs="宋体"/>
          <w:color w:val="auto"/>
          <w:spacing w:val="-3"/>
          <w:sz w:val="24"/>
          <w:szCs w:val="24"/>
          <w:highlight w:val="none"/>
          <w:lang w:eastAsia="zh-CN"/>
        </w:rPr>
        <w:t>、水生生态断面监测</w:t>
      </w:r>
      <w:r>
        <w:rPr>
          <w:rFonts w:ascii="宋体" w:hAnsi="宋体" w:eastAsia="宋体" w:cs="宋体"/>
          <w:color w:val="auto"/>
          <w:spacing w:val="-3"/>
          <w:sz w:val="24"/>
          <w:szCs w:val="24"/>
          <w:highlight w:val="none"/>
        </w:rPr>
        <w:t>等环境监测点，并出具监测报告提交招标人，监测报告中应包括项目</w:t>
      </w:r>
      <w:r>
        <w:rPr>
          <w:rFonts w:hint="eastAsia" w:ascii="宋体" w:hAnsi="宋体" w:eastAsia="宋体" w:cs="宋体"/>
          <w:color w:val="auto"/>
          <w:spacing w:val="-3"/>
          <w:sz w:val="24"/>
          <w:szCs w:val="24"/>
          <w:highlight w:val="none"/>
          <w:lang w:eastAsia="zh-CN"/>
        </w:rPr>
        <w:t>水、</w:t>
      </w:r>
      <w:r>
        <w:rPr>
          <w:rFonts w:ascii="宋体" w:hAnsi="宋体" w:eastAsia="宋体" w:cs="宋体"/>
          <w:color w:val="auto"/>
          <w:spacing w:val="-3"/>
          <w:sz w:val="24"/>
          <w:szCs w:val="24"/>
          <w:highlight w:val="none"/>
        </w:rPr>
        <w:t>大气、噪声</w:t>
      </w:r>
      <w:r>
        <w:rPr>
          <w:rFonts w:hint="eastAsia" w:ascii="宋体" w:hAnsi="宋体" w:eastAsia="宋体" w:cs="宋体"/>
          <w:color w:val="auto"/>
          <w:spacing w:val="-3"/>
          <w:sz w:val="24"/>
          <w:szCs w:val="24"/>
          <w:highlight w:val="none"/>
          <w:lang w:eastAsia="zh-CN"/>
        </w:rPr>
        <w:t>、水生生态断面监测</w:t>
      </w:r>
      <w:r>
        <w:rPr>
          <w:rFonts w:ascii="宋体" w:hAnsi="宋体" w:eastAsia="宋体" w:cs="宋体"/>
          <w:color w:val="auto"/>
          <w:spacing w:val="-3"/>
          <w:sz w:val="24"/>
          <w:szCs w:val="24"/>
          <w:highlight w:val="none"/>
        </w:rPr>
        <w:t>等一切涉及项目环境的内容（具体监测</w:t>
      </w:r>
      <w:r>
        <w:rPr>
          <w:rFonts w:ascii="宋体" w:hAnsi="宋体" w:eastAsia="宋体" w:cs="宋体"/>
          <w:color w:val="auto"/>
          <w:sz w:val="24"/>
          <w:szCs w:val="24"/>
          <w:highlight w:val="none"/>
        </w:rPr>
        <w:t>内容及频次按照环保部门要求确定</w:t>
      </w:r>
      <w:r>
        <w:rPr>
          <w:rFonts w:ascii="宋体" w:hAnsi="宋体" w:eastAsia="宋体" w:cs="宋体"/>
          <w:color w:val="auto"/>
          <w:spacing w:val="8"/>
          <w:sz w:val="24"/>
          <w:szCs w:val="24"/>
          <w:highlight w:val="none"/>
        </w:rPr>
        <w:t>）；</w:t>
      </w:r>
    </w:p>
    <w:p w14:paraId="3E293D06">
      <w:pPr>
        <w:spacing w:before="150" w:line="360" w:lineRule="auto"/>
        <w:ind w:left="21" w:firstLine="499"/>
        <w:jc w:val="both"/>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z w:val="24"/>
          <w:szCs w:val="24"/>
          <w:highlight w:val="none"/>
          <w:lang w:val="en-US" w:eastAsia="zh-CN"/>
        </w:rPr>
        <w:t>4</w:t>
      </w:r>
      <w:r>
        <w:rPr>
          <w:rFonts w:ascii="宋体" w:hAnsi="宋体" w:eastAsia="宋体" w:cs="宋体"/>
          <w:color w:val="auto"/>
          <w:sz w:val="24"/>
          <w:szCs w:val="24"/>
          <w:highlight w:val="none"/>
        </w:rPr>
        <w:t>、协助办理与环保相关部门的沟通</w:t>
      </w:r>
      <w:r>
        <w:rPr>
          <w:rFonts w:ascii="宋体" w:hAnsi="宋体" w:eastAsia="宋体" w:cs="宋体"/>
          <w:color w:val="auto"/>
          <w:spacing w:val="-1"/>
          <w:sz w:val="24"/>
          <w:szCs w:val="24"/>
          <w:highlight w:val="none"/>
        </w:rPr>
        <w:t>协调工作</w:t>
      </w:r>
      <w:r>
        <w:rPr>
          <w:rFonts w:hint="eastAsia" w:ascii="宋体" w:hAnsi="宋体" w:eastAsia="宋体" w:cs="宋体"/>
          <w:color w:val="auto"/>
          <w:spacing w:val="-1"/>
          <w:sz w:val="24"/>
          <w:szCs w:val="24"/>
          <w:highlight w:val="none"/>
          <w:lang w:eastAsia="zh-CN"/>
        </w:rPr>
        <w:t>；</w:t>
      </w:r>
    </w:p>
    <w:p w14:paraId="63F72A6E">
      <w:pPr>
        <w:spacing w:before="150" w:line="360" w:lineRule="auto"/>
        <w:ind w:left="21" w:firstLine="499"/>
        <w:jc w:val="both"/>
        <w:rPr>
          <w:rFonts w:ascii="宋体" w:hAnsi="宋体" w:eastAsia="宋体" w:cs="宋体"/>
          <w:color w:val="auto"/>
          <w:spacing w:val="-2"/>
          <w:sz w:val="24"/>
          <w:szCs w:val="24"/>
          <w:highlight w:val="none"/>
        </w:rPr>
      </w:pPr>
      <w:r>
        <w:rPr>
          <w:rFonts w:hint="eastAsia" w:ascii="宋体" w:hAnsi="宋体" w:eastAsia="宋体" w:cs="宋体"/>
          <w:color w:val="auto"/>
          <w:spacing w:val="-3"/>
          <w:sz w:val="24"/>
          <w:szCs w:val="24"/>
          <w:highlight w:val="none"/>
          <w:lang w:val="en-US" w:eastAsia="zh-CN"/>
        </w:rPr>
        <w:t>5</w:t>
      </w:r>
      <w:r>
        <w:rPr>
          <w:rFonts w:ascii="宋体" w:hAnsi="宋体" w:eastAsia="宋体" w:cs="宋体"/>
          <w:color w:val="auto"/>
          <w:spacing w:val="-3"/>
          <w:sz w:val="24"/>
          <w:szCs w:val="24"/>
          <w:highlight w:val="none"/>
        </w:rPr>
        <w:t>、竣工环保验收技术服务（包括并不限于）对工程资料分析与整理、编写环保措施落实情况分析、施工环境影响、生态环境影响、大气环境</w:t>
      </w:r>
      <w:r>
        <w:rPr>
          <w:rFonts w:ascii="宋体" w:hAnsi="宋体" w:eastAsia="宋体" w:cs="宋体"/>
          <w:color w:val="auto"/>
          <w:spacing w:val="-1"/>
          <w:sz w:val="24"/>
          <w:szCs w:val="24"/>
          <w:highlight w:val="none"/>
        </w:rPr>
        <w:t>影响、水环境影响、声环境影响报告等公众意见</w:t>
      </w:r>
      <w:r>
        <w:rPr>
          <w:rFonts w:ascii="宋体" w:hAnsi="宋体" w:eastAsia="宋体" w:cs="宋体"/>
          <w:color w:val="auto"/>
          <w:spacing w:val="-2"/>
          <w:sz w:val="24"/>
          <w:szCs w:val="24"/>
          <w:highlight w:val="none"/>
        </w:rPr>
        <w:t>调查及竣工环保验收调查报告；</w:t>
      </w:r>
    </w:p>
    <w:p w14:paraId="5FE99728">
      <w:pPr>
        <w:spacing w:before="150" w:line="360" w:lineRule="auto"/>
        <w:ind w:left="21" w:firstLine="499"/>
        <w:jc w:val="both"/>
        <w:rPr>
          <w:rFonts w:ascii="宋体" w:hAnsi="宋体" w:eastAsia="宋体" w:cs="宋体"/>
          <w:color w:val="auto"/>
          <w:spacing w:val="-3"/>
          <w:sz w:val="24"/>
          <w:szCs w:val="24"/>
          <w:highlight w:val="none"/>
        </w:rPr>
      </w:pPr>
      <w:r>
        <w:rPr>
          <w:rFonts w:hint="eastAsia" w:ascii="宋体" w:hAnsi="宋体" w:eastAsia="宋体" w:cs="宋体"/>
          <w:color w:val="auto"/>
          <w:sz w:val="24"/>
          <w:szCs w:val="24"/>
          <w:highlight w:val="none"/>
          <w:lang w:val="en-US" w:eastAsia="zh-CN"/>
        </w:rPr>
        <w:t>6</w:t>
      </w:r>
      <w:r>
        <w:rPr>
          <w:rFonts w:ascii="宋体" w:hAnsi="宋体" w:eastAsia="宋体" w:cs="宋体"/>
          <w:color w:val="auto"/>
          <w:spacing w:val="-3"/>
          <w:sz w:val="24"/>
          <w:szCs w:val="24"/>
          <w:highlight w:val="none"/>
        </w:rPr>
        <w:t>、协助办理报批或备案为专项验收提供项目相关的一切资料，通过环境专项验收。</w:t>
      </w:r>
    </w:p>
    <w:p w14:paraId="1DA55FB1">
      <w:pPr>
        <w:spacing w:before="150" w:line="360" w:lineRule="auto"/>
        <w:ind w:left="21" w:firstLine="499"/>
        <w:jc w:val="both"/>
        <w:rPr>
          <w:rFonts w:hint="eastAsia" w:ascii="宋体" w:hAnsi="宋体" w:eastAsia="宋体" w:cs="宋体"/>
          <w:sz w:val="24"/>
          <w:szCs w:val="24"/>
          <w:lang w:val="en-US" w:eastAsia="zh-CN"/>
        </w:rPr>
      </w:pPr>
      <w:r>
        <w:rPr>
          <w:rFonts w:hint="eastAsia" w:ascii="宋体" w:hAnsi="宋体" w:eastAsia="宋体" w:cs="宋体"/>
          <w:color w:val="auto"/>
          <w:spacing w:val="-3"/>
          <w:sz w:val="24"/>
          <w:szCs w:val="24"/>
          <w:highlight w:val="none"/>
          <w:lang w:val="en-US" w:eastAsia="zh-CN"/>
        </w:rPr>
        <w:t>7、本项目</w:t>
      </w:r>
      <w:r>
        <w:rPr>
          <w:rFonts w:hint="eastAsia" w:ascii="宋体" w:hAnsi="宋体" w:eastAsia="宋体" w:cs="宋体"/>
          <w:sz w:val="24"/>
          <w:szCs w:val="24"/>
          <w:lang w:eastAsia="zh-CN"/>
        </w:rPr>
        <w:t>环保竣工验收监测内容</w:t>
      </w:r>
      <w:r>
        <w:rPr>
          <w:rFonts w:hint="eastAsia" w:ascii="宋体" w:hAnsi="宋体" w:eastAsia="宋体" w:cs="宋体"/>
          <w:sz w:val="24"/>
          <w:szCs w:val="24"/>
          <w:lang w:val="en-US" w:eastAsia="zh-CN"/>
        </w:rPr>
        <w:t>如下：</w:t>
      </w:r>
    </w:p>
    <w:p w14:paraId="05C7CB7B">
      <w:pPr>
        <w:jc w:val="center"/>
        <w:rPr>
          <w:rFonts w:hint="eastAsia" w:ascii="宋体" w:hAnsi="宋体" w:eastAsia="宋体" w:cs="宋体"/>
          <w:sz w:val="24"/>
          <w:szCs w:val="24"/>
          <w:lang w:eastAsia="zh-CN"/>
        </w:rPr>
      </w:pPr>
      <w:r>
        <w:rPr>
          <w:rFonts w:hint="eastAsia" w:ascii="宋体" w:hAnsi="宋体" w:eastAsia="宋体" w:cs="宋体"/>
          <w:sz w:val="24"/>
          <w:szCs w:val="24"/>
        </w:rPr>
        <w:t>东梓关旅游码头工程</w:t>
      </w:r>
      <w:r>
        <w:rPr>
          <w:rFonts w:hint="eastAsia" w:ascii="宋体" w:hAnsi="宋体" w:eastAsia="宋体" w:cs="宋体"/>
          <w:sz w:val="24"/>
          <w:szCs w:val="24"/>
          <w:lang w:eastAsia="zh-CN"/>
        </w:rPr>
        <w:t>环保竣工验收监测内容（见下图）</w:t>
      </w:r>
    </w:p>
    <w:p w14:paraId="29578546">
      <w:pPr>
        <w:jc w:val="center"/>
        <w:rPr>
          <w:rFonts w:hint="eastAsia" w:ascii="仿宋" w:hAnsi="仿宋" w:eastAsia="仿宋" w:cs="仿宋"/>
          <w:sz w:val="24"/>
          <w:szCs w:val="24"/>
        </w:rPr>
      </w:pPr>
      <w:r>
        <w:rPr>
          <w:rFonts w:hint="eastAsia" w:ascii="仿宋" w:hAnsi="仿宋" w:eastAsia="仿宋" w:cs="仿宋"/>
          <w:sz w:val="24"/>
          <w:szCs w:val="24"/>
        </w:rPr>
        <w:drawing>
          <wp:inline distT="0" distB="0" distL="114300" distR="114300">
            <wp:extent cx="5269865" cy="18319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t="14901" b="9812"/>
                    <a:stretch>
                      <a:fillRect/>
                    </a:stretch>
                  </pic:blipFill>
                  <pic:spPr>
                    <a:xfrm>
                      <a:off x="0" y="0"/>
                      <a:ext cx="5269865" cy="1831975"/>
                    </a:xfrm>
                    <a:prstGeom prst="rect">
                      <a:avLst/>
                    </a:prstGeom>
                    <a:noFill/>
                    <a:ln>
                      <a:noFill/>
                    </a:ln>
                  </pic:spPr>
                </pic:pic>
              </a:graphicData>
            </a:graphic>
          </wp:inline>
        </w:drawing>
      </w:r>
    </w:p>
    <w:p w14:paraId="61D51703">
      <w:pPr>
        <w:jc w:val="center"/>
        <w:rPr>
          <w:rFonts w:hint="eastAsia" w:ascii="仿宋" w:hAnsi="仿宋" w:eastAsia="仿宋" w:cs="仿宋"/>
          <w:sz w:val="24"/>
          <w:szCs w:val="24"/>
          <w:lang w:val="en-US" w:eastAsia="zh-CN"/>
        </w:rPr>
      </w:pPr>
      <w:r>
        <w:rPr>
          <w:rFonts w:hint="eastAsia" w:ascii="仿宋" w:hAnsi="仿宋" w:eastAsia="仿宋" w:cs="仿宋"/>
          <w:sz w:val="24"/>
          <w:szCs w:val="24"/>
        </w:rPr>
        <w:t>桐洲岛旅游码头工程</w:t>
      </w:r>
      <w:r>
        <w:rPr>
          <w:rFonts w:hint="eastAsia" w:ascii="仿宋" w:hAnsi="仿宋" w:eastAsia="仿宋" w:cs="仿宋"/>
          <w:sz w:val="24"/>
          <w:szCs w:val="24"/>
          <w:lang w:eastAsia="zh-CN"/>
        </w:rPr>
        <w:t>环保竣工验收监测内容（见下图）</w:t>
      </w:r>
    </w:p>
    <w:p w14:paraId="602E6C16">
      <w:pPr>
        <w:jc w:val="center"/>
        <w:rPr>
          <w:rFonts w:hint="eastAsia" w:ascii="仿宋" w:hAnsi="仿宋" w:eastAsia="仿宋" w:cs="仿宋"/>
          <w:sz w:val="24"/>
          <w:szCs w:val="24"/>
        </w:rPr>
      </w:pPr>
      <w:r>
        <w:rPr>
          <w:rFonts w:hint="eastAsia" w:ascii="仿宋" w:hAnsi="仿宋" w:eastAsia="仿宋" w:cs="仿宋"/>
          <w:sz w:val="24"/>
          <w:szCs w:val="24"/>
        </w:rPr>
        <w:drawing>
          <wp:inline distT="0" distB="0" distL="114300" distR="114300">
            <wp:extent cx="5264785" cy="17576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rcRect l="4581" t="13898" b="2653"/>
                    <a:stretch>
                      <a:fillRect/>
                    </a:stretch>
                  </pic:blipFill>
                  <pic:spPr>
                    <a:xfrm>
                      <a:off x="0" y="0"/>
                      <a:ext cx="5264785" cy="1757680"/>
                    </a:xfrm>
                    <a:prstGeom prst="rect">
                      <a:avLst/>
                    </a:prstGeom>
                    <a:noFill/>
                    <a:ln>
                      <a:noFill/>
                    </a:ln>
                  </pic:spPr>
                </pic:pic>
              </a:graphicData>
            </a:graphic>
          </wp:inline>
        </w:drawing>
      </w:r>
    </w:p>
    <w:p w14:paraId="04CC4714">
      <w:pPr>
        <w:pStyle w:val="4"/>
        <w:rPr>
          <w:rFonts w:hint="eastAsia" w:cs="宋体"/>
          <w:b w:val="0"/>
          <w:bCs/>
          <w:color w:val="auto"/>
          <w:sz w:val="24"/>
          <w:szCs w:val="24"/>
          <w:highlight w:val="none"/>
          <w:lang w:val="en-US" w:eastAsia="zh-CN"/>
        </w:rPr>
      </w:pPr>
    </w:p>
    <w:p w14:paraId="08A7AF4C">
      <w:pPr>
        <w:spacing w:line="400" w:lineRule="exact"/>
        <w:rPr>
          <w:rFonts w:hint="eastAsia" w:ascii="宋体" w:hAnsi="宋体" w:eastAsia="宋体"/>
          <w:b/>
          <w:bCs/>
          <w:color w:val="auto"/>
          <w:sz w:val="24"/>
          <w:highlight w:val="none"/>
          <w:lang w:eastAsia="zh-CN"/>
        </w:rPr>
      </w:pPr>
      <w:r>
        <w:rPr>
          <w:rFonts w:hint="eastAsia" w:ascii="宋体" w:hAnsi="宋体"/>
          <w:b/>
          <w:bCs/>
          <w:color w:val="auto"/>
          <w:sz w:val="24"/>
          <w:highlight w:val="none"/>
        </w:rPr>
        <w:t>三、服务</w:t>
      </w:r>
      <w:r>
        <w:rPr>
          <w:rFonts w:ascii="宋体" w:hAnsi="宋体"/>
          <w:b/>
          <w:bCs/>
          <w:color w:val="auto"/>
          <w:sz w:val="24"/>
          <w:highlight w:val="none"/>
        </w:rPr>
        <w:t>期与质量</w:t>
      </w:r>
      <w:r>
        <w:rPr>
          <w:rFonts w:hint="eastAsia" w:ascii="宋体" w:hAnsi="宋体"/>
          <w:b/>
          <w:bCs/>
          <w:color w:val="auto"/>
          <w:sz w:val="24"/>
          <w:highlight w:val="none"/>
          <w:lang w:val="en-US" w:eastAsia="zh-CN"/>
        </w:rPr>
        <w:t>要求</w:t>
      </w:r>
    </w:p>
    <w:p w14:paraId="3064FC5E">
      <w:pPr>
        <w:pStyle w:val="4"/>
        <w:keepNext w:val="0"/>
        <w:keepLines w:val="0"/>
        <w:pageBreakBefore w:val="0"/>
        <w:widowControl w:val="0"/>
        <w:kinsoku/>
        <w:wordWrap/>
        <w:overflowPunct/>
        <w:topLinePunct w:val="0"/>
        <w:autoSpaceDE/>
        <w:autoSpaceDN/>
        <w:bidi w:val="0"/>
        <w:adjustRightInd/>
        <w:snapToGrid/>
        <w:spacing w:after="0" w:line="360" w:lineRule="auto"/>
        <w:ind w:firstLine="472" w:firstLineChars="200"/>
        <w:jc w:val="left"/>
        <w:textAlignment w:val="auto"/>
        <w:rPr>
          <w:color w:val="auto"/>
          <w:sz w:val="24"/>
          <w:szCs w:val="24"/>
          <w:highlight w:val="none"/>
        </w:rPr>
      </w:pPr>
      <w:r>
        <w:rPr>
          <w:rFonts w:ascii="宋体" w:hAnsi="宋体" w:eastAsia="宋体" w:cs="宋体"/>
          <w:color w:val="auto"/>
          <w:spacing w:val="-2"/>
          <w:sz w:val="24"/>
          <w:szCs w:val="24"/>
          <w:highlight w:val="none"/>
        </w:rPr>
        <w:t>服务期</w:t>
      </w:r>
      <w:r>
        <w:rPr>
          <w:rFonts w:hint="eastAsia" w:ascii="宋体" w:hAnsi="宋体" w:eastAsia="宋体" w:cs="宋体"/>
          <w:color w:val="auto"/>
          <w:spacing w:val="-2"/>
          <w:sz w:val="24"/>
          <w:szCs w:val="24"/>
          <w:highlight w:val="none"/>
          <w:lang w:eastAsia="zh-CN"/>
        </w:rPr>
        <w:t>：</w:t>
      </w:r>
      <w:r>
        <w:rPr>
          <w:rFonts w:ascii="宋体" w:hAnsi="宋体" w:eastAsia="宋体" w:cs="宋体"/>
          <w:color w:val="auto"/>
          <w:spacing w:val="-2"/>
          <w:sz w:val="24"/>
          <w:szCs w:val="24"/>
          <w:highlight w:val="none"/>
        </w:rPr>
        <w:t>自合同签订之日起至本项目</w:t>
      </w:r>
      <w:r>
        <w:rPr>
          <w:rFonts w:hint="eastAsia" w:ascii="宋体" w:hAnsi="宋体" w:eastAsia="宋体" w:cs="宋体"/>
          <w:color w:val="auto"/>
          <w:spacing w:val="-2"/>
          <w:sz w:val="24"/>
          <w:szCs w:val="24"/>
          <w:highlight w:val="none"/>
          <w:lang w:val="en-US" w:eastAsia="zh-CN"/>
        </w:rPr>
        <w:t>整体竣工验收</w:t>
      </w:r>
      <w:r>
        <w:rPr>
          <w:rFonts w:ascii="宋体" w:hAnsi="宋体" w:eastAsia="宋体" w:cs="宋体"/>
          <w:color w:val="auto"/>
          <w:spacing w:val="-3"/>
          <w:sz w:val="24"/>
          <w:szCs w:val="24"/>
          <w:highlight w:val="none"/>
        </w:rPr>
        <w:t>之日止。</w:t>
      </w:r>
    </w:p>
    <w:p w14:paraId="23813C20">
      <w:pPr>
        <w:spacing w:before="78" w:line="360" w:lineRule="auto"/>
        <w:ind w:right="3" w:firstLine="468" w:firstLineChars="200"/>
        <w:jc w:val="left"/>
        <w:outlineLvl w:val="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服务质量要求：符合国家的环境监测及专项验收技术服务相关法律法规、规</w:t>
      </w:r>
      <w:r>
        <w:rPr>
          <w:rFonts w:ascii="宋体" w:hAnsi="宋体" w:eastAsia="宋体" w:cs="宋体"/>
          <w:color w:val="auto"/>
          <w:spacing w:val="-1"/>
          <w:sz w:val="24"/>
          <w:szCs w:val="24"/>
          <w:highlight w:val="none"/>
        </w:rPr>
        <w:t>范标准的规定，满足国家的环境监测及专项验收技术服务的技术要求。</w:t>
      </w:r>
    </w:p>
    <w:p w14:paraId="4FECF92C">
      <w:pPr>
        <w:widowControl/>
        <w:wordWrap w:val="0"/>
        <w:topLinePunct/>
        <w:adjustRightInd w:val="0"/>
        <w:spacing w:line="440" w:lineRule="exact"/>
        <w:textAlignment w:val="baseline"/>
        <w:rPr>
          <w:rFonts w:ascii="宋体" w:hAnsi="宋体"/>
          <w:color w:val="auto"/>
          <w:sz w:val="24"/>
          <w:highlight w:val="none"/>
        </w:rPr>
      </w:pPr>
      <w:r>
        <w:rPr>
          <w:rFonts w:hint="eastAsia" w:ascii="宋体" w:hAnsi="宋体"/>
          <w:b/>
          <w:color w:val="auto"/>
          <w:sz w:val="24"/>
          <w:highlight w:val="none"/>
        </w:rPr>
        <w:t>四、履约保证金及付款方式</w:t>
      </w:r>
    </w:p>
    <w:p w14:paraId="13799937">
      <w:pPr>
        <w:widowControl/>
        <w:wordWrap w:val="0"/>
        <w:topLinePunct/>
        <w:adjustRightInd w:val="0"/>
        <w:spacing w:line="440" w:lineRule="exact"/>
        <w:ind w:firstLine="482" w:firstLineChars="200"/>
        <w:textAlignment w:val="baseline"/>
        <w:rPr>
          <w:rFonts w:ascii="宋体" w:hAnsi="宋体"/>
          <w:b/>
          <w:color w:val="auto"/>
          <w:sz w:val="24"/>
          <w:highlight w:val="none"/>
        </w:rPr>
      </w:pPr>
      <w:r>
        <w:rPr>
          <w:rFonts w:hint="eastAsia" w:ascii="宋体" w:hAnsi="宋体"/>
          <w:b/>
          <w:color w:val="auto"/>
          <w:sz w:val="24"/>
          <w:highlight w:val="none"/>
        </w:rPr>
        <w:t>（一）履约保证金</w:t>
      </w:r>
    </w:p>
    <w:p w14:paraId="740D627C">
      <w:pPr>
        <w:widowControl/>
        <w:wordWrap w:val="0"/>
        <w:topLinePunct/>
        <w:adjustRightInd w:val="0"/>
        <w:spacing w:line="440" w:lineRule="exact"/>
        <w:ind w:firstLine="480" w:firstLineChars="200"/>
        <w:jc w:val="left"/>
        <w:textAlignment w:val="baseline"/>
        <w:rPr>
          <w:rFonts w:ascii="宋体" w:hAnsi="宋体"/>
          <w:color w:val="auto"/>
          <w:sz w:val="24"/>
          <w:highlight w:val="none"/>
        </w:rPr>
      </w:pPr>
      <w:r>
        <w:rPr>
          <w:rFonts w:hint="eastAsia" w:ascii="宋体" w:hAnsi="宋体"/>
          <w:color w:val="auto"/>
          <w:sz w:val="24"/>
          <w:highlight w:val="none"/>
        </w:rPr>
        <w:t>1.本项目的履约保证金按合同价1%收取，中标人在合同签订后5日内交付至指定账户。履约期结束，采购人无息退还履约保证金。</w:t>
      </w:r>
    </w:p>
    <w:p w14:paraId="2D89B7DB">
      <w:pPr>
        <w:widowControl/>
        <w:wordWrap w:val="0"/>
        <w:topLinePunct/>
        <w:adjustRightInd w:val="0"/>
        <w:spacing w:line="440" w:lineRule="exact"/>
        <w:ind w:firstLine="480" w:firstLineChars="200"/>
        <w:textAlignment w:val="baseline"/>
        <w:rPr>
          <w:rFonts w:ascii="宋体" w:hAnsi="宋体"/>
          <w:b/>
          <w:color w:val="auto"/>
          <w:sz w:val="24"/>
          <w:highlight w:val="none"/>
        </w:rPr>
      </w:pPr>
      <w:r>
        <w:rPr>
          <w:rFonts w:hint="eastAsia" w:ascii="宋体" w:hAnsi="宋体"/>
          <w:color w:val="auto"/>
          <w:sz w:val="24"/>
          <w:highlight w:val="none"/>
        </w:rPr>
        <w:t>2.缴纳方式：可采用转账或履约保函形式。</w:t>
      </w:r>
    </w:p>
    <w:p w14:paraId="1BD09785">
      <w:pPr>
        <w:widowControl/>
        <w:wordWrap w:val="0"/>
        <w:topLinePunct/>
        <w:adjustRightInd w:val="0"/>
        <w:spacing w:line="440" w:lineRule="exact"/>
        <w:ind w:firstLine="482" w:firstLineChars="200"/>
        <w:textAlignment w:val="baseline"/>
        <w:rPr>
          <w:rFonts w:ascii="宋体" w:hAnsi="宋体"/>
          <w:b/>
          <w:color w:val="auto"/>
          <w:sz w:val="24"/>
          <w:highlight w:val="none"/>
        </w:rPr>
      </w:pPr>
      <w:r>
        <w:rPr>
          <w:rFonts w:hint="eastAsia" w:ascii="宋体" w:hAnsi="宋体"/>
          <w:b/>
          <w:color w:val="auto"/>
          <w:sz w:val="24"/>
          <w:highlight w:val="none"/>
        </w:rPr>
        <w:t>（二）付款方式</w:t>
      </w:r>
    </w:p>
    <w:p w14:paraId="2F121227">
      <w:pPr>
        <w:widowControl/>
        <w:topLinePunct/>
        <w:adjustRightInd w:val="0"/>
        <w:snapToGrid w:val="0"/>
        <w:spacing w:line="360" w:lineRule="auto"/>
        <w:ind w:firstLine="480" w:firstLineChars="200"/>
        <w:textAlignment w:val="baseline"/>
        <w:rPr>
          <w:rFonts w:ascii="宋体" w:hAnsi="宋体"/>
          <w:b/>
          <w:color w:val="auto"/>
          <w:sz w:val="24"/>
          <w:highlight w:val="none"/>
        </w:rPr>
      </w:pPr>
      <w:r>
        <w:rPr>
          <w:rFonts w:hint="eastAsia" w:ascii="宋体" w:hAnsi="宋体"/>
          <w:color w:val="auto"/>
          <w:sz w:val="24"/>
          <w:highlight w:val="none"/>
          <w:lang w:val="en-US" w:eastAsia="zh-CN"/>
        </w:rPr>
        <w:t>项目整体竣工验收后</w:t>
      </w:r>
      <w:r>
        <w:rPr>
          <w:rFonts w:hint="eastAsia" w:ascii="宋体" w:hAnsi="宋体"/>
          <w:color w:val="auto"/>
          <w:sz w:val="24"/>
          <w:highlight w:val="none"/>
        </w:rPr>
        <w:t>30个工作日内</w:t>
      </w:r>
      <w:r>
        <w:rPr>
          <w:rFonts w:hint="eastAsia" w:ascii="宋体" w:hAnsi="宋体"/>
          <w:color w:val="auto"/>
          <w:sz w:val="24"/>
          <w:highlight w:val="none"/>
          <w:lang w:val="en-US" w:eastAsia="zh-CN"/>
        </w:rPr>
        <w:t>一次性</w:t>
      </w:r>
      <w:r>
        <w:rPr>
          <w:rFonts w:hint="eastAsia" w:ascii="宋体" w:hAnsi="宋体"/>
          <w:color w:val="auto"/>
          <w:sz w:val="24"/>
          <w:highlight w:val="none"/>
        </w:rPr>
        <w:t>支付合同价款</w:t>
      </w:r>
      <w:r>
        <w:rPr>
          <w:rFonts w:hint="eastAsia" w:ascii="宋体" w:hAnsi="宋体"/>
          <w:color w:val="auto"/>
          <w:sz w:val="24"/>
          <w:highlight w:val="none"/>
          <w:lang w:eastAsia="zh-CN"/>
        </w:rPr>
        <w:t>，</w:t>
      </w:r>
      <w:r>
        <w:rPr>
          <w:rFonts w:hint="eastAsia" w:ascii="宋体" w:hAnsi="宋体"/>
          <w:color w:val="auto"/>
          <w:sz w:val="24"/>
          <w:highlight w:val="none"/>
        </w:rPr>
        <w:t>按最终签订的合同条款执行。</w:t>
      </w:r>
    </w:p>
    <w:p w14:paraId="55BFE710">
      <w:pPr>
        <w:widowControl/>
        <w:topLinePunct/>
        <w:adjustRightInd w:val="0"/>
        <w:snapToGrid w:val="0"/>
        <w:spacing w:line="360" w:lineRule="auto"/>
        <w:textAlignment w:val="baseline"/>
        <w:rPr>
          <w:rFonts w:ascii="宋体" w:hAnsi="宋体"/>
          <w:b/>
          <w:color w:val="auto"/>
          <w:sz w:val="24"/>
          <w:highlight w:val="none"/>
        </w:rPr>
      </w:pPr>
      <w:r>
        <w:rPr>
          <w:rFonts w:hint="eastAsia" w:ascii="宋体" w:hAnsi="宋体"/>
          <w:b/>
          <w:color w:val="auto"/>
          <w:sz w:val="24"/>
          <w:highlight w:val="none"/>
        </w:rPr>
        <w:t>五、转让和分包</w:t>
      </w:r>
    </w:p>
    <w:p w14:paraId="6EF536D0">
      <w:pPr>
        <w:widowControl/>
        <w:topLinePunct/>
        <w:adjustRightInd w:val="0"/>
        <w:snapToGrid w:val="0"/>
        <w:spacing w:line="360" w:lineRule="auto"/>
        <w:ind w:firstLine="482" w:firstLineChars="200"/>
        <w:jc w:val="left"/>
        <w:textAlignment w:val="baseline"/>
        <w:rPr>
          <w:rFonts w:ascii="宋体" w:hAnsi="宋体"/>
          <w:b/>
          <w:bCs/>
          <w:color w:val="auto"/>
          <w:sz w:val="24"/>
          <w:highlight w:val="none"/>
        </w:rPr>
      </w:pPr>
      <w:r>
        <w:rPr>
          <w:rFonts w:hint="eastAsia" w:ascii="宋体" w:hAnsi="宋体"/>
          <w:b/>
          <w:bCs/>
          <w:color w:val="auto"/>
          <w:sz w:val="24"/>
          <w:highlight w:val="none"/>
        </w:rPr>
        <w:t>本项目不得以任何形式进行转包及分包</w:t>
      </w:r>
    </w:p>
    <w:p w14:paraId="47B81A48">
      <w:pPr>
        <w:widowControl/>
        <w:topLinePunct/>
        <w:adjustRightInd w:val="0"/>
        <w:snapToGrid w:val="0"/>
        <w:spacing w:line="360" w:lineRule="auto"/>
        <w:jc w:val="left"/>
        <w:textAlignment w:val="baseline"/>
        <w:rPr>
          <w:rFonts w:ascii="宋体" w:hAnsi="宋体" w:cs="宋体"/>
          <w:b/>
          <w:bCs/>
          <w:color w:val="auto"/>
          <w:kern w:val="44"/>
          <w:sz w:val="24"/>
          <w:highlight w:val="none"/>
        </w:rPr>
      </w:pPr>
      <w:r>
        <w:rPr>
          <w:rFonts w:hint="eastAsia" w:ascii="宋体" w:hAnsi="宋体" w:cs="宋体"/>
          <w:b/>
          <w:bCs/>
          <w:color w:val="auto"/>
          <w:kern w:val="44"/>
          <w:sz w:val="24"/>
          <w:highlight w:val="none"/>
        </w:rPr>
        <w:t>六、</w:t>
      </w:r>
      <w:r>
        <w:rPr>
          <w:rFonts w:hint="eastAsia" w:ascii="宋体" w:hAnsi="宋体" w:cs="宋体"/>
          <w:b/>
          <w:bCs/>
          <w:color w:val="auto"/>
          <w:kern w:val="44"/>
          <w:sz w:val="24"/>
          <w:highlight w:val="none"/>
          <w:lang w:val="en-US" w:eastAsia="zh-CN"/>
        </w:rPr>
        <w:t>报价人</w:t>
      </w:r>
      <w:r>
        <w:rPr>
          <w:rFonts w:hint="eastAsia" w:ascii="宋体" w:hAnsi="宋体" w:cs="宋体"/>
          <w:b/>
          <w:bCs/>
          <w:color w:val="auto"/>
          <w:kern w:val="44"/>
          <w:sz w:val="24"/>
          <w:highlight w:val="none"/>
        </w:rPr>
        <w:t>资格要求</w:t>
      </w:r>
    </w:p>
    <w:p w14:paraId="187F246C">
      <w:pPr>
        <w:pStyle w:val="5"/>
        <w:snapToGrid w:val="0"/>
        <w:spacing w:before="0" w:afterLines="0" w:line="360" w:lineRule="auto"/>
        <w:ind w:firstLine="482" w:firstLineChars="200"/>
        <w:rPr>
          <w:rFonts w:hAnsi="宋体" w:cs="宋体"/>
          <w:b/>
          <w:bCs/>
          <w:color w:val="auto"/>
          <w:kern w:val="2"/>
          <w:highlight w:val="none"/>
        </w:rPr>
      </w:pPr>
      <w:r>
        <w:rPr>
          <w:rFonts w:hint="eastAsia" w:hAnsi="宋体" w:cs="宋体"/>
          <w:b/>
          <w:bCs/>
          <w:color w:val="auto"/>
          <w:kern w:val="2"/>
          <w:highlight w:val="none"/>
        </w:rPr>
        <w:t>1、基本资格要求：</w:t>
      </w:r>
    </w:p>
    <w:p w14:paraId="21C4E128">
      <w:pPr>
        <w:pStyle w:val="5"/>
        <w:snapToGrid w:val="0"/>
        <w:spacing w:before="0" w:afterLines="0" w:line="360" w:lineRule="auto"/>
        <w:ind w:firstLine="482" w:firstLineChars="200"/>
        <w:rPr>
          <w:rFonts w:hAnsi="宋体" w:cs="宋体"/>
          <w:b/>
          <w:bCs/>
          <w:color w:val="auto"/>
          <w:kern w:val="2"/>
          <w:highlight w:val="none"/>
        </w:rPr>
      </w:pPr>
      <w:r>
        <w:rPr>
          <w:rFonts w:hint="eastAsia" w:hAnsi="宋体" w:cs="宋体"/>
          <w:b/>
          <w:bCs/>
          <w:color w:val="auto"/>
          <w:kern w:val="2"/>
          <w:highlight w:val="none"/>
        </w:rPr>
        <w:t>（1）、符合《中华人民共和国政府采购法》第二十二条之规定，在中华人民共和国境内注册的独立法人；</w:t>
      </w:r>
    </w:p>
    <w:p w14:paraId="48B9D631">
      <w:pPr>
        <w:pStyle w:val="5"/>
        <w:snapToGrid w:val="0"/>
        <w:spacing w:before="0" w:afterLines="0" w:line="360" w:lineRule="auto"/>
        <w:ind w:firstLine="482" w:firstLineChars="200"/>
        <w:rPr>
          <w:rFonts w:hAnsi="宋体" w:cs="宋体"/>
          <w:b/>
          <w:bCs/>
          <w:color w:val="auto"/>
          <w:kern w:val="2"/>
          <w:highlight w:val="none"/>
        </w:rPr>
      </w:pPr>
      <w:r>
        <w:rPr>
          <w:rFonts w:hint="eastAsia" w:hAnsi="宋体" w:cs="宋体"/>
          <w:b/>
          <w:bCs/>
          <w:color w:val="auto"/>
          <w:kern w:val="2"/>
          <w:highlight w:val="none"/>
        </w:rPr>
        <w:t>（2）、供应商未被列入失信被执行人名单、重大税收违法案件当事人名单、政府采购严重违法失信行为记录名单；</w:t>
      </w:r>
    </w:p>
    <w:p w14:paraId="576E0479">
      <w:pPr>
        <w:pStyle w:val="5"/>
        <w:snapToGrid w:val="0"/>
        <w:spacing w:before="0" w:afterLines="0" w:line="360" w:lineRule="auto"/>
        <w:ind w:firstLine="482" w:firstLineChars="200"/>
        <w:rPr>
          <w:rFonts w:hAnsi="宋体" w:cs="宋体"/>
          <w:b/>
          <w:bCs/>
          <w:color w:val="auto"/>
          <w:kern w:val="2"/>
          <w:highlight w:val="none"/>
        </w:rPr>
      </w:pPr>
      <w:r>
        <w:rPr>
          <w:rFonts w:hint="eastAsia" w:hAnsi="宋体" w:cs="宋体"/>
          <w:b/>
          <w:bCs/>
          <w:color w:val="auto"/>
          <w:kern w:val="2"/>
          <w:highlight w:val="none"/>
        </w:rPr>
        <w:t>（3）、本项目不接受联合体投标。</w:t>
      </w:r>
    </w:p>
    <w:p w14:paraId="6F155DD4">
      <w:pPr>
        <w:pStyle w:val="5"/>
        <w:snapToGrid w:val="0"/>
        <w:spacing w:before="0" w:afterLines="0" w:line="360" w:lineRule="auto"/>
        <w:ind w:firstLine="482" w:firstLineChars="200"/>
        <w:rPr>
          <w:rFonts w:hAnsi="宋体" w:cs="宋体"/>
          <w:b/>
          <w:bCs/>
          <w:color w:val="auto"/>
          <w:highlight w:val="none"/>
        </w:rPr>
      </w:pPr>
      <w:r>
        <w:rPr>
          <w:rFonts w:hint="eastAsia" w:hAnsi="宋体" w:cs="宋体"/>
          <w:b/>
          <w:bCs/>
          <w:color w:val="auto"/>
          <w:highlight w:val="none"/>
        </w:rPr>
        <w:t>2</w:t>
      </w:r>
      <w:r>
        <w:rPr>
          <w:rFonts w:hint="eastAsia" w:hAnsi="宋体" w:cs="宋体"/>
          <w:b/>
          <w:bCs/>
          <w:color w:val="auto"/>
          <w:highlight w:val="none"/>
          <w:lang w:eastAsia="zh-CN"/>
        </w:rPr>
        <w:t>、</w:t>
      </w:r>
      <w:r>
        <w:rPr>
          <w:rFonts w:hint="eastAsia" w:hAnsi="宋体" w:cs="宋体"/>
          <w:b/>
          <w:bCs/>
          <w:color w:val="auto"/>
          <w:highlight w:val="none"/>
        </w:rPr>
        <w:t>证明材料：</w:t>
      </w:r>
    </w:p>
    <w:p w14:paraId="319DA4FB">
      <w:pPr>
        <w:pStyle w:val="5"/>
        <w:snapToGrid w:val="0"/>
        <w:spacing w:before="0" w:afterLines="0" w:line="360" w:lineRule="auto"/>
        <w:ind w:firstLine="480" w:firstLineChars="200"/>
        <w:rPr>
          <w:rFonts w:hAnsi="宋体" w:cs="宋体"/>
          <w:color w:val="auto"/>
          <w:kern w:val="2"/>
          <w:highlight w:val="none"/>
        </w:rPr>
      </w:pPr>
      <w:r>
        <w:rPr>
          <w:rFonts w:hint="eastAsia" w:hAnsi="宋体" w:cs="宋体"/>
          <w:color w:val="auto"/>
          <w:kern w:val="2"/>
          <w:highlight w:val="none"/>
        </w:rPr>
        <w:t>2.1 参与报价的供应商须提供</w:t>
      </w:r>
      <w:r>
        <w:rPr>
          <w:rFonts w:hint="eastAsia" w:hAnsi="宋体" w:cs="宋体"/>
          <w:b/>
          <w:bCs/>
          <w:color w:val="auto"/>
          <w:kern w:val="2"/>
          <w:highlight w:val="none"/>
          <w:u w:val="single"/>
        </w:rPr>
        <w:t>营业执照、承诺书（格式详见附件）、报价一览表（格式详见附件）</w:t>
      </w:r>
      <w:r>
        <w:rPr>
          <w:rFonts w:hint="eastAsia" w:hAnsi="宋体" w:cs="宋体"/>
          <w:color w:val="auto"/>
          <w:kern w:val="2"/>
          <w:highlight w:val="none"/>
        </w:rPr>
        <w:t>，以上资料需加盖公章，所提供的资料必须真实有效，若发现弄虚作假则取消投标资格；未上传（或上传不齐全）以上资料，</w:t>
      </w:r>
      <w:r>
        <w:rPr>
          <w:rFonts w:hint="eastAsia" w:hAnsi="宋体" w:cs="宋体"/>
          <w:color w:val="auto"/>
          <w:kern w:val="2"/>
          <w:highlight w:val="none"/>
          <w:lang w:val="en-US" w:eastAsia="zh-CN"/>
        </w:rPr>
        <w:t>采购人有权</w:t>
      </w:r>
      <w:r>
        <w:rPr>
          <w:rFonts w:hint="eastAsia" w:hAnsi="宋体" w:cs="宋体"/>
          <w:color w:val="auto"/>
          <w:kern w:val="2"/>
          <w:highlight w:val="none"/>
        </w:rPr>
        <w:t>取消</w:t>
      </w:r>
      <w:r>
        <w:rPr>
          <w:rFonts w:hint="eastAsia" w:hAnsi="宋体" w:cs="宋体"/>
          <w:color w:val="auto"/>
          <w:kern w:val="2"/>
          <w:highlight w:val="none"/>
          <w:lang w:val="en-US" w:eastAsia="zh-CN"/>
        </w:rPr>
        <w:t>其</w:t>
      </w:r>
      <w:r>
        <w:rPr>
          <w:rFonts w:hint="eastAsia" w:hAnsi="宋体" w:cs="宋体"/>
          <w:color w:val="auto"/>
          <w:kern w:val="2"/>
          <w:highlight w:val="none"/>
        </w:rPr>
        <w:t>中标资格。</w:t>
      </w:r>
    </w:p>
    <w:p w14:paraId="177B0E69">
      <w:pPr>
        <w:pStyle w:val="5"/>
        <w:snapToGrid w:val="0"/>
        <w:spacing w:before="0" w:afterLines="0" w:line="360" w:lineRule="auto"/>
        <w:ind w:firstLine="480" w:firstLineChars="200"/>
        <w:rPr>
          <w:rFonts w:hAnsi="宋体" w:cs="宋体"/>
          <w:color w:val="auto"/>
          <w:kern w:val="2"/>
          <w:highlight w:val="none"/>
        </w:rPr>
      </w:pPr>
      <w:r>
        <w:rPr>
          <w:rFonts w:hint="eastAsia" w:hAnsi="宋体" w:cs="宋体"/>
          <w:color w:val="auto"/>
          <w:kern w:val="2"/>
          <w:highlight w:val="none"/>
        </w:rPr>
        <w:t>2.2 供应商投标报价以及提供材料均应依据本商务需求要求，资料弄虚作假、随意乱报价、未及时配合采购人签订合同等情形，取消中标资格，上报乐采云平台，对供应商进行扣分等处罚。</w:t>
      </w:r>
    </w:p>
    <w:p w14:paraId="777965AF">
      <w:pPr>
        <w:spacing w:line="440" w:lineRule="exact"/>
        <w:rPr>
          <w:rFonts w:ascii="宋体" w:hAnsi="宋体" w:cs="宋体"/>
          <w:b/>
          <w:bCs/>
          <w:color w:val="auto"/>
          <w:sz w:val="24"/>
          <w:highlight w:val="none"/>
        </w:rPr>
      </w:pPr>
      <w:r>
        <w:rPr>
          <w:rFonts w:hint="eastAsia" w:ascii="宋体" w:hAnsi="宋体" w:cs="宋体"/>
          <w:b/>
          <w:bCs/>
          <w:color w:val="auto"/>
          <w:sz w:val="24"/>
          <w:highlight w:val="none"/>
        </w:rPr>
        <w:t>七、报价说明</w:t>
      </w:r>
    </w:p>
    <w:p w14:paraId="2908F0E6">
      <w:pPr>
        <w:pStyle w:val="5"/>
        <w:spacing w:before="0" w:afterLines="0" w:line="440" w:lineRule="exact"/>
        <w:ind w:firstLine="480" w:firstLineChars="200"/>
        <w:rPr>
          <w:rFonts w:hint="default" w:hAnsi="宋体" w:eastAsia="宋体" w:cs="宋体"/>
          <w:color w:val="auto"/>
          <w:kern w:val="2"/>
          <w:highlight w:val="none"/>
          <w:lang w:val="en-US" w:eastAsia="zh-CN"/>
        </w:rPr>
      </w:pPr>
      <w:r>
        <w:rPr>
          <w:rFonts w:hint="eastAsia" w:hAnsi="宋体" w:cs="宋体"/>
          <w:color w:val="auto"/>
          <w:kern w:val="2"/>
          <w:highlight w:val="none"/>
          <w:lang w:val="zh-CN"/>
        </w:rPr>
        <w:t>1、</w:t>
      </w:r>
      <w:r>
        <w:rPr>
          <w:rFonts w:hint="eastAsia" w:hAnsi="宋体" w:cs="宋体"/>
          <w:color w:val="auto"/>
          <w:kern w:val="2"/>
          <w:sz w:val="24"/>
          <w:szCs w:val="24"/>
          <w:highlight w:val="none"/>
        </w:rPr>
        <w:t>本项目综合</w:t>
      </w:r>
      <w:r>
        <w:rPr>
          <w:rFonts w:hint="eastAsia" w:hAnsi="宋体" w:cs="宋体"/>
          <w:color w:val="auto"/>
          <w:kern w:val="2"/>
          <w:sz w:val="24"/>
          <w:szCs w:val="24"/>
          <w:highlight w:val="none"/>
          <w:lang w:val="en-US" w:eastAsia="zh-CN"/>
        </w:rPr>
        <w:t>报价</w:t>
      </w:r>
      <w:r>
        <w:rPr>
          <w:rFonts w:hint="eastAsia" w:hAnsi="宋体" w:cs="宋体"/>
          <w:color w:val="auto"/>
          <w:kern w:val="2"/>
          <w:sz w:val="24"/>
          <w:szCs w:val="24"/>
          <w:highlight w:val="none"/>
        </w:rPr>
        <w:t>费用包括现场踏勘、资料收集整理、数据调查分析、</w:t>
      </w:r>
      <w:r>
        <w:rPr>
          <w:rFonts w:hint="eastAsia" w:hAnsi="宋体" w:cs="宋体"/>
          <w:color w:val="auto"/>
          <w:kern w:val="2"/>
          <w:sz w:val="24"/>
          <w:szCs w:val="24"/>
          <w:highlight w:val="none"/>
          <w:lang w:val="en-US" w:eastAsia="zh-CN"/>
        </w:rPr>
        <w:t>监测</w:t>
      </w:r>
      <w:r>
        <w:rPr>
          <w:rFonts w:hint="eastAsia" w:hAnsi="宋体" w:cs="宋体"/>
          <w:color w:val="auto"/>
          <w:kern w:val="2"/>
          <w:sz w:val="24"/>
          <w:szCs w:val="24"/>
          <w:highlight w:val="none"/>
        </w:rPr>
        <w:t>、印刷、咨询费、专家费、会务费、风险费、保险、利润、规费、税金、政策性文件规定及合同包含的所有风险、责任等所有费用</w:t>
      </w:r>
      <w:r>
        <w:rPr>
          <w:rFonts w:hint="eastAsia" w:hAnsi="宋体" w:cs="宋体"/>
          <w:color w:val="auto"/>
          <w:kern w:val="2"/>
          <w:sz w:val="24"/>
          <w:szCs w:val="24"/>
          <w:highlight w:val="none"/>
          <w:lang w:eastAsia="zh-CN"/>
        </w:rPr>
        <w:t>。</w:t>
      </w:r>
      <w:r>
        <w:rPr>
          <w:rFonts w:hint="eastAsia" w:hAnsi="宋体" w:cs="宋体"/>
          <w:color w:val="auto"/>
          <w:kern w:val="2"/>
          <w:sz w:val="24"/>
          <w:szCs w:val="24"/>
          <w:highlight w:val="none"/>
        </w:rPr>
        <w:t>合同已包括：</w:t>
      </w:r>
      <w:r>
        <w:rPr>
          <w:rFonts w:hint="eastAsia" w:ascii="宋体" w:hAnsi="宋体" w:eastAsia="宋体" w:cs="宋体"/>
          <w:color w:val="auto"/>
          <w:sz w:val="24"/>
          <w:szCs w:val="24"/>
          <w:highlight w:val="none"/>
        </w:rPr>
        <w:t>生态调查服务</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环境监测服务</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突发事件应急预案、</w:t>
      </w:r>
      <w:r>
        <w:rPr>
          <w:rFonts w:hint="eastAsia" w:hAnsi="宋体" w:cs="宋体"/>
          <w:color w:val="auto"/>
          <w:sz w:val="24"/>
          <w:szCs w:val="24"/>
          <w:highlight w:val="none"/>
          <w:lang w:eastAsia="zh-CN"/>
        </w:rPr>
        <w:t>环保竣工验收服务以及</w:t>
      </w:r>
      <w:r>
        <w:rPr>
          <w:rFonts w:hint="eastAsia" w:hAnsi="宋体" w:cs="宋体"/>
          <w:color w:val="auto"/>
          <w:kern w:val="2"/>
          <w:sz w:val="24"/>
          <w:szCs w:val="24"/>
          <w:highlight w:val="none"/>
        </w:rPr>
        <w:t>能预见的因场地问题引起的多次进场的费用、以及后续服务等费用。</w:t>
      </w:r>
    </w:p>
    <w:p w14:paraId="77DC7D99">
      <w:pPr>
        <w:pStyle w:val="5"/>
        <w:spacing w:before="0" w:afterLines="0" w:line="440" w:lineRule="exact"/>
        <w:ind w:firstLine="480" w:firstLineChars="200"/>
        <w:rPr>
          <w:rFonts w:hAnsi="宋体" w:cs="宋体"/>
          <w:color w:val="auto"/>
          <w:kern w:val="2"/>
          <w:highlight w:val="none"/>
        </w:rPr>
      </w:pPr>
      <w:r>
        <w:rPr>
          <w:rFonts w:hint="eastAsia" w:hAnsi="宋体" w:cs="宋体"/>
          <w:color w:val="auto"/>
          <w:kern w:val="2"/>
          <w:highlight w:val="none"/>
        </w:rPr>
        <w:t>2</w:t>
      </w:r>
      <w:r>
        <w:rPr>
          <w:rFonts w:hint="eastAsia" w:hAnsi="宋体" w:cs="宋体"/>
          <w:color w:val="auto"/>
          <w:kern w:val="2"/>
          <w:highlight w:val="none"/>
          <w:lang w:eastAsia="zh-CN"/>
        </w:rPr>
        <w:t>、</w:t>
      </w:r>
      <w:r>
        <w:rPr>
          <w:rFonts w:hint="eastAsia" w:hAnsi="宋体" w:cs="宋体"/>
          <w:color w:val="auto"/>
          <w:kern w:val="2"/>
          <w:highlight w:val="none"/>
        </w:rPr>
        <w:t>未按商务需求的报价要求进行填报或错报，响应无效，取消中标资格。</w:t>
      </w:r>
    </w:p>
    <w:p w14:paraId="1C150215">
      <w:pPr>
        <w:pStyle w:val="5"/>
        <w:spacing w:before="0" w:afterLines="0" w:line="440" w:lineRule="exact"/>
        <w:ind w:firstLine="480" w:firstLineChars="200"/>
        <w:rPr>
          <w:rFonts w:hint="eastAsia" w:hAnsi="宋体" w:cs="宋体"/>
          <w:color w:val="auto"/>
          <w:kern w:val="2"/>
          <w:highlight w:val="none"/>
        </w:rPr>
      </w:pPr>
      <w:r>
        <w:rPr>
          <w:rFonts w:hint="eastAsia" w:hAnsi="宋体" w:cs="宋体"/>
          <w:color w:val="auto"/>
          <w:kern w:val="2"/>
          <w:highlight w:val="none"/>
        </w:rPr>
        <w:t>3</w:t>
      </w:r>
      <w:r>
        <w:rPr>
          <w:rFonts w:hint="eastAsia" w:hAnsi="宋体" w:cs="宋体"/>
          <w:color w:val="auto"/>
          <w:kern w:val="2"/>
          <w:highlight w:val="none"/>
          <w:lang w:eastAsia="zh-CN"/>
        </w:rPr>
        <w:t>、</w:t>
      </w:r>
      <w:r>
        <w:rPr>
          <w:rFonts w:hint="eastAsia" w:hAnsi="宋体" w:cs="宋体"/>
          <w:color w:val="auto"/>
          <w:kern w:val="2"/>
          <w:highlight w:val="none"/>
        </w:rPr>
        <w:t>投标人投标前应先到工地踏勘，充分了解工程位置情况、场地情况、进出道路、储存空间、装卸限制及任何其它非业主主观原因引起的足以影响承包价的情况。任何因忽视或误解工程情况而导致的索赔将不予受理。</w:t>
      </w:r>
    </w:p>
    <w:p w14:paraId="4B9F40AC">
      <w:pPr>
        <w:spacing w:line="440" w:lineRule="exact"/>
        <w:rPr>
          <w:rFonts w:ascii="宋体" w:hAnsi="宋体" w:cs="宋体"/>
          <w:b/>
          <w:bCs/>
          <w:color w:val="auto"/>
          <w:sz w:val="24"/>
          <w:highlight w:val="none"/>
        </w:rPr>
      </w:pPr>
      <w:r>
        <w:rPr>
          <w:rFonts w:hint="eastAsia" w:ascii="宋体" w:hAnsi="宋体" w:cs="宋体"/>
          <w:b/>
          <w:bCs/>
          <w:color w:val="auto"/>
          <w:sz w:val="24"/>
          <w:highlight w:val="none"/>
        </w:rPr>
        <w:t>八、合同主要条款</w:t>
      </w:r>
    </w:p>
    <w:p w14:paraId="6298F86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合同将由杭州富阳交通发展投资集团有限公司（以下简称甲方）与最终确定的中标人（以下简称乙方）结合本项目具体情况协商后签订。以下为合同样稿。</w:t>
      </w:r>
    </w:p>
    <w:p w14:paraId="7620A05B">
      <w:pPr>
        <w:spacing w:line="600" w:lineRule="exact"/>
        <w:jc w:val="center"/>
        <w:rPr>
          <w:rFonts w:ascii="宋体" w:hAnsi="宋体" w:cs="宋体"/>
          <w:b/>
          <w:bCs/>
          <w:color w:val="auto"/>
          <w:sz w:val="24"/>
          <w:highlight w:val="none"/>
        </w:rPr>
      </w:pPr>
    </w:p>
    <w:p w14:paraId="717A3E03">
      <w:pPr>
        <w:spacing w:line="600" w:lineRule="exact"/>
        <w:jc w:val="center"/>
        <w:rPr>
          <w:rFonts w:ascii="宋体" w:hAnsi="宋体" w:cs="宋体"/>
          <w:b/>
          <w:bCs/>
          <w:color w:val="auto"/>
          <w:sz w:val="24"/>
          <w:highlight w:val="none"/>
        </w:rPr>
      </w:pPr>
    </w:p>
    <w:p w14:paraId="221A7EC6">
      <w:pPr>
        <w:spacing w:line="600" w:lineRule="exact"/>
        <w:jc w:val="center"/>
        <w:rPr>
          <w:rFonts w:ascii="宋体" w:hAnsi="宋体" w:cs="宋体"/>
          <w:b/>
          <w:bCs/>
          <w:color w:val="auto"/>
          <w:sz w:val="24"/>
          <w:highlight w:val="none"/>
        </w:rPr>
      </w:pPr>
    </w:p>
    <w:p w14:paraId="33B0BF4A">
      <w:pPr>
        <w:spacing w:line="600" w:lineRule="exact"/>
        <w:jc w:val="center"/>
        <w:rPr>
          <w:rFonts w:ascii="宋体" w:hAnsi="宋体" w:cs="宋体"/>
          <w:b/>
          <w:bCs/>
          <w:color w:val="auto"/>
          <w:sz w:val="24"/>
          <w:highlight w:val="none"/>
        </w:rPr>
      </w:pPr>
    </w:p>
    <w:p w14:paraId="5612AEF2">
      <w:pPr>
        <w:spacing w:line="600" w:lineRule="exact"/>
        <w:jc w:val="center"/>
        <w:rPr>
          <w:rFonts w:ascii="宋体" w:hAnsi="宋体" w:cs="宋体"/>
          <w:b/>
          <w:bCs/>
          <w:color w:val="auto"/>
          <w:sz w:val="24"/>
          <w:highlight w:val="none"/>
        </w:rPr>
      </w:pPr>
    </w:p>
    <w:p w14:paraId="3294D592">
      <w:pPr>
        <w:spacing w:line="600" w:lineRule="exact"/>
        <w:jc w:val="center"/>
        <w:rPr>
          <w:rFonts w:ascii="宋体" w:hAnsi="宋体" w:cs="宋体"/>
          <w:b/>
          <w:bCs/>
          <w:color w:val="auto"/>
          <w:sz w:val="24"/>
          <w:highlight w:val="none"/>
        </w:rPr>
      </w:pPr>
    </w:p>
    <w:p w14:paraId="7F02C557">
      <w:pPr>
        <w:spacing w:line="600" w:lineRule="exact"/>
        <w:jc w:val="center"/>
        <w:rPr>
          <w:rFonts w:ascii="宋体" w:hAnsi="宋体" w:cs="宋体"/>
          <w:b/>
          <w:bCs/>
          <w:color w:val="auto"/>
          <w:sz w:val="24"/>
          <w:highlight w:val="none"/>
        </w:rPr>
      </w:pPr>
    </w:p>
    <w:p w14:paraId="33AC6B61">
      <w:pPr>
        <w:spacing w:line="600" w:lineRule="exact"/>
        <w:jc w:val="center"/>
        <w:rPr>
          <w:rFonts w:ascii="宋体" w:hAnsi="宋体" w:cs="宋体"/>
          <w:b/>
          <w:bCs/>
          <w:color w:val="auto"/>
          <w:sz w:val="24"/>
          <w:highlight w:val="none"/>
        </w:rPr>
      </w:pPr>
    </w:p>
    <w:p w14:paraId="633C6982">
      <w:pPr>
        <w:spacing w:line="600" w:lineRule="exact"/>
        <w:jc w:val="center"/>
        <w:rPr>
          <w:rFonts w:ascii="宋体" w:hAnsi="宋体" w:cs="宋体"/>
          <w:b/>
          <w:bCs/>
          <w:color w:val="auto"/>
          <w:sz w:val="24"/>
          <w:highlight w:val="none"/>
        </w:rPr>
      </w:pPr>
    </w:p>
    <w:p w14:paraId="7FEE0A52">
      <w:pPr>
        <w:spacing w:line="600" w:lineRule="exact"/>
        <w:jc w:val="center"/>
        <w:rPr>
          <w:rFonts w:ascii="宋体" w:hAnsi="宋体" w:cs="宋体"/>
          <w:b/>
          <w:bCs/>
          <w:color w:val="auto"/>
          <w:sz w:val="24"/>
          <w:highlight w:val="none"/>
        </w:rPr>
      </w:pPr>
    </w:p>
    <w:p w14:paraId="2B7A9F62">
      <w:pPr>
        <w:spacing w:line="600" w:lineRule="exact"/>
        <w:jc w:val="center"/>
        <w:rPr>
          <w:rFonts w:ascii="宋体" w:hAnsi="宋体" w:cs="宋体"/>
          <w:b/>
          <w:bCs/>
          <w:color w:val="auto"/>
          <w:sz w:val="24"/>
          <w:highlight w:val="none"/>
        </w:rPr>
      </w:pPr>
    </w:p>
    <w:p w14:paraId="2852C151">
      <w:pPr>
        <w:spacing w:line="600" w:lineRule="exact"/>
        <w:jc w:val="center"/>
        <w:rPr>
          <w:rFonts w:ascii="宋体" w:hAnsi="宋体" w:cs="宋体"/>
          <w:b/>
          <w:bCs/>
          <w:color w:val="auto"/>
          <w:sz w:val="24"/>
          <w:highlight w:val="none"/>
        </w:rPr>
      </w:pPr>
    </w:p>
    <w:p w14:paraId="679B3288">
      <w:pPr>
        <w:spacing w:line="600" w:lineRule="exact"/>
        <w:jc w:val="center"/>
        <w:rPr>
          <w:rFonts w:ascii="宋体" w:hAnsi="宋体" w:cs="宋体"/>
          <w:b/>
          <w:bCs/>
          <w:color w:val="auto"/>
          <w:sz w:val="24"/>
          <w:highlight w:val="none"/>
        </w:rPr>
      </w:pPr>
    </w:p>
    <w:p w14:paraId="19BAA557">
      <w:pPr>
        <w:spacing w:line="600" w:lineRule="exact"/>
        <w:jc w:val="center"/>
        <w:rPr>
          <w:rFonts w:ascii="宋体" w:hAnsi="宋体" w:cs="宋体"/>
          <w:b/>
          <w:bCs/>
          <w:color w:val="auto"/>
          <w:sz w:val="24"/>
          <w:highlight w:val="none"/>
        </w:rPr>
      </w:pPr>
    </w:p>
    <w:p w14:paraId="33D59FDF">
      <w:pPr>
        <w:widowControl/>
        <w:overflowPunct w:val="0"/>
        <w:autoSpaceDE w:val="0"/>
        <w:autoSpaceDN w:val="0"/>
        <w:adjustRightInd w:val="0"/>
        <w:snapToGrid w:val="0"/>
        <w:spacing w:line="600" w:lineRule="exact"/>
        <w:jc w:val="center"/>
        <w:textAlignment w:val="baseline"/>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合同协议书</w:t>
      </w:r>
    </w:p>
    <w:p w14:paraId="56229C44">
      <w:pPr>
        <w:widowControl/>
        <w:overflowPunct w:val="0"/>
        <w:autoSpaceDE w:val="0"/>
        <w:autoSpaceDN w:val="0"/>
        <w:adjustRightInd w:val="0"/>
        <w:snapToGrid w:val="0"/>
        <w:spacing w:line="600" w:lineRule="exact"/>
        <w:jc w:val="center"/>
        <w:textAlignment w:val="baseline"/>
        <w:rPr>
          <w:rFonts w:ascii="宋体" w:hAnsi="宋体" w:cs="宋体"/>
          <w:b/>
          <w:bCs/>
          <w:color w:val="auto"/>
          <w:kern w:val="0"/>
          <w:sz w:val="36"/>
          <w:szCs w:val="36"/>
          <w:highlight w:val="none"/>
        </w:rPr>
      </w:pPr>
      <w:r>
        <w:rPr>
          <w:rFonts w:hint="eastAsia" w:ascii="宋体" w:hAnsi="宋体" w:cs="仿宋_GB2312"/>
          <w:b/>
          <w:bCs/>
          <w:color w:val="auto"/>
          <w:kern w:val="0"/>
          <w:sz w:val="28"/>
          <w:szCs w:val="28"/>
          <w:highlight w:val="none"/>
        </w:rPr>
        <w:t>（本合同为合同样稿，最终稿协商后确定）</w:t>
      </w:r>
    </w:p>
    <w:p w14:paraId="3EF6B6AF">
      <w:pPr>
        <w:adjustRightInd w:val="0"/>
        <w:snapToGrid w:val="0"/>
        <w:spacing w:line="360" w:lineRule="auto"/>
        <w:jc w:val="left"/>
        <w:rPr>
          <w:rFonts w:ascii="宋体" w:hAnsi="宋体" w:cs="仿宋"/>
          <w:color w:val="auto"/>
          <w:sz w:val="24"/>
          <w:highlight w:val="none"/>
        </w:rPr>
      </w:pPr>
      <w:r>
        <w:rPr>
          <w:rFonts w:hint="eastAsia" w:ascii="宋体" w:hAnsi="宋体" w:cs="仿宋"/>
          <w:color w:val="auto"/>
          <w:sz w:val="24"/>
          <w:highlight w:val="none"/>
        </w:rPr>
        <w:t>委托人：</w:t>
      </w:r>
      <w:r>
        <w:rPr>
          <w:rFonts w:hint="eastAsia" w:ascii="宋体" w:hAnsi="宋体" w:cs="仿宋"/>
          <w:color w:val="auto"/>
          <w:sz w:val="24"/>
          <w:highlight w:val="none"/>
          <w:u w:val="single"/>
        </w:rPr>
        <w:t xml:space="preserve">杭州富阳交通发展投资集团有限公司             </w:t>
      </w:r>
      <w:r>
        <w:rPr>
          <w:rFonts w:hint="eastAsia" w:ascii="宋体" w:hAnsi="宋体" w:cs="仿宋"/>
          <w:color w:val="auto"/>
          <w:sz w:val="24"/>
          <w:highlight w:val="none"/>
        </w:rPr>
        <w:t xml:space="preserve"> （以下简称甲方）</w:t>
      </w:r>
    </w:p>
    <w:p w14:paraId="21A7B5E5">
      <w:pPr>
        <w:adjustRightInd w:val="0"/>
        <w:snapToGrid w:val="0"/>
        <w:spacing w:line="360" w:lineRule="auto"/>
        <w:jc w:val="left"/>
        <w:rPr>
          <w:rFonts w:ascii="宋体" w:hAnsi="宋体" w:cs="仿宋"/>
          <w:color w:val="auto"/>
          <w:sz w:val="24"/>
          <w:highlight w:val="none"/>
        </w:rPr>
      </w:pPr>
      <w:r>
        <w:rPr>
          <w:rFonts w:hint="eastAsia" w:ascii="宋体" w:hAnsi="宋体" w:cs="仿宋"/>
          <w:color w:val="auto"/>
          <w:sz w:val="24"/>
          <w:highlight w:val="none"/>
        </w:rPr>
        <w:t>受托人：</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（以下简称乙方）</w:t>
      </w:r>
    </w:p>
    <w:p w14:paraId="3D3543D5">
      <w:pPr>
        <w:adjustRightInd w:val="0"/>
        <w:snapToGrid w:val="0"/>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根据《中华人民共和国民法典》的相关规定，甲乙双方本着友好、诚信、自愿、公平的原则，受甲方委托，经甲乙双方充分协商同意，就甲方的</w:t>
      </w:r>
      <w:r>
        <w:rPr>
          <w:rFonts w:hint="eastAsia" w:ascii="宋体" w:hAnsi="宋体" w:cs="仿宋"/>
          <w:color w:val="auto"/>
          <w:sz w:val="24"/>
          <w:highlight w:val="none"/>
          <w:u w:val="single"/>
        </w:rPr>
        <w:t>北支江（亚运）旅游集散中心建设项目-东梓关旅游码头</w:t>
      </w:r>
      <w:r>
        <w:rPr>
          <w:rFonts w:hint="eastAsia" w:ascii="宋体" w:hAnsi="宋体" w:cs="仿宋"/>
          <w:color w:val="auto"/>
          <w:sz w:val="24"/>
          <w:highlight w:val="none"/>
          <w:u w:val="single"/>
          <w:lang w:eastAsia="zh-CN"/>
        </w:rPr>
        <w:t>、北支江（亚运）旅游集散中心建设项目-桐洲岛旅游码头工程</w:t>
      </w:r>
      <w:r>
        <w:rPr>
          <w:rFonts w:hint="eastAsia" w:ascii="宋体" w:hAnsi="宋体" w:cs="仿宋"/>
          <w:color w:val="auto"/>
          <w:sz w:val="24"/>
          <w:highlight w:val="none"/>
          <w:u w:val="single"/>
          <w:lang w:val="en-US" w:eastAsia="zh-CN"/>
        </w:rPr>
        <w:t>环保验收</w:t>
      </w:r>
      <w:r>
        <w:rPr>
          <w:rFonts w:hint="eastAsia" w:ascii="宋体" w:hAnsi="宋体" w:cs="仿宋"/>
          <w:color w:val="auto"/>
          <w:sz w:val="24"/>
          <w:highlight w:val="none"/>
          <w:u w:val="none"/>
          <w:lang w:val="en-US" w:eastAsia="zh-CN"/>
        </w:rPr>
        <w:t>项目</w:t>
      </w:r>
      <w:r>
        <w:rPr>
          <w:rFonts w:hint="eastAsia" w:ascii="宋体" w:hAnsi="宋体" w:cs="仿宋"/>
          <w:color w:val="auto"/>
          <w:sz w:val="24"/>
          <w:highlight w:val="none"/>
        </w:rPr>
        <w:t>达成以下协议：</w:t>
      </w:r>
    </w:p>
    <w:p w14:paraId="29A0B956">
      <w:pPr>
        <w:numPr>
          <w:ilvl w:val="0"/>
          <w:numId w:val="4"/>
        </w:numPr>
        <w:adjustRightInd w:val="0"/>
        <w:snapToGrid w:val="0"/>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委托内容</w:t>
      </w:r>
    </w:p>
    <w:p w14:paraId="1E43FCC8">
      <w:pPr>
        <w:spacing w:before="150" w:line="360" w:lineRule="auto"/>
        <w:ind w:left="21" w:firstLine="499"/>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1、定期进行环境监测（按照批准的环境影响评价报告书中工作</w:t>
      </w:r>
      <w:r>
        <w:rPr>
          <w:rFonts w:ascii="宋体" w:hAnsi="宋体" w:eastAsia="宋体" w:cs="宋体"/>
          <w:color w:val="auto"/>
          <w:spacing w:val="-1"/>
          <w:sz w:val="24"/>
          <w:szCs w:val="24"/>
          <w:highlight w:val="none"/>
        </w:rPr>
        <w:t>内容及相关</w:t>
      </w:r>
      <w:r>
        <w:rPr>
          <w:rFonts w:ascii="宋体" w:hAnsi="宋体" w:eastAsia="宋体" w:cs="宋体"/>
          <w:color w:val="auto"/>
          <w:spacing w:val="-3"/>
          <w:sz w:val="24"/>
          <w:szCs w:val="24"/>
          <w:highlight w:val="none"/>
        </w:rPr>
        <w:t>批复的要求，针对本工程建设期特性，结合其所处的环境状况，对项目建设实施</w:t>
      </w:r>
      <w:r>
        <w:rPr>
          <w:rFonts w:ascii="宋体" w:hAnsi="宋体" w:eastAsia="宋体" w:cs="宋体"/>
          <w:color w:val="auto"/>
          <w:sz w:val="24"/>
          <w:szCs w:val="24"/>
          <w:highlight w:val="none"/>
        </w:rPr>
        <w:t>阶段、竣工阶段开展环境监测工作）并提供环境监测报告；</w:t>
      </w:r>
    </w:p>
    <w:p w14:paraId="1C099591">
      <w:pPr>
        <w:spacing w:before="150" w:line="360" w:lineRule="auto"/>
        <w:ind w:left="21" w:firstLine="499"/>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2、对建设全部内容</w:t>
      </w:r>
      <w:r>
        <w:rPr>
          <w:rFonts w:ascii="宋体" w:hAnsi="宋体" w:eastAsia="宋体" w:cs="宋体"/>
          <w:color w:val="auto"/>
          <w:spacing w:val="-3"/>
          <w:sz w:val="24"/>
          <w:szCs w:val="24"/>
          <w:highlight w:val="none"/>
        </w:rPr>
        <w:t>及各项环境保护措施实施情况进行环境监测，提出合理化建议，协助招标人补充</w:t>
      </w:r>
      <w:r>
        <w:rPr>
          <w:rFonts w:ascii="宋体" w:hAnsi="宋体" w:eastAsia="宋体" w:cs="宋体"/>
          <w:color w:val="auto"/>
          <w:sz w:val="24"/>
          <w:szCs w:val="24"/>
          <w:highlight w:val="none"/>
        </w:rPr>
        <w:t>落实并做好环保设施三同时工作、环境保护专项验收工作；</w:t>
      </w:r>
    </w:p>
    <w:p w14:paraId="2DCC4CFB">
      <w:pPr>
        <w:spacing w:before="150" w:line="360" w:lineRule="auto"/>
        <w:ind w:left="21" w:firstLine="499"/>
        <w:jc w:val="both"/>
        <w:rPr>
          <w:rFonts w:ascii="宋体" w:hAnsi="宋体" w:eastAsia="宋体" w:cs="宋体"/>
          <w:color w:val="auto"/>
          <w:spacing w:val="8"/>
          <w:sz w:val="24"/>
          <w:szCs w:val="24"/>
          <w:highlight w:val="none"/>
        </w:rPr>
      </w:pPr>
      <w:r>
        <w:rPr>
          <w:rFonts w:hint="eastAsia" w:ascii="宋体" w:hAnsi="宋体" w:eastAsia="宋体" w:cs="宋体"/>
          <w:color w:val="auto"/>
          <w:sz w:val="24"/>
          <w:szCs w:val="24"/>
          <w:highlight w:val="none"/>
          <w:lang w:val="en-US" w:eastAsia="zh-CN"/>
        </w:rPr>
        <w:t>3</w:t>
      </w:r>
      <w:r>
        <w:rPr>
          <w:rFonts w:ascii="宋体" w:hAnsi="宋体" w:eastAsia="宋体" w:cs="宋体"/>
          <w:color w:val="auto"/>
          <w:sz w:val="24"/>
          <w:szCs w:val="24"/>
          <w:highlight w:val="none"/>
        </w:rPr>
        <w:t>、开展环境监测工作，在施工</w:t>
      </w:r>
      <w:r>
        <w:rPr>
          <w:rFonts w:ascii="宋体" w:hAnsi="宋体" w:eastAsia="宋体" w:cs="宋体"/>
          <w:color w:val="auto"/>
          <w:spacing w:val="-3"/>
          <w:sz w:val="24"/>
          <w:szCs w:val="24"/>
          <w:highlight w:val="none"/>
        </w:rPr>
        <w:t>区域周边设置多个</w:t>
      </w:r>
      <w:r>
        <w:rPr>
          <w:rFonts w:hint="eastAsia" w:ascii="宋体" w:hAnsi="宋体" w:eastAsia="宋体" w:cs="宋体"/>
          <w:color w:val="auto"/>
          <w:spacing w:val="-3"/>
          <w:sz w:val="24"/>
          <w:szCs w:val="24"/>
          <w:highlight w:val="none"/>
          <w:lang w:eastAsia="zh-CN"/>
        </w:rPr>
        <w:t>水、</w:t>
      </w:r>
      <w:r>
        <w:rPr>
          <w:rFonts w:ascii="宋体" w:hAnsi="宋体" w:eastAsia="宋体" w:cs="宋体"/>
          <w:color w:val="auto"/>
          <w:spacing w:val="-3"/>
          <w:sz w:val="24"/>
          <w:szCs w:val="24"/>
          <w:highlight w:val="none"/>
        </w:rPr>
        <w:t>大气、噪声</w:t>
      </w:r>
      <w:r>
        <w:rPr>
          <w:rFonts w:hint="eastAsia" w:ascii="宋体" w:hAnsi="宋体" w:eastAsia="宋体" w:cs="宋体"/>
          <w:color w:val="auto"/>
          <w:spacing w:val="-3"/>
          <w:sz w:val="24"/>
          <w:szCs w:val="24"/>
          <w:highlight w:val="none"/>
          <w:lang w:eastAsia="zh-CN"/>
        </w:rPr>
        <w:t>、水生生态断面监测</w:t>
      </w:r>
      <w:r>
        <w:rPr>
          <w:rFonts w:ascii="宋体" w:hAnsi="宋体" w:eastAsia="宋体" w:cs="宋体"/>
          <w:color w:val="auto"/>
          <w:spacing w:val="-3"/>
          <w:sz w:val="24"/>
          <w:szCs w:val="24"/>
          <w:highlight w:val="none"/>
        </w:rPr>
        <w:t>等环境监测点，并出具监测报告提交招标人，监测报告中应包括项目</w:t>
      </w:r>
      <w:r>
        <w:rPr>
          <w:rFonts w:hint="eastAsia" w:ascii="宋体" w:hAnsi="宋体" w:eastAsia="宋体" w:cs="宋体"/>
          <w:color w:val="auto"/>
          <w:spacing w:val="-3"/>
          <w:sz w:val="24"/>
          <w:szCs w:val="24"/>
          <w:highlight w:val="none"/>
          <w:lang w:eastAsia="zh-CN"/>
        </w:rPr>
        <w:t>水、</w:t>
      </w:r>
      <w:r>
        <w:rPr>
          <w:rFonts w:ascii="宋体" w:hAnsi="宋体" w:eastAsia="宋体" w:cs="宋体"/>
          <w:color w:val="auto"/>
          <w:spacing w:val="-3"/>
          <w:sz w:val="24"/>
          <w:szCs w:val="24"/>
          <w:highlight w:val="none"/>
        </w:rPr>
        <w:t>大气、噪声</w:t>
      </w:r>
      <w:r>
        <w:rPr>
          <w:rFonts w:hint="eastAsia" w:ascii="宋体" w:hAnsi="宋体" w:eastAsia="宋体" w:cs="宋体"/>
          <w:color w:val="auto"/>
          <w:spacing w:val="-3"/>
          <w:sz w:val="24"/>
          <w:szCs w:val="24"/>
          <w:highlight w:val="none"/>
          <w:lang w:eastAsia="zh-CN"/>
        </w:rPr>
        <w:t>、水生生态断面监测</w:t>
      </w:r>
      <w:r>
        <w:rPr>
          <w:rFonts w:ascii="宋体" w:hAnsi="宋体" w:eastAsia="宋体" w:cs="宋体"/>
          <w:color w:val="auto"/>
          <w:spacing w:val="-3"/>
          <w:sz w:val="24"/>
          <w:szCs w:val="24"/>
          <w:highlight w:val="none"/>
        </w:rPr>
        <w:t>等一切涉及项目环境的内容（具体监测</w:t>
      </w:r>
      <w:r>
        <w:rPr>
          <w:rFonts w:ascii="宋体" w:hAnsi="宋体" w:eastAsia="宋体" w:cs="宋体"/>
          <w:color w:val="auto"/>
          <w:sz w:val="24"/>
          <w:szCs w:val="24"/>
          <w:highlight w:val="none"/>
        </w:rPr>
        <w:t>内容及频次按照环保部门要求确定</w:t>
      </w:r>
      <w:r>
        <w:rPr>
          <w:rFonts w:ascii="宋体" w:hAnsi="宋体" w:eastAsia="宋体" w:cs="宋体"/>
          <w:color w:val="auto"/>
          <w:spacing w:val="8"/>
          <w:sz w:val="24"/>
          <w:szCs w:val="24"/>
          <w:highlight w:val="none"/>
        </w:rPr>
        <w:t>）；</w:t>
      </w:r>
    </w:p>
    <w:p w14:paraId="640034C4">
      <w:pPr>
        <w:spacing w:before="150" w:line="360" w:lineRule="auto"/>
        <w:ind w:left="21" w:firstLine="499"/>
        <w:jc w:val="both"/>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z w:val="24"/>
          <w:szCs w:val="24"/>
          <w:highlight w:val="none"/>
          <w:lang w:val="en-US" w:eastAsia="zh-CN"/>
        </w:rPr>
        <w:t>4</w:t>
      </w:r>
      <w:r>
        <w:rPr>
          <w:rFonts w:ascii="宋体" w:hAnsi="宋体" w:eastAsia="宋体" w:cs="宋体"/>
          <w:color w:val="auto"/>
          <w:sz w:val="24"/>
          <w:szCs w:val="24"/>
          <w:highlight w:val="none"/>
        </w:rPr>
        <w:t>、协助办理与环保相关部门的沟通</w:t>
      </w:r>
      <w:r>
        <w:rPr>
          <w:rFonts w:ascii="宋体" w:hAnsi="宋体" w:eastAsia="宋体" w:cs="宋体"/>
          <w:color w:val="auto"/>
          <w:spacing w:val="-1"/>
          <w:sz w:val="24"/>
          <w:szCs w:val="24"/>
          <w:highlight w:val="none"/>
        </w:rPr>
        <w:t>协调工作</w:t>
      </w:r>
      <w:r>
        <w:rPr>
          <w:rFonts w:hint="eastAsia" w:ascii="宋体" w:hAnsi="宋体" w:eastAsia="宋体" w:cs="宋体"/>
          <w:color w:val="auto"/>
          <w:spacing w:val="-1"/>
          <w:sz w:val="24"/>
          <w:szCs w:val="24"/>
          <w:highlight w:val="none"/>
          <w:lang w:eastAsia="zh-CN"/>
        </w:rPr>
        <w:t>；</w:t>
      </w:r>
    </w:p>
    <w:p w14:paraId="69C33AD8">
      <w:pPr>
        <w:spacing w:before="150" w:line="360" w:lineRule="auto"/>
        <w:ind w:left="21" w:firstLine="499"/>
        <w:jc w:val="both"/>
        <w:rPr>
          <w:rFonts w:ascii="宋体" w:hAnsi="宋体" w:eastAsia="宋体" w:cs="宋体"/>
          <w:color w:val="auto"/>
          <w:spacing w:val="-2"/>
          <w:sz w:val="24"/>
          <w:szCs w:val="24"/>
          <w:highlight w:val="none"/>
        </w:rPr>
      </w:pPr>
      <w:r>
        <w:rPr>
          <w:rFonts w:hint="eastAsia" w:ascii="宋体" w:hAnsi="宋体" w:eastAsia="宋体" w:cs="宋体"/>
          <w:color w:val="auto"/>
          <w:spacing w:val="-3"/>
          <w:sz w:val="24"/>
          <w:szCs w:val="24"/>
          <w:highlight w:val="none"/>
          <w:lang w:val="en-US" w:eastAsia="zh-CN"/>
        </w:rPr>
        <w:t>5</w:t>
      </w:r>
      <w:r>
        <w:rPr>
          <w:rFonts w:ascii="宋体" w:hAnsi="宋体" w:eastAsia="宋体" w:cs="宋体"/>
          <w:color w:val="auto"/>
          <w:spacing w:val="-3"/>
          <w:sz w:val="24"/>
          <w:szCs w:val="24"/>
          <w:highlight w:val="none"/>
        </w:rPr>
        <w:t>、竣工环保验收技术服务（包括并不限于）对工程资料分析与整理、编写环保措施落实情况分析、施工环境影响、生态环境影响、大气环境</w:t>
      </w:r>
      <w:r>
        <w:rPr>
          <w:rFonts w:ascii="宋体" w:hAnsi="宋体" w:eastAsia="宋体" w:cs="宋体"/>
          <w:color w:val="auto"/>
          <w:spacing w:val="-1"/>
          <w:sz w:val="24"/>
          <w:szCs w:val="24"/>
          <w:highlight w:val="none"/>
        </w:rPr>
        <w:t>影响、水环境影响、声环境影响报告等公众意见</w:t>
      </w:r>
      <w:r>
        <w:rPr>
          <w:rFonts w:ascii="宋体" w:hAnsi="宋体" w:eastAsia="宋体" w:cs="宋体"/>
          <w:color w:val="auto"/>
          <w:spacing w:val="-2"/>
          <w:sz w:val="24"/>
          <w:szCs w:val="24"/>
          <w:highlight w:val="none"/>
        </w:rPr>
        <w:t>调查及竣工环保验收调查报告；</w:t>
      </w:r>
    </w:p>
    <w:p w14:paraId="1D9674A9">
      <w:pPr>
        <w:spacing w:before="150" w:line="360" w:lineRule="auto"/>
        <w:ind w:left="21" w:firstLine="499"/>
        <w:jc w:val="both"/>
        <w:rPr>
          <w:rFonts w:ascii="宋体" w:hAnsi="宋体" w:eastAsia="宋体" w:cs="宋体"/>
          <w:color w:val="auto"/>
          <w:spacing w:val="-3"/>
          <w:sz w:val="24"/>
          <w:szCs w:val="24"/>
          <w:highlight w:val="none"/>
        </w:rPr>
      </w:pPr>
      <w:r>
        <w:rPr>
          <w:rFonts w:hint="eastAsia" w:ascii="宋体" w:hAnsi="宋体" w:eastAsia="宋体" w:cs="宋体"/>
          <w:color w:val="auto"/>
          <w:sz w:val="24"/>
          <w:szCs w:val="24"/>
          <w:highlight w:val="none"/>
          <w:lang w:val="en-US" w:eastAsia="zh-CN"/>
        </w:rPr>
        <w:t>6</w:t>
      </w:r>
      <w:r>
        <w:rPr>
          <w:rFonts w:ascii="宋体" w:hAnsi="宋体" w:eastAsia="宋体" w:cs="宋体"/>
          <w:color w:val="auto"/>
          <w:spacing w:val="-3"/>
          <w:sz w:val="24"/>
          <w:szCs w:val="24"/>
          <w:highlight w:val="none"/>
        </w:rPr>
        <w:t>、协助办理报批或备案为专项验收提供项目相关的一切资料，通过环境专项验收。</w:t>
      </w:r>
    </w:p>
    <w:p w14:paraId="05704864">
      <w:pPr>
        <w:spacing w:before="150" w:line="360" w:lineRule="auto"/>
        <w:ind w:left="21" w:firstLine="499"/>
        <w:jc w:val="both"/>
        <w:rPr>
          <w:rFonts w:hint="default" w:ascii="宋体" w:hAnsi="宋体" w:eastAsia="宋体" w:cs="宋体"/>
          <w:color w:val="auto"/>
          <w:spacing w:val="-3"/>
          <w:sz w:val="24"/>
          <w:szCs w:val="24"/>
          <w:highlight w:val="none"/>
          <w:lang w:val="en-US" w:eastAsia="zh-CN"/>
        </w:rPr>
      </w:pPr>
      <w:r>
        <w:rPr>
          <w:rFonts w:hint="eastAsia" w:ascii="宋体" w:hAnsi="宋体" w:cs="宋体"/>
          <w:color w:val="auto"/>
          <w:spacing w:val="-3"/>
          <w:sz w:val="24"/>
          <w:szCs w:val="24"/>
          <w:highlight w:val="none"/>
          <w:lang w:val="en-US" w:eastAsia="zh-CN"/>
        </w:rPr>
        <w:t>7、其它与完成本项目实施所需的必要工作等。</w:t>
      </w:r>
    </w:p>
    <w:p w14:paraId="01BC8C43">
      <w:pPr>
        <w:adjustRightInd w:val="0"/>
        <w:snapToGrid w:val="0"/>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二、</w:t>
      </w:r>
      <w:r>
        <w:rPr>
          <w:rFonts w:hint="eastAsia" w:ascii="宋体" w:hAnsi="宋体" w:cs="仿宋"/>
          <w:color w:val="auto"/>
          <w:sz w:val="24"/>
          <w:highlight w:val="none"/>
          <w:lang w:val="en-US" w:eastAsia="zh-CN"/>
        </w:rPr>
        <w:t>服务期</w:t>
      </w:r>
      <w:r>
        <w:rPr>
          <w:rFonts w:hint="eastAsia" w:ascii="宋体" w:hAnsi="宋体" w:cs="仿宋"/>
          <w:color w:val="auto"/>
          <w:sz w:val="24"/>
          <w:highlight w:val="none"/>
        </w:rPr>
        <w:t>及技术要求</w:t>
      </w:r>
    </w:p>
    <w:p w14:paraId="5A0E8207">
      <w:pPr>
        <w:spacing w:line="400" w:lineRule="exact"/>
        <w:ind w:firstLine="480" w:firstLineChars="200"/>
        <w:rPr>
          <w:rFonts w:hint="eastAsia" w:ascii="宋体" w:hAnsi="宋体" w:cs="仿宋"/>
          <w:color w:val="auto"/>
          <w:sz w:val="24"/>
          <w:highlight w:val="none"/>
        </w:rPr>
      </w:pPr>
      <w:r>
        <w:rPr>
          <w:rFonts w:hint="eastAsia" w:ascii="宋体" w:hAnsi="宋体" w:cs="仿宋"/>
          <w:color w:val="auto"/>
          <w:sz w:val="24"/>
          <w:highlight w:val="none"/>
        </w:rPr>
        <w:t>以该项目相关资料及相关现行有效的标准为依据。</w:t>
      </w:r>
      <w:r>
        <w:rPr>
          <w:rFonts w:hint="eastAsia" w:ascii="宋体" w:hAnsi="宋体" w:cs="仿宋"/>
          <w:color w:val="auto"/>
          <w:sz w:val="24"/>
          <w:highlight w:val="none"/>
          <w:lang w:val="en-US" w:eastAsia="zh-CN"/>
        </w:rPr>
        <w:t>成果</w:t>
      </w:r>
      <w:r>
        <w:rPr>
          <w:rFonts w:hint="eastAsia" w:ascii="宋体" w:hAnsi="宋体" w:cs="仿宋"/>
          <w:color w:val="auto"/>
          <w:sz w:val="24"/>
          <w:highlight w:val="none"/>
        </w:rPr>
        <w:t>报告需满足相关规范与标准以及相关部门</w:t>
      </w:r>
      <w:r>
        <w:rPr>
          <w:rFonts w:hint="eastAsia" w:ascii="宋体" w:hAnsi="宋体" w:cs="仿宋"/>
          <w:color w:val="auto"/>
          <w:sz w:val="24"/>
          <w:highlight w:val="none"/>
          <w:lang w:val="en-US" w:eastAsia="zh-CN"/>
        </w:rPr>
        <w:t>备案及</w:t>
      </w:r>
      <w:r>
        <w:rPr>
          <w:rFonts w:hint="eastAsia" w:ascii="宋体" w:hAnsi="宋体" w:cs="仿宋"/>
          <w:color w:val="auto"/>
          <w:sz w:val="24"/>
          <w:highlight w:val="none"/>
        </w:rPr>
        <w:t>验收的要求。</w:t>
      </w:r>
    </w:p>
    <w:p w14:paraId="3DF7B33B">
      <w:pPr>
        <w:spacing w:line="40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自</w:t>
      </w:r>
      <w:r>
        <w:rPr>
          <w:rFonts w:hint="eastAsia" w:ascii="宋体" w:hAnsi="宋体"/>
          <w:color w:val="auto"/>
          <w:sz w:val="24"/>
          <w:highlight w:val="none"/>
        </w:rPr>
        <w:t>签订合同之日起</w:t>
      </w:r>
      <w:r>
        <w:rPr>
          <w:rFonts w:hint="eastAsia" w:ascii="宋体" w:hAnsi="宋体"/>
          <w:color w:val="auto"/>
          <w:sz w:val="24"/>
          <w:highlight w:val="none"/>
          <w:lang w:val="en-US" w:eastAsia="zh-CN"/>
        </w:rPr>
        <w:t>90日历天</w:t>
      </w:r>
      <w:r>
        <w:rPr>
          <w:rFonts w:hint="eastAsia" w:ascii="宋体" w:hAnsi="宋体"/>
          <w:color w:val="auto"/>
          <w:sz w:val="24"/>
          <w:highlight w:val="none"/>
        </w:rPr>
        <w:t>内完成相关环保验收,完成竣工环保验收、备案并通过相关行政主管部门的审查</w:t>
      </w:r>
      <w:r>
        <w:rPr>
          <w:rFonts w:ascii="宋体" w:hAnsi="宋体"/>
          <w:color w:val="auto"/>
          <w:sz w:val="24"/>
          <w:highlight w:val="none"/>
        </w:rPr>
        <w:t>。</w:t>
      </w:r>
    </w:p>
    <w:p w14:paraId="78AD457F">
      <w:pPr>
        <w:spacing w:line="400" w:lineRule="exact"/>
        <w:ind w:firstLine="480" w:firstLineChars="200"/>
        <w:rPr>
          <w:rFonts w:ascii="宋体" w:hAnsi="宋体"/>
          <w:b/>
          <w:color w:val="auto"/>
          <w:kern w:val="0"/>
          <w:sz w:val="24"/>
          <w:highlight w:val="none"/>
        </w:rPr>
      </w:pPr>
      <w:r>
        <w:rPr>
          <w:rFonts w:hint="eastAsia" w:ascii="宋体" w:hAnsi="宋体"/>
          <w:color w:val="auto"/>
          <w:sz w:val="24"/>
          <w:highlight w:val="none"/>
        </w:rPr>
        <w:t>符合相关技术规范及文件精神要求，最终成果须通过生态环境部门组织的专家评审会评审验收，成交供应商应配合采购人的验收工作，及规划相关部门备案工作。</w:t>
      </w:r>
    </w:p>
    <w:p w14:paraId="2F7A4ACA">
      <w:pPr>
        <w:adjustRightInd w:val="0"/>
        <w:snapToGrid w:val="0"/>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三、甲乙双方责任和义务</w:t>
      </w:r>
    </w:p>
    <w:p w14:paraId="7D098D57">
      <w:pPr>
        <w:adjustRightInd w:val="0"/>
        <w:snapToGrid w:val="0"/>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1、甲方责任和义务</w:t>
      </w:r>
    </w:p>
    <w:p w14:paraId="53D38F18">
      <w:pPr>
        <w:adjustRightInd w:val="0"/>
        <w:snapToGrid w:val="0"/>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（1）甲方自愿委托乙方对甲方</w:t>
      </w:r>
      <w:r>
        <w:rPr>
          <w:rFonts w:hint="eastAsia" w:ascii="宋体" w:hAnsi="宋体" w:cs="仿宋"/>
          <w:color w:val="auto"/>
          <w:sz w:val="24"/>
          <w:highlight w:val="none"/>
          <w:lang w:val="en-US" w:eastAsia="zh-CN"/>
        </w:rPr>
        <w:t>采购项目进行技术服务</w:t>
      </w:r>
      <w:r>
        <w:rPr>
          <w:rFonts w:hint="eastAsia" w:ascii="宋体" w:hAnsi="宋体" w:cs="仿宋"/>
          <w:color w:val="auto"/>
          <w:sz w:val="24"/>
          <w:highlight w:val="none"/>
        </w:rPr>
        <w:t>，有义务提供需委托乙方</w:t>
      </w:r>
      <w:r>
        <w:rPr>
          <w:rFonts w:hint="eastAsia" w:ascii="宋体" w:hAnsi="宋体" w:cs="仿宋"/>
          <w:color w:val="auto"/>
          <w:sz w:val="24"/>
          <w:highlight w:val="none"/>
          <w:lang w:val="en-US" w:eastAsia="zh-CN"/>
        </w:rPr>
        <w:t>服务</w:t>
      </w:r>
      <w:r>
        <w:rPr>
          <w:rFonts w:hint="eastAsia" w:ascii="宋体" w:hAnsi="宋体" w:cs="仿宋"/>
          <w:color w:val="auto"/>
          <w:sz w:val="24"/>
          <w:highlight w:val="none"/>
        </w:rPr>
        <w:t>项目的必要材料，保证对所提供的一切资料、信息和实物的真实性负责。</w:t>
      </w:r>
    </w:p>
    <w:p w14:paraId="4FF0AF3E">
      <w:pPr>
        <w:adjustRightInd w:val="0"/>
        <w:snapToGrid w:val="0"/>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（2）甲方应按乙方要求清理好</w:t>
      </w:r>
      <w:r>
        <w:rPr>
          <w:rFonts w:hint="eastAsia" w:ascii="宋体" w:hAnsi="宋体" w:cs="仿宋"/>
          <w:color w:val="auto"/>
          <w:sz w:val="24"/>
          <w:highlight w:val="none"/>
          <w:lang w:val="en-US" w:eastAsia="zh-CN"/>
        </w:rPr>
        <w:t>项目</w:t>
      </w:r>
      <w:r>
        <w:rPr>
          <w:rFonts w:hint="eastAsia" w:ascii="宋体" w:hAnsi="宋体" w:cs="仿宋"/>
          <w:color w:val="auto"/>
          <w:sz w:val="24"/>
          <w:highlight w:val="none"/>
        </w:rPr>
        <w:t>场地、</w:t>
      </w:r>
      <w:r>
        <w:rPr>
          <w:rFonts w:hint="eastAsia" w:ascii="宋体" w:hAnsi="宋体" w:cs="仿宋"/>
          <w:color w:val="auto"/>
          <w:sz w:val="24"/>
          <w:highlight w:val="none"/>
          <w:lang w:val="en-US" w:eastAsia="zh-CN"/>
        </w:rPr>
        <w:t>相关</w:t>
      </w:r>
      <w:r>
        <w:rPr>
          <w:rFonts w:hint="eastAsia" w:ascii="宋体" w:hAnsi="宋体" w:cs="仿宋"/>
          <w:color w:val="auto"/>
          <w:sz w:val="24"/>
          <w:highlight w:val="none"/>
        </w:rPr>
        <w:t>人员配合。</w:t>
      </w:r>
    </w:p>
    <w:p w14:paraId="37A8A454">
      <w:pPr>
        <w:adjustRightInd w:val="0"/>
        <w:snapToGrid w:val="0"/>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（3）甲方应在协议规定的时间内将</w:t>
      </w:r>
      <w:r>
        <w:rPr>
          <w:rFonts w:hint="eastAsia" w:ascii="宋体" w:hAnsi="宋体" w:cs="仿宋"/>
          <w:color w:val="auto"/>
          <w:sz w:val="24"/>
          <w:highlight w:val="none"/>
          <w:lang w:val="en-US" w:eastAsia="zh-CN"/>
        </w:rPr>
        <w:t>服务</w:t>
      </w:r>
      <w:r>
        <w:rPr>
          <w:rFonts w:hint="eastAsia" w:ascii="宋体" w:hAnsi="宋体" w:cs="仿宋"/>
          <w:color w:val="auto"/>
          <w:sz w:val="24"/>
          <w:highlight w:val="none"/>
        </w:rPr>
        <w:t>费用支付给乙方。</w:t>
      </w:r>
    </w:p>
    <w:p w14:paraId="64EAF56D">
      <w:pPr>
        <w:adjustRightInd w:val="0"/>
        <w:snapToGrid w:val="0"/>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2、乙方责任和义务</w:t>
      </w:r>
    </w:p>
    <w:p w14:paraId="40141279">
      <w:pPr>
        <w:adjustRightInd w:val="0"/>
        <w:snapToGrid w:val="0"/>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（1）乙方自愿接受委托。有义务配备有</w:t>
      </w:r>
      <w:r>
        <w:rPr>
          <w:rFonts w:hint="eastAsia" w:ascii="宋体" w:hAnsi="宋体" w:cs="仿宋"/>
          <w:color w:val="auto"/>
          <w:sz w:val="24"/>
          <w:highlight w:val="none"/>
          <w:lang w:val="en-US" w:eastAsia="zh-CN"/>
        </w:rPr>
        <w:t>相应</w:t>
      </w:r>
      <w:r>
        <w:rPr>
          <w:rFonts w:hint="eastAsia" w:ascii="宋体" w:hAnsi="宋体" w:cs="仿宋"/>
          <w:color w:val="auto"/>
          <w:sz w:val="24"/>
          <w:highlight w:val="none"/>
        </w:rPr>
        <w:t>资质</w:t>
      </w:r>
      <w:r>
        <w:rPr>
          <w:rFonts w:hint="eastAsia" w:ascii="宋体" w:hAnsi="宋体" w:cs="仿宋"/>
          <w:color w:val="auto"/>
          <w:sz w:val="24"/>
          <w:highlight w:val="none"/>
          <w:lang w:val="en-US" w:eastAsia="zh-CN"/>
        </w:rPr>
        <w:t>能力</w:t>
      </w:r>
      <w:r>
        <w:rPr>
          <w:rFonts w:hint="eastAsia" w:ascii="宋体" w:hAnsi="宋体" w:cs="仿宋"/>
          <w:color w:val="auto"/>
          <w:sz w:val="24"/>
          <w:highlight w:val="none"/>
        </w:rPr>
        <w:t>的</w:t>
      </w:r>
      <w:r>
        <w:rPr>
          <w:rFonts w:hint="eastAsia" w:ascii="宋体" w:hAnsi="宋体" w:cs="仿宋"/>
          <w:color w:val="auto"/>
          <w:sz w:val="24"/>
          <w:highlight w:val="none"/>
          <w:lang w:val="en-US" w:eastAsia="zh-CN"/>
        </w:rPr>
        <w:t>服务</w:t>
      </w:r>
      <w:r>
        <w:rPr>
          <w:rFonts w:hint="eastAsia" w:ascii="宋体" w:hAnsi="宋体" w:cs="仿宋"/>
          <w:color w:val="auto"/>
          <w:sz w:val="24"/>
          <w:highlight w:val="none"/>
        </w:rPr>
        <w:t>人员和相应的设备，依据相应的</w:t>
      </w:r>
      <w:r>
        <w:rPr>
          <w:rFonts w:hint="eastAsia" w:ascii="宋体" w:hAnsi="宋体" w:cs="仿宋"/>
          <w:color w:val="auto"/>
          <w:sz w:val="24"/>
          <w:highlight w:val="none"/>
          <w:lang w:val="en-US" w:eastAsia="zh-CN"/>
        </w:rPr>
        <w:t>服务</w:t>
      </w:r>
      <w:r>
        <w:rPr>
          <w:rFonts w:hint="eastAsia" w:ascii="宋体" w:hAnsi="宋体" w:cs="仿宋"/>
          <w:color w:val="auto"/>
          <w:sz w:val="24"/>
          <w:highlight w:val="none"/>
        </w:rPr>
        <w:t>标准和程序开展委托</w:t>
      </w:r>
      <w:r>
        <w:rPr>
          <w:rFonts w:hint="eastAsia" w:ascii="宋体" w:hAnsi="宋体" w:cs="仿宋"/>
          <w:color w:val="auto"/>
          <w:sz w:val="24"/>
          <w:highlight w:val="none"/>
          <w:lang w:val="en-US" w:eastAsia="zh-CN"/>
        </w:rPr>
        <w:t>服务</w:t>
      </w:r>
      <w:r>
        <w:rPr>
          <w:rFonts w:hint="eastAsia" w:ascii="宋体" w:hAnsi="宋体" w:cs="仿宋"/>
          <w:color w:val="auto"/>
          <w:sz w:val="24"/>
          <w:highlight w:val="none"/>
        </w:rPr>
        <w:t>业务，保证数据的公正性、科学性、准确性、可追溯性。</w:t>
      </w:r>
    </w:p>
    <w:p w14:paraId="03F6CD20">
      <w:pPr>
        <w:adjustRightInd w:val="0"/>
        <w:snapToGrid w:val="0"/>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（2）乙方必须按照甲方委托的项目进行</w:t>
      </w:r>
      <w:r>
        <w:rPr>
          <w:rFonts w:hint="eastAsia" w:ascii="宋体" w:hAnsi="宋体" w:cs="仿宋"/>
          <w:color w:val="auto"/>
          <w:sz w:val="24"/>
          <w:highlight w:val="none"/>
          <w:lang w:val="en-US" w:eastAsia="zh-CN"/>
        </w:rPr>
        <w:t>服务</w:t>
      </w:r>
      <w:r>
        <w:rPr>
          <w:rFonts w:hint="eastAsia" w:ascii="宋体" w:hAnsi="宋体" w:cs="仿宋"/>
          <w:color w:val="auto"/>
          <w:sz w:val="24"/>
          <w:highlight w:val="none"/>
        </w:rPr>
        <w:t>，出具</w:t>
      </w:r>
      <w:r>
        <w:rPr>
          <w:rFonts w:hint="eastAsia" w:ascii="宋体" w:hAnsi="宋体" w:cs="仿宋"/>
          <w:color w:val="auto"/>
          <w:sz w:val="24"/>
          <w:highlight w:val="none"/>
          <w:lang w:val="en-US" w:eastAsia="zh-CN"/>
        </w:rPr>
        <w:t>成果</w:t>
      </w:r>
      <w:r>
        <w:rPr>
          <w:rFonts w:hint="eastAsia" w:ascii="宋体" w:hAnsi="宋体" w:cs="仿宋"/>
          <w:color w:val="auto"/>
          <w:sz w:val="24"/>
          <w:highlight w:val="none"/>
        </w:rPr>
        <w:t>报告</w:t>
      </w:r>
      <w:r>
        <w:rPr>
          <w:rFonts w:hint="eastAsia" w:ascii="宋体" w:hAnsi="宋体" w:cs="仿宋"/>
          <w:color w:val="auto"/>
          <w:sz w:val="24"/>
          <w:highlight w:val="none"/>
          <w:lang w:val="en-US" w:eastAsia="zh-CN"/>
        </w:rPr>
        <w:t>并通过甲方及相关部门的验收、备案</w:t>
      </w:r>
      <w:r>
        <w:rPr>
          <w:rFonts w:hint="eastAsia" w:ascii="宋体" w:hAnsi="宋体" w:cs="仿宋"/>
          <w:color w:val="auto"/>
          <w:sz w:val="24"/>
          <w:highlight w:val="none"/>
        </w:rPr>
        <w:t>。</w:t>
      </w:r>
    </w:p>
    <w:p w14:paraId="1CC6C19A">
      <w:pPr>
        <w:adjustRightInd w:val="0"/>
        <w:snapToGrid w:val="0"/>
        <w:spacing w:line="360" w:lineRule="auto"/>
        <w:ind w:firstLine="480" w:firstLineChars="200"/>
        <w:jc w:val="left"/>
        <w:rPr>
          <w:rFonts w:hint="eastAsia" w:ascii="宋体" w:hAnsi="宋体" w:cs="仿宋"/>
          <w:color w:val="auto"/>
          <w:sz w:val="24"/>
          <w:highlight w:val="none"/>
        </w:rPr>
      </w:pPr>
      <w:r>
        <w:rPr>
          <w:rFonts w:hint="eastAsia" w:ascii="宋体" w:hAnsi="宋体" w:cs="仿宋"/>
          <w:color w:val="auto"/>
          <w:sz w:val="24"/>
          <w:highlight w:val="none"/>
        </w:rPr>
        <w:t>（3）服务人主要管理人员必须专业对口。如因服务人员误操作，仪器设备故障及现场准备不足等导致服务结果错误，服务人应重新免费组织服务并承担因此原因给采购人造成的一切损失。</w:t>
      </w:r>
    </w:p>
    <w:p w14:paraId="47E29ABC">
      <w:pPr>
        <w:adjustRightInd w:val="0"/>
        <w:snapToGrid w:val="0"/>
        <w:spacing w:line="360" w:lineRule="auto"/>
        <w:ind w:firstLine="480" w:firstLineChars="200"/>
        <w:jc w:val="left"/>
        <w:rPr>
          <w:rFonts w:hint="eastAsia" w:ascii="宋体" w:hAnsi="宋体" w:cs="仿宋"/>
          <w:color w:val="auto"/>
          <w:sz w:val="24"/>
          <w:highlight w:val="none"/>
        </w:rPr>
      </w:pP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4</w:t>
      </w:r>
      <w:r>
        <w:rPr>
          <w:rFonts w:hint="eastAsia" w:ascii="宋体" w:hAnsi="宋体" w:cs="仿宋"/>
          <w:color w:val="auto"/>
          <w:sz w:val="24"/>
          <w:highlight w:val="none"/>
          <w:lang w:eastAsia="zh-CN"/>
        </w:rPr>
        <w:t>）</w:t>
      </w:r>
      <w:r>
        <w:rPr>
          <w:rFonts w:hint="eastAsia" w:ascii="宋体" w:hAnsi="宋体" w:cs="仿宋"/>
          <w:color w:val="auto"/>
          <w:sz w:val="24"/>
          <w:highlight w:val="none"/>
        </w:rPr>
        <w:t>服务人负责项目服务人员的协调，合理安排、精心服务，确保项目安全、优质、按进度完成。</w:t>
      </w:r>
    </w:p>
    <w:p w14:paraId="3807B66C">
      <w:pPr>
        <w:adjustRightInd w:val="0"/>
        <w:snapToGrid w:val="0"/>
        <w:spacing w:line="360" w:lineRule="auto"/>
        <w:ind w:firstLine="480" w:firstLineChars="200"/>
        <w:jc w:val="left"/>
        <w:rPr>
          <w:rFonts w:hint="eastAsia" w:ascii="宋体" w:hAnsi="宋体" w:cs="仿宋"/>
          <w:color w:val="auto"/>
          <w:sz w:val="24"/>
          <w:highlight w:val="none"/>
        </w:rPr>
      </w:pP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5</w:t>
      </w:r>
      <w:r>
        <w:rPr>
          <w:rFonts w:hint="eastAsia" w:ascii="宋体" w:hAnsi="宋体" w:cs="仿宋"/>
          <w:color w:val="auto"/>
          <w:sz w:val="24"/>
          <w:highlight w:val="none"/>
          <w:lang w:eastAsia="zh-CN"/>
        </w:rPr>
        <w:t>）</w:t>
      </w:r>
      <w:r>
        <w:rPr>
          <w:rFonts w:hint="eastAsia" w:ascii="宋体" w:hAnsi="宋体" w:cs="仿宋"/>
          <w:color w:val="auto"/>
          <w:sz w:val="24"/>
          <w:highlight w:val="none"/>
        </w:rPr>
        <w:t>服务人须做好规范管理、安全文明工作。</w:t>
      </w:r>
    </w:p>
    <w:p w14:paraId="04ED76CC">
      <w:pPr>
        <w:adjustRightInd w:val="0"/>
        <w:snapToGrid w:val="0"/>
        <w:spacing w:line="360" w:lineRule="auto"/>
        <w:ind w:firstLine="480" w:firstLineChars="200"/>
        <w:jc w:val="left"/>
        <w:rPr>
          <w:rFonts w:hint="eastAsia" w:ascii="宋体" w:hAnsi="宋体" w:cs="仿宋"/>
          <w:color w:val="auto"/>
          <w:sz w:val="24"/>
          <w:highlight w:val="none"/>
        </w:rPr>
      </w:pP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6</w:t>
      </w:r>
      <w:r>
        <w:rPr>
          <w:rFonts w:hint="eastAsia" w:ascii="宋体" w:hAnsi="宋体" w:cs="仿宋"/>
          <w:color w:val="auto"/>
          <w:sz w:val="24"/>
          <w:highlight w:val="none"/>
          <w:lang w:eastAsia="zh-CN"/>
        </w:rPr>
        <w:t>）</w:t>
      </w:r>
      <w:r>
        <w:rPr>
          <w:rFonts w:hint="eastAsia" w:ascii="宋体" w:hAnsi="宋体" w:cs="仿宋"/>
          <w:color w:val="auto"/>
          <w:sz w:val="24"/>
          <w:highlight w:val="none"/>
        </w:rPr>
        <w:t>在服务中，由于服务人管理不力引起的安全事故和质量问题，如人身伤亡（包括第三者）等，其责任由服务人自负，并承担相应赔偿责任。</w:t>
      </w:r>
    </w:p>
    <w:p w14:paraId="2E42922F">
      <w:pPr>
        <w:adjustRightInd w:val="0"/>
        <w:snapToGrid w:val="0"/>
        <w:spacing w:line="360" w:lineRule="auto"/>
        <w:ind w:firstLine="480" w:firstLineChars="200"/>
        <w:jc w:val="left"/>
        <w:rPr>
          <w:rFonts w:hint="eastAsia" w:ascii="宋体" w:hAnsi="宋体" w:cs="仿宋"/>
          <w:color w:val="auto"/>
          <w:sz w:val="24"/>
          <w:highlight w:val="none"/>
        </w:rPr>
      </w:pP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7</w:t>
      </w:r>
      <w:r>
        <w:rPr>
          <w:rFonts w:hint="eastAsia" w:ascii="宋体" w:hAnsi="宋体" w:cs="仿宋"/>
          <w:color w:val="auto"/>
          <w:sz w:val="24"/>
          <w:highlight w:val="none"/>
          <w:lang w:eastAsia="zh-CN"/>
        </w:rPr>
        <w:t>）</w:t>
      </w:r>
      <w:r>
        <w:rPr>
          <w:rFonts w:hint="eastAsia" w:ascii="宋体" w:hAnsi="宋体" w:cs="仿宋"/>
          <w:color w:val="auto"/>
          <w:sz w:val="24"/>
          <w:highlight w:val="none"/>
        </w:rPr>
        <w:t>服务人自备仪器等作业工具，如因此原因造成服务结果不准确给采购人造成一切损失由服务人全部承担。</w:t>
      </w:r>
    </w:p>
    <w:p w14:paraId="28771A2E">
      <w:pPr>
        <w:adjustRightInd w:val="0"/>
        <w:snapToGrid w:val="0"/>
        <w:spacing w:line="360" w:lineRule="auto"/>
        <w:ind w:firstLine="480" w:firstLineChars="200"/>
        <w:jc w:val="left"/>
        <w:rPr>
          <w:rFonts w:hint="eastAsia" w:ascii="宋体" w:hAnsi="宋体" w:cs="仿宋"/>
          <w:color w:val="auto"/>
          <w:sz w:val="24"/>
          <w:highlight w:val="none"/>
        </w:rPr>
      </w:pP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8</w:t>
      </w:r>
      <w:r>
        <w:rPr>
          <w:rFonts w:hint="eastAsia" w:ascii="宋体" w:hAnsi="宋体" w:cs="仿宋"/>
          <w:color w:val="auto"/>
          <w:sz w:val="24"/>
          <w:highlight w:val="none"/>
          <w:lang w:eastAsia="zh-CN"/>
        </w:rPr>
        <w:t>）</w:t>
      </w:r>
      <w:r>
        <w:rPr>
          <w:rFonts w:hint="eastAsia" w:ascii="宋体" w:hAnsi="宋体" w:cs="仿宋"/>
          <w:color w:val="auto"/>
          <w:sz w:val="24"/>
          <w:highlight w:val="none"/>
        </w:rPr>
        <w:t>服务人根据要求完成任务后，应当及时交付服务成果报告，保证服务成果资料的正确性，并对所提交资料的质量负责。</w:t>
      </w:r>
    </w:p>
    <w:p w14:paraId="143542D9">
      <w:pPr>
        <w:adjustRightInd w:val="0"/>
        <w:snapToGrid w:val="0"/>
        <w:spacing w:line="360" w:lineRule="auto"/>
        <w:ind w:firstLine="480" w:firstLineChars="200"/>
        <w:jc w:val="left"/>
        <w:rPr>
          <w:rFonts w:hint="eastAsia" w:ascii="宋体" w:hAnsi="宋体" w:cs="仿宋"/>
          <w:color w:val="auto"/>
          <w:sz w:val="24"/>
          <w:highlight w:val="none"/>
        </w:rPr>
      </w:pP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9</w:t>
      </w:r>
      <w:r>
        <w:rPr>
          <w:rFonts w:hint="eastAsia" w:ascii="宋体" w:hAnsi="宋体" w:cs="仿宋"/>
          <w:color w:val="auto"/>
          <w:sz w:val="24"/>
          <w:highlight w:val="none"/>
          <w:lang w:eastAsia="zh-CN"/>
        </w:rPr>
        <w:t>）</w:t>
      </w:r>
      <w:r>
        <w:rPr>
          <w:rFonts w:hint="eastAsia" w:ascii="宋体" w:hAnsi="宋体" w:cs="仿宋"/>
          <w:color w:val="auto"/>
          <w:sz w:val="24"/>
          <w:highlight w:val="none"/>
        </w:rPr>
        <w:t>服务响应：要求提供7*24小时的实时支持响应服务。未经采购人许可，本项目投入人员不得擅自更换，工作期间，保证随叫随到。要求在12小时内响应采购人提出的疑问并进行答复，如有必要，应及时提交修改意见。</w:t>
      </w:r>
    </w:p>
    <w:p w14:paraId="786A4C1A">
      <w:pPr>
        <w:adjustRightInd w:val="0"/>
        <w:snapToGrid w:val="0"/>
        <w:spacing w:line="360" w:lineRule="auto"/>
        <w:ind w:firstLine="480" w:firstLineChars="200"/>
        <w:jc w:val="left"/>
        <w:rPr>
          <w:rFonts w:hint="eastAsia" w:ascii="宋体" w:hAnsi="宋体" w:cs="仿宋"/>
          <w:color w:val="auto"/>
          <w:sz w:val="24"/>
          <w:highlight w:val="none"/>
        </w:rPr>
      </w:pP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10</w:t>
      </w:r>
      <w:r>
        <w:rPr>
          <w:rFonts w:hint="eastAsia" w:ascii="宋体" w:hAnsi="宋体" w:cs="仿宋"/>
          <w:color w:val="auto"/>
          <w:sz w:val="24"/>
          <w:highlight w:val="none"/>
          <w:lang w:eastAsia="zh-CN"/>
        </w:rPr>
        <w:t>）</w:t>
      </w:r>
      <w:r>
        <w:rPr>
          <w:rFonts w:hint="eastAsia" w:ascii="宋体" w:hAnsi="宋体" w:cs="仿宋"/>
          <w:color w:val="auto"/>
          <w:sz w:val="24"/>
          <w:highlight w:val="none"/>
        </w:rPr>
        <w:t>在项目成果通过验收并实施过程中，按照项目实际需求，配合采购人进一步完善成果细节，以满足建设要求。</w:t>
      </w:r>
    </w:p>
    <w:p w14:paraId="5A91BD6E">
      <w:pPr>
        <w:adjustRightInd w:val="0"/>
        <w:snapToGrid w:val="0"/>
        <w:spacing w:line="360" w:lineRule="auto"/>
        <w:ind w:firstLine="480" w:firstLineChars="200"/>
        <w:jc w:val="left"/>
        <w:rPr>
          <w:rFonts w:hint="eastAsia" w:ascii="宋体" w:hAnsi="宋体" w:cs="仿宋"/>
          <w:color w:val="auto"/>
          <w:sz w:val="24"/>
          <w:highlight w:val="none"/>
        </w:rPr>
      </w:pP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11</w:t>
      </w:r>
      <w:r>
        <w:rPr>
          <w:rFonts w:hint="eastAsia" w:ascii="宋体" w:hAnsi="宋体" w:cs="仿宋"/>
          <w:color w:val="auto"/>
          <w:sz w:val="24"/>
          <w:highlight w:val="none"/>
          <w:lang w:eastAsia="zh-CN"/>
        </w:rPr>
        <w:t>）</w:t>
      </w:r>
      <w:r>
        <w:rPr>
          <w:rFonts w:hint="eastAsia" w:ascii="宋体" w:hAnsi="宋体" w:cs="仿宋"/>
          <w:color w:val="auto"/>
          <w:sz w:val="24"/>
          <w:highlight w:val="none"/>
        </w:rPr>
        <w:t>编制署名权归成交供应商所有，版权归采购人所有，采购人有权公开展示编制成果，并通过传播、媒介、专业杂志、书刊及其他形式介绍、展示、评价编制成果。</w:t>
      </w:r>
    </w:p>
    <w:p w14:paraId="7F341CDA">
      <w:pPr>
        <w:adjustRightInd w:val="0"/>
        <w:snapToGrid w:val="0"/>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12</w:t>
      </w:r>
      <w:r>
        <w:rPr>
          <w:rFonts w:hint="eastAsia" w:ascii="宋体" w:hAnsi="宋体" w:cs="仿宋"/>
          <w:color w:val="auto"/>
          <w:sz w:val="24"/>
          <w:highlight w:val="none"/>
          <w:lang w:eastAsia="zh-CN"/>
        </w:rPr>
        <w:t>）</w:t>
      </w:r>
      <w:r>
        <w:rPr>
          <w:rFonts w:hint="eastAsia" w:ascii="宋体" w:hAnsi="宋体" w:cs="仿宋"/>
          <w:color w:val="auto"/>
          <w:sz w:val="24"/>
          <w:highlight w:val="none"/>
        </w:rPr>
        <w:t>其它按照行业惯例由服务人承担的义务。</w:t>
      </w:r>
    </w:p>
    <w:p w14:paraId="3E9E4FB8">
      <w:pPr>
        <w:snapToGrid w:val="0"/>
        <w:spacing w:line="360" w:lineRule="auto"/>
        <w:ind w:firstLine="480" w:firstLineChars="200"/>
        <w:jc w:val="left"/>
        <w:rPr>
          <w:rFonts w:hint="eastAsia" w:ascii="宋体" w:hAnsi="宋体" w:cs="仿宋"/>
          <w:color w:val="auto"/>
          <w:sz w:val="24"/>
          <w:highlight w:val="none"/>
        </w:rPr>
      </w:pPr>
      <w:r>
        <w:rPr>
          <w:rFonts w:hint="eastAsia" w:ascii="宋体" w:hAnsi="宋体" w:cs="仿宋"/>
          <w:color w:val="auto"/>
          <w:sz w:val="24"/>
          <w:highlight w:val="none"/>
        </w:rPr>
        <w:t>四、费用结算</w:t>
      </w:r>
    </w:p>
    <w:tbl>
      <w:tblPr>
        <w:tblStyle w:val="9"/>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6"/>
        <w:gridCol w:w="2550"/>
        <w:gridCol w:w="767"/>
        <w:gridCol w:w="635"/>
        <w:gridCol w:w="1503"/>
        <w:gridCol w:w="1467"/>
        <w:gridCol w:w="1467"/>
      </w:tblGrid>
      <w:tr w14:paraId="2B693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exact"/>
          <w:jc w:val="center"/>
        </w:trPr>
        <w:tc>
          <w:tcPr>
            <w:tcW w:w="766" w:type="dxa"/>
            <w:vAlign w:val="center"/>
          </w:tcPr>
          <w:p w14:paraId="17BD02E7">
            <w:pPr>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2550" w:type="dxa"/>
            <w:vAlign w:val="center"/>
          </w:tcPr>
          <w:p w14:paraId="2476D1A1">
            <w:pPr>
              <w:jc w:val="center"/>
              <w:rPr>
                <w:rFonts w:ascii="宋体" w:hAnsi="宋体" w:cs="宋体"/>
                <w:color w:val="auto"/>
                <w:sz w:val="24"/>
                <w:szCs w:val="24"/>
                <w:highlight w:val="none"/>
              </w:rPr>
            </w:pPr>
            <w:r>
              <w:rPr>
                <w:rFonts w:hint="eastAsia" w:ascii="宋体" w:hAnsi="宋体" w:cs="宋体"/>
                <w:color w:val="auto"/>
                <w:sz w:val="24"/>
                <w:szCs w:val="24"/>
                <w:highlight w:val="none"/>
              </w:rPr>
              <w:t>采购内容</w:t>
            </w:r>
          </w:p>
        </w:tc>
        <w:tc>
          <w:tcPr>
            <w:tcW w:w="767" w:type="dxa"/>
            <w:vAlign w:val="center"/>
          </w:tcPr>
          <w:p w14:paraId="1DAF88C7">
            <w:pPr>
              <w:jc w:val="center"/>
              <w:rPr>
                <w:rFonts w:ascii="宋体" w:hAnsi="宋体" w:cs="宋体"/>
                <w:color w:val="auto"/>
                <w:sz w:val="24"/>
                <w:szCs w:val="24"/>
                <w:highlight w:val="none"/>
              </w:rPr>
            </w:pPr>
            <w:r>
              <w:rPr>
                <w:rFonts w:hint="eastAsia" w:ascii="宋体" w:hAnsi="宋体" w:cs="宋体"/>
                <w:color w:val="auto"/>
                <w:sz w:val="24"/>
                <w:szCs w:val="24"/>
                <w:highlight w:val="none"/>
              </w:rPr>
              <w:t>数量</w:t>
            </w:r>
          </w:p>
        </w:tc>
        <w:tc>
          <w:tcPr>
            <w:tcW w:w="635" w:type="dxa"/>
            <w:vAlign w:val="center"/>
          </w:tcPr>
          <w:p w14:paraId="0A1A7089">
            <w:pPr>
              <w:jc w:val="center"/>
              <w:rPr>
                <w:rFonts w:ascii="宋体" w:hAnsi="宋体" w:cs="宋体"/>
                <w:color w:val="auto"/>
                <w:sz w:val="24"/>
                <w:szCs w:val="24"/>
                <w:highlight w:val="none"/>
              </w:rPr>
            </w:pPr>
            <w:r>
              <w:rPr>
                <w:rFonts w:hint="eastAsia" w:ascii="宋体" w:hAnsi="宋体" w:cs="宋体"/>
                <w:color w:val="auto"/>
                <w:sz w:val="24"/>
                <w:szCs w:val="24"/>
                <w:highlight w:val="none"/>
              </w:rPr>
              <w:t>单位</w:t>
            </w:r>
          </w:p>
        </w:tc>
        <w:tc>
          <w:tcPr>
            <w:tcW w:w="1503" w:type="dxa"/>
            <w:vAlign w:val="center"/>
          </w:tcPr>
          <w:p w14:paraId="6AF6F544">
            <w:pPr>
              <w:jc w:val="center"/>
              <w:rPr>
                <w:rFonts w:hint="eastAsia" w:ascii="宋体" w:hAnsi="宋体" w:eastAsia="宋体" w:cs="宋体"/>
                <w:color w:val="auto"/>
                <w:sz w:val="24"/>
                <w:szCs w:val="24"/>
                <w:highlight w:val="none"/>
                <w:lang w:eastAsia="zh-CN"/>
              </w:rPr>
            </w:pPr>
            <w:r>
              <w:rPr>
                <w:rFonts w:hint="eastAsia"/>
                <w:b w:val="0"/>
                <w:bCs w:val="0"/>
                <w:sz w:val="24"/>
                <w:szCs w:val="32"/>
                <w:lang w:val="en-US" w:eastAsia="zh-CN"/>
              </w:rPr>
              <w:t>综合单价</w:t>
            </w:r>
            <w:r>
              <w:rPr>
                <w:rFonts w:hint="eastAsia" w:ascii="宋体" w:hAnsi="宋体" w:cs="宋体"/>
                <w:color w:val="auto"/>
                <w:sz w:val="24"/>
                <w:szCs w:val="24"/>
                <w:highlight w:val="none"/>
              </w:rPr>
              <w:t>最高限价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元</w:t>
            </w:r>
            <w:r>
              <w:rPr>
                <w:rFonts w:hint="eastAsia" w:ascii="宋体" w:hAnsi="宋体" w:cs="宋体"/>
                <w:color w:val="auto"/>
                <w:sz w:val="24"/>
                <w:szCs w:val="24"/>
                <w:highlight w:val="none"/>
                <w:lang w:eastAsia="zh-CN"/>
              </w:rPr>
              <w:t>）</w:t>
            </w:r>
          </w:p>
        </w:tc>
        <w:tc>
          <w:tcPr>
            <w:tcW w:w="1467" w:type="dxa"/>
            <w:vAlign w:val="center"/>
          </w:tcPr>
          <w:p w14:paraId="7E077C73">
            <w:pPr>
              <w:jc w:val="center"/>
              <w:rPr>
                <w:rFonts w:hint="eastAsia"/>
                <w:b w:val="0"/>
                <w:bCs w:val="0"/>
                <w:sz w:val="24"/>
                <w:szCs w:val="32"/>
                <w:lang w:val="en-US" w:eastAsia="zh-CN"/>
              </w:rPr>
            </w:pPr>
            <w:r>
              <w:rPr>
                <w:rFonts w:hint="eastAsia" w:ascii="宋体" w:hAnsi="宋体" w:cs="仿宋"/>
                <w:color w:val="auto"/>
                <w:sz w:val="24"/>
                <w:highlight w:val="none"/>
                <w:lang w:val="en-US" w:eastAsia="zh-CN"/>
              </w:rPr>
              <w:t>投标折扣（%）</w:t>
            </w:r>
          </w:p>
        </w:tc>
        <w:tc>
          <w:tcPr>
            <w:tcW w:w="1467" w:type="dxa"/>
            <w:vAlign w:val="center"/>
          </w:tcPr>
          <w:p w14:paraId="0DB6E682">
            <w:pPr>
              <w:jc w:val="center"/>
              <w:rPr>
                <w:rFonts w:hint="default"/>
                <w:b w:val="0"/>
                <w:bCs w:val="0"/>
                <w:sz w:val="24"/>
                <w:szCs w:val="32"/>
                <w:lang w:val="en-US" w:eastAsia="zh-CN"/>
              </w:rPr>
            </w:pPr>
            <w:r>
              <w:rPr>
                <w:rFonts w:hint="eastAsia"/>
                <w:b w:val="0"/>
                <w:bCs w:val="0"/>
                <w:sz w:val="24"/>
                <w:szCs w:val="32"/>
                <w:lang w:val="en-US" w:eastAsia="zh-CN"/>
              </w:rPr>
              <w:t>折扣后综合单价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元</w:t>
            </w:r>
            <w:r>
              <w:rPr>
                <w:rFonts w:hint="eastAsia" w:ascii="宋体" w:hAnsi="宋体" w:cs="宋体"/>
                <w:color w:val="auto"/>
                <w:sz w:val="24"/>
                <w:szCs w:val="24"/>
                <w:highlight w:val="none"/>
                <w:lang w:eastAsia="zh-CN"/>
              </w:rPr>
              <w:t>）</w:t>
            </w:r>
          </w:p>
        </w:tc>
      </w:tr>
      <w:tr w14:paraId="26876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766" w:type="dxa"/>
            <w:vAlign w:val="center"/>
          </w:tcPr>
          <w:p w14:paraId="4C61390C">
            <w:pPr>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2550" w:type="dxa"/>
            <w:vAlign w:val="center"/>
          </w:tcPr>
          <w:p w14:paraId="16CA8972">
            <w:pPr>
              <w:bidi w:val="0"/>
              <w:jc w:val="center"/>
              <w:rPr>
                <w:rFonts w:ascii="宋体" w:hAnsi="宋体"/>
                <w:color w:val="auto"/>
                <w:sz w:val="24"/>
                <w:szCs w:val="24"/>
                <w:highlight w:val="none"/>
              </w:rPr>
            </w:pPr>
            <w:r>
              <w:rPr>
                <w:rFonts w:hint="eastAsia" w:ascii="宋体" w:hAnsi="宋体" w:eastAsia="宋体" w:cs="宋体"/>
                <w:b w:val="0"/>
                <w:bCs w:val="0"/>
                <w:color w:val="auto"/>
                <w:sz w:val="24"/>
                <w:szCs w:val="24"/>
                <w:highlight w:val="none"/>
                <w:lang w:val="en-US" w:eastAsia="zh-CN"/>
              </w:rPr>
              <w:t>东梓关旅游码头工程环保竣工验收报告</w:t>
            </w:r>
          </w:p>
        </w:tc>
        <w:tc>
          <w:tcPr>
            <w:tcW w:w="767" w:type="dxa"/>
            <w:vAlign w:val="center"/>
          </w:tcPr>
          <w:p w14:paraId="2CFFBC0D">
            <w:pPr>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1</w:t>
            </w:r>
          </w:p>
        </w:tc>
        <w:tc>
          <w:tcPr>
            <w:tcW w:w="635" w:type="dxa"/>
            <w:vAlign w:val="center"/>
          </w:tcPr>
          <w:p w14:paraId="495A83FA">
            <w:pPr>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项</w:t>
            </w:r>
          </w:p>
        </w:tc>
        <w:tc>
          <w:tcPr>
            <w:tcW w:w="1503" w:type="dxa"/>
            <w:vAlign w:val="center"/>
          </w:tcPr>
          <w:p w14:paraId="18F1C9E5">
            <w:pPr>
              <w:spacing w:line="5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125000</w:t>
            </w:r>
          </w:p>
        </w:tc>
        <w:tc>
          <w:tcPr>
            <w:tcW w:w="1467" w:type="dxa"/>
            <w:vAlign w:val="center"/>
          </w:tcPr>
          <w:p w14:paraId="63B67B5A">
            <w:pPr>
              <w:spacing w:line="500" w:lineRule="exact"/>
              <w:jc w:val="center"/>
              <w:rPr>
                <w:rFonts w:hint="eastAsia" w:ascii="宋体" w:hAnsi="宋体" w:eastAsia="宋体" w:cs="宋体"/>
                <w:sz w:val="24"/>
                <w:szCs w:val="24"/>
                <w:lang w:val="en-US" w:eastAsia="zh-CN"/>
              </w:rPr>
            </w:pPr>
          </w:p>
        </w:tc>
        <w:tc>
          <w:tcPr>
            <w:tcW w:w="1467" w:type="dxa"/>
            <w:vAlign w:val="center"/>
          </w:tcPr>
          <w:p w14:paraId="3A7D0275">
            <w:pPr>
              <w:spacing w:line="500" w:lineRule="exact"/>
              <w:jc w:val="center"/>
              <w:rPr>
                <w:rFonts w:hint="eastAsia" w:ascii="宋体" w:hAnsi="宋体" w:eastAsia="宋体" w:cs="宋体"/>
                <w:sz w:val="24"/>
                <w:szCs w:val="24"/>
                <w:lang w:val="en-US" w:eastAsia="zh-CN"/>
              </w:rPr>
            </w:pPr>
          </w:p>
        </w:tc>
      </w:tr>
      <w:tr w14:paraId="53B16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jc w:val="center"/>
        </w:trPr>
        <w:tc>
          <w:tcPr>
            <w:tcW w:w="766" w:type="dxa"/>
            <w:vAlign w:val="center"/>
          </w:tcPr>
          <w:p w14:paraId="3251DA36">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2550" w:type="dxa"/>
            <w:vAlign w:val="center"/>
          </w:tcPr>
          <w:p w14:paraId="753919A0">
            <w:pPr>
              <w:bidi w:val="0"/>
              <w:jc w:val="center"/>
              <w:rPr>
                <w:rFonts w:hint="eastAsia" w:ascii="宋体" w:hAnsi="宋体"/>
                <w:color w:val="auto"/>
                <w:sz w:val="24"/>
                <w:szCs w:val="24"/>
                <w:highlight w:val="none"/>
              </w:rPr>
            </w:pPr>
            <w:r>
              <w:rPr>
                <w:rFonts w:hint="eastAsia" w:ascii="宋体" w:hAnsi="宋体" w:eastAsia="宋体" w:cs="宋体"/>
                <w:b w:val="0"/>
                <w:bCs w:val="0"/>
                <w:color w:val="auto"/>
                <w:sz w:val="24"/>
                <w:szCs w:val="24"/>
                <w:highlight w:val="none"/>
                <w:lang w:val="en-US" w:eastAsia="zh-CN"/>
              </w:rPr>
              <w:t>桐洲岛旅游码头工程环保竣工验收报告</w:t>
            </w:r>
          </w:p>
        </w:tc>
        <w:tc>
          <w:tcPr>
            <w:tcW w:w="767" w:type="dxa"/>
            <w:vAlign w:val="center"/>
          </w:tcPr>
          <w:p w14:paraId="1575A452">
            <w:pPr>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w:t>
            </w:r>
          </w:p>
        </w:tc>
        <w:tc>
          <w:tcPr>
            <w:tcW w:w="635" w:type="dxa"/>
            <w:vAlign w:val="center"/>
          </w:tcPr>
          <w:p w14:paraId="11B2EF60">
            <w:pPr>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项</w:t>
            </w:r>
          </w:p>
        </w:tc>
        <w:tc>
          <w:tcPr>
            <w:tcW w:w="1503" w:type="dxa"/>
            <w:vAlign w:val="center"/>
          </w:tcPr>
          <w:p w14:paraId="507C157F">
            <w:pPr>
              <w:spacing w:line="500" w:lineRule="exact"/>
              <w:jc w:val="center"/>
              <w:rPr>
                <w:rFonts w:hint="default" w:ascii="宋体" w:hAnsi="宋体" w:cs="宋体"/>
                <w:color w:val="auto"/>
                <w:sz w:val="24"/>
                <w:szCs w:val="24"/>
                <w:highlight w:val="none"/>
                <w:lang w:val="en-US" w:eastAsia="zh-CN"/>
              </w:rPr>
            </w:pPr>
            <w:r>
              <w:rPr>
                <w:rFonts w:hint="eastAsia" w:ascii="宋体" w:hAnsi="宋体" w:eastAsia="宋体" w:cs="宋体"/>
                <w:sz w:val="24"/>
                <w:szCs w:val="24"/>
                <w:lang w:val="en-US" w:eastAsia="zh-CN"/>
              </w:rPr>
              <w:t>125000</w:t>
            </w:r>
          </w:p>
        </w:tc>
        <w:tc>
          <w:tcPr>
            <w:tcW w:w="1467" w:type="dxa"/>
            <w:vAlign w:val="center"/>
          </w:tcPr>
          <w:p w14:paraId="4F0493B3">
            <w:pPr>
              <w:spacing w:line="500" w:lineRule="exact"/>
              <w:jc w:val="center"/>
              <w:rPr>
                <w:rFonts w:hint="eastAsia" w:ascii="宋体" w:hAnsi="宋体" w:eastAsia="宋体" w:cs="宋体"/>
                <w:sz w:val="24"/>
                <w:szCs w:val="24"/>
                <w:lang w:val="en-US" w:eastAsia="zh-CN"/>
              </w:rPr>
            </w:pPr>
          </w:p>
        </w:tc>
        <w:tc>
          <w:tcPr>
            <w:tcW w:w="1467" w:type="dxa"/>
            <w:vAlign w:val="center"/>
          </w:tcPr>
          <w:p w14:paraId="7FC73868">
            <w:pPr>
              <w:spacing w:line="500" w:lineRule="exact"/>
              <w:jc w:val="center"/>
              <w:rPr>
                <w:rFonts w:hint="eastAsia" w:ascii="宋体" w:hAnsi="宋体" w:eastAsia="宋体" w:cs="宋体"/>
                <w:sz w:val="24"/>
                <w:szCs w:val="24"/>
                <w:lang w:val="en-US" w:eastAsia="zh-CN"/>
              </w:rPr>
            </w:pPr>
          </w:p>
        </w:tc>
      </w:tr>
      <w:tr w14:paraId="780EE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766" w:type="dxa"/>
            <w:vAlign w:val="center"/>
          </w:tcPr>
          <w:p w14:paraId="68FED529">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2550" w:type="dxa"/>
            <w:vAlign w:val="center"/>
          </w:tcPr>
          <w:p w14:paraId="42DBF321">
            <w:pPr>
              <w:bidi w:val="0"/>
              <w:jc w:val="center"/>
              <w:rPr>
                <w:rFonts w:hint="eastAsia" w:ascii="宋体" w:hAnsi="宋体"/>
                <w:color w:val="auto"/>
                <w:sz w:val="24"/>
                <w:szCs w:val="24"/>
                <w:highlight w:val="none"/>
              </w:rPr>
            </w:pPr>
            <w:r>
              <w:rPr>
                <w:rFonts w:hint="eastAsia" w:ascii="宋体" w:hAnsi="宋体" w:eastAsia="宋体" w:cs="宋体"/>
                <w:b w:val="0"/>
                <w:bCs w:val="0"/>
                <w:color w:val="auto"/>
                <w:sz w:val="24"/>
                <w:szCs w:val="24"/>
                <w:highlight w:val="none"/>
                <w:lang w:val="en-US" w:eastAsia="zh-CN"/>
              </w:rPr>
              <w:t>东梓关旅游码头工程环保竣工验收监测费</w:t>
            </w:r>
          </w:p>
        </w:tc>
        <w:tc>
          <w:tcPr>
            <w:tcW w:w="767" w:type="dxa"/>
            <w:vAlign w:val="center"/>
          </w:tcPr>
          <w:p w14:paraId="15FFC576">
            <w:pPr>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w:t>
            </w:r>
          </w:p>
        </w:tc>
        <w:tc>
          <w:tcPr>
            <w:tcW w:w="635" w:type="dxa"/>
            <w:vAlign w:val="center"/>
          </w:tcPr>
          <w:p w14:paraId="55747E17">
            <w:pPr>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项</w:t>
            </w:r>
          </w:p>
        </w:tc>
        <w:tc>
          <w:tcPr>
            <w:tcW w:w="1503" w:type="dxa"/>
            <w:vAlign w:val="center"/>
          </w:tcPr>
          <w:p w14:paraId="72F48486">
            <w:pPr>
              <w:spacing w:line="500" w:lineRule="exact"/>
              <w:jc w:val="center"/>
              <w:rPr>
                <w:rFonts w:hint="default" w:ascii="宋体" w:hAnsi="宋体" w:cs="宋体"/>
                <w:color w:val="auto"/>
                <w:sz w:val="24"/>
                <w:szCs w:val="24"/>
                <w:highlight w:val="none"/>
                <w:lang w:val="en-US" w:eastAsia="zh-CN"/>
              </w:rPr>
            </w:pPr>
            <w:r>
              <w:rPr>
                <w:rFonts w:hint="eastAsia" w:ascii="宋体" w:hAnsi="宋体" w:eastAsia="宋体" w:cs="宋体"/>
                <w:sz w:val="24"/>
                <w:szCs w:val="24"/>
                <w:lang w:val="en-US" w:eastAsia="zh-CN"/>
              </w:rPr>
              <w:t>110000</w:t>
            </w:r>
          </w:p>
        </w:tc>
        <w:tc>
          <w:tcPr>
            <w:tcW w:w="1467" w:type="dxa"/>
            <w:vAlign w:val="center"/>
          </w:tcPr>
          <w:p w14:paraId="4A8C55BE">
            <w:pPr>
              <w:spacing w:line="500" w:lineRule="exact"/>
              <w:jc w:val="center"/>
              <w:rPr>
                <w:rFonts w:hint="eastAsia" w:ascii="宋体" w:hAnsi="宋体" w:eastAsia="宋体" w:cs="宋体"/>
                <w:sz w:val="24"/>
                <w:szCs w:val="24"/>
                <w:lang w:val="en-US" w:eastAsia="zh-CN"/>
              </w:rPr>
            </w:pPr>
          </w:p>
        </w:tc>
        <w:tc>
          <w:tcPr>
            <w:tcW w:w="1467" w:type="dxa"/>
            <w:vAlign w:val="center"/>
          </w:tcPr>
          <w:p w14:paraId="02E81EF4">
            <w:pPr>
              <w:spacing w:line="500" w:lineRule="exact"/>
              <w:jc w:val="center"/>
              <w:rPr>
                <w:rFonts w:hint="eastAsia" w:ascii="宋体" w:hAnsi="宋体" w:eastAsia="宋体" w:cs="宋体"/>
                <w:sz w:val="24"/>
                <w:szCs w:val="24"/>
                <w:lang w:val="en-US" w:eastAsia="zh-CN"/>
              </w:rPr>
            </w:pPr>
          </w:p>
        </w:tc>
      </w:tr>
      <w:tr w14:paraId="27525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766" w:type="dxa"/>
            <w:vAlign w:val="center"/>
          </w:tcPr>
          <w:p w14:paraId="36E02912">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2550" w:type="dxa"/>
            <w:vAlign w:val="center"/>
          </w:tcPr>
          <w:p w14:paraId="718FCEE7">
            <w:pPr>
              <w:bidi w:val="0"/>
              <w:jc w:val="center"/>
              <w:rPr>
                <w:rFonts w:hint="eastAsia" w:ascii="宋体" w:hAnsi="宋体" w:eastAsia="宋体" w:cs="宋体"/>
                <w:kern w:val="2"/>
                <w:sz w:val="24"/>
                <w:szCs w:val="24"/>
                <w:lang w:eastAsia="zh-CN"/>
              </w:rPr>
            </w:pPr>
            <w:r>
              <w:rPr>
                <w:rFonts w:hint="eastAsia" w:ascii="宋体" w:hAnsi="宋体" w:eastAsia="宋体" w:cs="宋体"/>
                <w:b w:val="0"/>
                <w:bCs w:val="0"/>
                <w:color w:val="auto"/>
                <w:sz w:val="24"/>
                <w:szCs w:val="24"/>
                <w:highlight w:val="none"/>
                <w:lang w:val="en-US" w:eastAsia="zh-CN"/>
              </w:rPr>
              <w:t>桐洲岛旅游码头工程环保竣工验收监测费</w:t>
            </w:r>
          </w:p>
        </w:tc>
        <w:tc>
          <w:tcPr>
            <w:tcW w:w="767" w:type="dxa"/>
            <w:shd w:val="clear" w:color="auto" w:fill="auto"/>
            <w:vAlign w:val="center"/>
          </w:tcPr>
          <w:p w14:paraId="062858F6">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val="en-US" w:eastAsia="zh-CN"/>
              </w:rPr>
              <w:t>1</w:t>
            </w:r>
          </w:p>
        </w:tc>
        <w:tc>
          <w:tcPr>
            <w:tcW w:w="635" w:type="dxa"/>
            <w:shd w:val="clear" w:color="auto" w:fill="auto"/>
            <w:vAlign w:val="center"/>
          </w:tcPr>
          <w:p w14:paraId="12850374">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val="en-US" w:eastAsia="zh-CN"/>
              </w:rPr>
              <w:t>项</w:t>
            </w:r>
          </w:p>
        </w:tc>
        <w:tc>
          <w:tcPr>
            <w:tcW w:w="1503" w:type="dxa"/>
            <w:vAlign w:val="center"/>
          </w:tcPr>
          <w:p w14:paraId="6F41B783">
            <w:pPr>
              <w:spacing w:line="500" w:lineRule="exact"/>
              <w:jc w:val="center"/>
              <w:rPr>
                <w:rFonts w:hint="eastAsia" w:ascii="宋体" w:hAnsi="宋体" w:eastAsia="宋体" w:cs="宋体"/>
                <w:kern w:val="2"/>
                <w:sz w:val="24"/>
                <w:szCs w:val="24"/>
                <w:lang w:eastAsia="zh-CN"/>
              </w:rPr>
            </w:pPr>
            <w:r>
              <w:rPr>
                <w:rFonts w:hint="eastAsia" w:ascii="宋体" w:hAnsi="宋体" w:eastAsia="宋体" w:cs="宋体"/>
                <w:sz w:val="24"/>
                <w:szCs w:val="24"/>
                <w:lang w:val="en-US" w:eastAsia="zh-CN"/>
              </w:rPr>
              <w:t>110000</w:t>
            </w:r>
          </w:p>
        </w:tc>
        <w:tc>
          <w:tcPr>
            <w:tcW w:w="1467" w:type="dxa"/>
            <w:vAlign w:val="center"/>
          </w:tcPr>
          <w:p w14:paraId="6427F4F4">
            <w:pPr>
              <w:spacing w:line="500" w:lineRule="exact"/>
              <w:jc w:val="center"/>
              <w:rPr>
                <w:rFonts w:hint="eastAsia" w:ascii="宋体" w:hAnsi="宋体" w:eastAsia="宋体" w:cs="宋体"/>
                <w:sz w:val="24"/>
                <w:szCs w:val="24"/>
                <w:lang w:val="en-US" w:eastAsia="zh-CN"/>
              </w:rPr>
            </w:pPr>
          </w:p>
        </w:tc>
        <w:tc>
          <w:tcPr>
            <w:tcW w:w="1467" w:type="dxa"/>
            <w:vAlign w:val="center"/>
          </w:tcPr>
          <w:p w14:paraId="108B8D2F">
            <w:pPr>
              <w:spacing w:line="500" w:lineRule="exact"/>
              <w:jc w:val="center"/>
              <w:rPr>
                <w:rFonts w:hint="eastAsia" w:ascii="宋体" w:hAnsi="宋体" w:eastAsia="宋体" w:cs="宋体"/>
                <w:sz w:val="24"/>
                <w:szCs w:val="24"/>
                <w:lang w:val="en-US" w:eastAsia="zh-CN"/>
              </w:rPr>
            </w:pPr>
          </w:p>
        </w:tc>
      </w:tr>
      <w:tr w14:paraId="384E4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4" w:hRule="atLeast"/>
          <w:jc w:val="center"/>
        </w:trPr>
        <w:tc>
          <w:tcPr>
            <w:tcW w:w="766" w:type="dxa"/>
            <w:vAlign w:val="center"/>
          </w:tcPr>
          <w:p w14:paraId="4FAD4C3C">
            <w:pPr>
              <w:jc w:val="center"/>
              <w:rPr>
                <w:rFonts w:hint="eastAsia" w:ascii="宋体" w:hAnsi="宋体" w:cs="宋体"/>
                <w:color w:val="auto"/>
                <w:sz w:val="24"/>
                <w:szCs w:val="24"/>
                <w:highlight w:val="none"/>
                <w:lang w:val="en-US" w:eastAsia="zh-CN"/>
              </w:rPr>
            </w:pPr>
          </w:p>
        </w:tc>
        <w:tc>
          <w:tcPr>
            <w:tcW w:w="2550" w:type="dxa"/>
            <w:vAlign w:val="center"/>
          </w:tcPr>
          <w:p w14:paraId="2D1E909D">
            <w:pPr>
              <w:widowControl w:val="0"/>
              <w:adjustRightInd/>
              <w:snapToGrid/>
              <w:spacing w:after="0"/>
              <w:jc w:val="center"/>
              <w:textAlignment w:val="center"/>
              <w:rPr>
                <w:rFonts w:hint="default" w:ascii="宋体" w:hAnsi="宋体" w:eastAsia="宋体" w:cs="宋体"/>
                <w:kern w:val="2"/>
                <w:sz w:val="24"/>
                <w:szCs w:val="24"/>
                <w:lang w:val="en-US" w:eastAsia="zh-CN"/>
              </w:rPr>
            </w:pPr>
            <w:r>
              <w:rPr>
                <w:rFonts w:hint="eastAsia" w:ascii="宋体" w:hAnsi="宋体" w:cs="宋体"/>
                <w:kern w:val="2"/>
                <w:sz w:val="24"/>
                <w:szCs w:val="24"/>
                <w:lang w:val="en-US" w:eastAsia="zh-CN"/>
              </w:rPr>
              <w:t>合计</w:t>
            </w:r>
          </w:p>
        </w:tc>
        <w:tc>
          <w:tcPr>
            <w:tcW w:w="767" w:type="dxa"/>
            <w:vAlign w:val="center"/>
          </w:tcPr>
          <w:p w14:paraId="0403BEFE">
            <w:pPr>
              <w:jc w:val="center"/>
              <w:rPr>
                <w:rFonts w:hint="eastAsia" w:ascii="宋体" w:hAnsi="宋体"/>
                <w:color w:val="auto"/>
                <w:sz w:val="24"/>
                <w:szCs w:val="24"/>
                <w:highlight w:val="none"/>
                <w:lang w:val="en-US" w:eastAsia="zh-CN"/>
              </w:rPr>
            </w:pPr>
          </w:p>
        </w:tc>
        <w:tc>
          <w:tcPr>
            <w:tcW w:w="635" w:type="dxa"/>
            <w:vAlign w:val="center"/>
          </w:tcPr>
          <w:p w14:paraId="52313E0D">
            <w:pPr>
              <w:jc w:val="center"/>
              <w:rPr>
                <w:rFonts w:hint="eastAsia" w:ascii="宋体" w:hAnsi="宋体"/>
                <w:color w:val="auto"/>
                <w:sz w:val="24"/>
                <w:szCs w:val="24"/>
                <w:highlight w:val="none"/>
                <w:lang w:val="en-US" w:eastAsia="zh-CN"/>
              </w:rPr>
            </w:pPr>
          </w:p>
        </w:tc>
        <w:tc>
          <w:tcPr>
            <w:tcW w:w="1503" w:type="dxa"/>
            <w:vAlign w:val="center"/>
          </w:tcPr>
          <w:p w14:paraId="6C868EBA">
            <w:pPr>
              <w:keepNext w:val="0"/>
              <w:keepLines w:val="0"/>
              <w:widowControl/>
              <w:suppressLineNumbers w:val="0"/>
              <w:jc w:val="center"/>
              <w:textAlignment w:val="center"/>
              <w:rPr>
                <w:rFonts w:hint="eastAsia" w:ascii="宋体" w:hAnsi="宋体" w:eastAsia="宋体" w:cs="宋体"/>
                <w:kern w:val="2"/>
                <w:sz w:val="24"/>
                <w:szCs w:val="24"/>
                <w:lang w:eastAsia="zh-CN"/>
              </w:rPr>
            </w:pPr>
            <w:r>
              <w:rPr>
                <w:rFonts w:hint="eastAsia" w:ascii="宋体" w:hAnsi="宋体" w:cs="宋体"/>
                <w:b/>
                <w:bCs/>
                <w:i w:val="0"/>
                <w:iCs w:val="0"/>
                <w:color w:val="000000"/>
                <w:kern w:val="0"/>
                <w:sz w:val="24"/>
                <w:szCs w:val="24"/>
                <w:u w:val="none"/>
                <w:lang w:val="en-US" w:eastAsia="zh-CN" w:bidi="ar"/>
              </w:rPr>
              <w:t>470000</w:t>
            </w:r>
          </w:p>
        </w:tc>
        <w:tc>
          <w:tcPr>
            <w:tcW w:w="1467" w:type="dxa"/>
            <w:vAlign w:val="center"/>
          </w:tcPr>
          <w:p w14:paraId="6459A6F3">
            <w:pPr>
              <w:keepNext w:val="0"/>
              <w:keepLines w:val="0"/>
              <w:widowControl/>
              <w:suppressLineNumbers w:val="0"/>
              <w:jc w:val="center"/>
              <w:textAlignment w:val="center"/>
              <w:rPr>
                <w:rFonts w:hint="eastAsia" w:ascii="宋体" w:hAnsi="宋体" w:cs="宋体"/>
                <w:b/>
                <w:bCs/>
                <w:i w:val="0"/>
                <w:iCs w:val="0"/>
                <w:color w:val="000000"/>
                <w:kern w:val="0"/>
                <w:sz w:val="24"/>
                <w:szCs w:val="24"/>
                <w:u w:val="none"/>
                <w:lang w:val="en-US" w:eastAsia="zh-CN" w:bidi="ar"/>
              </w:rPr>
            </w:pPr>
          </w:p>
        </w:tc>
        <w:tc>
          <w:tcPr>
            <w:tcW w:w="1467" w:type="dxa"/>
            <w:vAlign w:val="center"/>
          </w:tcPr>
          <w:p w14:paraId="0F845E12">
            <w:pPr>
              <w:keepNext w:val="0"/>
              <w:keepLines w:val="0"/>
              <w:widowControl/>
              <w:suppressLineNumbers w:val="0"/>
              <w:jc w:val="center"/>
              <w:textAlignment w:val="center"/>
              <w:rPr>
                <w:rFonts w:hint="eastAsia" w:ascii="宋体" w:hAnsi="宋体" w:cs="宋体"/>
                <w:b/>
                <w:bCs/>
                <w:i w:val="0"/>
                <w:iCs w:val="0"/>
                <w:color w:val="000000"/>
                <w:kern w:val="0"/>
                <w:sz w:val="24"/>
                <w:szCs w:val="24"/>
                <w:u w:val="none"/>
                <w:lang w:val="en-US" w:eastAsia="zh-CN" w:bidi="ar"/>
              </w:rPr>
            </w:pPr>
          </w:p>
        </w:tc>
      </w:tr>
    </w:tbl>
    <w:p w14:paraId="11F8796A">
      <w:pPr>
        <w:snapToGrid w:val="0"/>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1、本</w:t>
      </w:r>
      <w:r>
        <w:rPr>
          <w:rFonts w:hint="eastAsia" w:ascii="宋体" w:hAnsi="宋体" w:cs="仿宋"/>
          <w:color w:val="auto"/>
          <w:sz w:val="24"/>
          <w:highlight w:val="none"/>
          <w:lang w:val="en-US" w:eastAsia="zh-CN"/>
        </w:rPr>
        <w:t>项目总价最高限价为470000元，投标折扣为</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lang w:val="en-US" w:eastAsia="zh-CN"/>
        </w:rPr>
        <w:t>%，结算综合单价=综合单价最高限价×投标折扣，最终</w:t>
      </w:r>
      <w:r>
        <w:rPr>
          <w:rFonts w:hint="eastAsia" w:ascii="宋体" w:hAnsi="宋体" w:cs="仿宋"/>
          <w:color w:val="auto"/>
          <w:sz w:val="24"/>
          <w:highlight w:val="none"/>
        </w:rPr>
        <w:t>按实结算</w:t>
      </w:r>
      <w:r>
        <w:rPr>
          <w:rFonts w:hint="eastAsia" w:ascii="宋体" w:hAnsi="宋体" w:cs="仿宋"/>
          <w:color w:val="auto"/>
          <w:sz w:val="24"/>
          <w:highlight w:val="none"/>
          <w:lang w:eastAsia="zh-CN"/>
        </w:rPr>
        <w:t>。</w:t>
      </w:r>
      <w:r>
        <w:rPr>
          <w:rFonts w:hint="eastAsia" w:ascii="宋体" w:hAnsi="宋体" w:cs="仿宋"/>
          <w:color w:val="auto"/>
          <w:sz w:val="24"/>
          <w:highlight w:val="none"/>
        </w:rPr>
        <w:t>暂定工作量见</w:t>
      </w:r>
      <w:r>
        <w:rPr>
          <w:rFonts w:hint="eastAsia" w:ascii="宋体" w:hAnsi="宋体" w:cs="仿宋"/>
          <w:color w:val="auto"/>
          <w:sz w:val="24"/>
          <w:highlight w:val="none"/>
          <w:lang w:val="en-US" w:eastAsia="zh-CN"/>
        </w:rPr>
        <w:t>商务需求</w:t>
      </w:r>
      <w:r>
        <w:rPr>
          <w:rFonts w:hint="eastAsia" w:ascii="宋体" w:hAnsi="宋体" w:cs="仿宋"/>
          <w:color w:val="auto"/>
          <w:sz w:val="24"/>
          <w:highlight w:val="none"/>
        </w:rPr>
        <w:t>(</w:t>
      </w:r>
      <w:r>
        <w:rPr>
          <w:rFonts w:hint="eastAsia" w:ascii="宋体" w:hAnsi="宋体" w:cs="仿宋"/>
          <w:color w:val="auto"/>
          <w:sz w:val="24"/>
          <w:highlight w:val="none"/>
          <w:lang w:val="en-US" w:eastAsia="zh-CN"/>
        </w:rPr>
        <w:t>最高限价</w:t>
      </w:r>
      <w:r>
        <w:rPr>
          <w:rFonts w:hint="eastAsia" w:ascii="宋体" w:hAnsi="宋体" w:cs="仿宋"/>
          <w:color w:val="auto"/>
          <w:sz w:val="24"/>
          <w:highlight w:val="none"/>
        </w:rPr>
        <w:t>表</w:t>
      </w:r>
      <w:r>
        <w:rPr>
          <w:rFonts w:hint="eastAsia" w:ascii="宋体" w:hAnsi="宋体" w:cs="仿宋"/>
          <w:color w:val="auto"/>
          <w:sz w:val="24"/>
          <w:highlight w:val="none"/>
          <w:lang w:eastAsia="zh-CN"/>
        </w:rPr>
        <w:t>）</w:t>
      </w:r>
      <w:r>
        <w:rPr>
          <w:rFonts w:hint="eastAsia" w:ascii="宋体" w:hAnsi="宋体" w:cs="仿宋"/>
          <w:color w:val="auto"/>
          <w:sz w:val="24"/>
          <w:highlight w:val="none"/>
        </w:rPr>
        <w:t>。</w:t>
      </w:r>
    </w:p>
    <w:p w14:paraId="71B965A2">
      <w:pPr>
        <w:snapToGrid w:val="0"/>
        <w:spacing w:line="360" w:lineRule="auto"/>
        <w:ind w:firstLine="480" w:firstLineChars="200"/>
        <w:jc w:val="left"/>
        <w:rPr>
          <w:rFonts w:hint="eastAsia" w:ascii="宋体" w:hAnsi="宋体" w:cs="仿宋"/>
          <w:color w:val="auto"/>
          <w:sz w:val="24"/>
          <w:highlight w:val="none"/>
        </w:rPr>
      </w:pPr>
      <w:r>
        <w:rPr>
          <w:rFonts w:hint="eastAsia" w:hAnsi="宋体" w:cs="宋体"/>
          <w:color w:val="auto"/>
          <w:kern w:val="2"/>
          <w:sz w:val="24"/>
          <w:szCs w:val="24"/>
          <w:highlight w:val="none"/>
        </w:rPr>
        <w:t>本项目综合</w:t>
      </w:r>
      <w:r>
        <w:rPr>
          <w:rFonts w:hint="eastAsia" w:hAnsi="宋体" w:cs="宋体"/>
          <w:color w:val="auto"/>
          <w:kern w:val="2"/>
          <w:sz w:val="24"/>
          <w:szCs w:val="24"/>
          <w:highlight w:val="none"/>
          <w:lang w:val="en-US" w:eastAsia="zh-CN"/>
        </w:rPr>
        <w:t>报价</w:t>
      </w:r>
      <w:r>
        <w:rPr>
          <w:rFonts w:hint="eastAsia" w:hAnsi="宋体" w:cs="宋体"/>
          <w:color w:val="auto"/>
          <w:kern w:val="2"/>
          <w:sz w:val="24"/>
          <w:szCs w:val="24"/>
          <w:highlight w:val="none"/>
        </w:rPr>
        <w:t>费用包括现场踏勘、资料收集整理、数据调查分析、</w:t>
      </w:r>
      <w:r>
        <w:rPr>
          <w:rFonts w:hint="eastAsia" w:hAnsi="宋体" w:cs="宋体"/>
          <w:color w:val="auto"/>
          <w:kern w:val="2"/>
          <w:sz w:val="24"/>
          <w:szCs w:val="24"/>
          <w:highlight w:val="none"/>
          <w:lang w:val="en-US" w:eastAsia="zh-CN"/>
        </w:rPr>
        <w:t>监测</w:t>
      </w:r>
      <w:r>
        <w:rPr>
          <w:rFonts w:hint="eastAsia" w:hAnsi="宋体" w:cs="宋体"/>
          <w:color w:val="auto"/>
          <w:kern w:val="2"/>
          <w:sz w:val="24"/>
          <w:szCs w:val="24"/>
          <w:highlight w:val="none"/>
        </w:rPr>
        <w:t>、印刷、咨询费、专家费、会务费、风险费、保险、利润、规费、税金、政策性文件规定及合同包含的所有风险、责任等所有费用</w:t>
      </w:r>
      <w:r>
        <w:rPr>
          <w:rFonts w:hint="eastAsia" w:hAnsi="宋体" w:cs="宋体"/>
          <w:color w:val="auto"/>
          <w:kern w:val="2"/>
          <w:sz w:val="24"/>
          <w:szCs w:val="24"/>
          <w:highlight w:val="none"/>
          <w:lang w:eastAsia="zh-CN"/>
        </w:rPr>
        <w:t>。</w:t>
      </w:r>
      <w:r>
        <w:rPr>
          <w:rFonts w:hint="eastAsia" w:hAnsi="宋体" w:cs="宋体"/>
          <w:color w:val="auto"/>
          <w:kern w:val="2"/>
          <w:sz w:val="24"/>
          <w:szCs w:val="24"/>
          <w:highlight w:val="none"/>
        </w:rPr>
        <w:t>合同已包括：</w:t>
      </w:r>
      <w:r>
        <w:rPr>
          <w:rFonts w:hint="eastAsia" w:ascii="宋体" w:hAnsi="宋体" w:eastAsia="宋体" w:cs="宋体"/>
          <w:color w:val="auto"/>
          <w:sz w:val="24"/>
          <w:szCs w:val="24"/>
          <w:highlight w:val="none"/>
        </w:rPr>
        <w:t>生态调查服务</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环境监测服务</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突发事件应急预案、</w:t>
      </w:r>
      <w:r>
        <w:rPr>
          <w:rFonts w:hint="eastAsia" w:hAnsi="宋体" w:cs="宋体"/>
          <w:color w:val="auto"/>
          <w:sz w:val="24"/>
          <w:szCs w:val="24"/>
          <w:highlight w:val="none"/>
          <w:lang w:eastAsia="zh-CN"/>
        </w:rPr>
        <w:t>环保竣工验收服务以及</w:t>
      </w:r>
      <w:r>
        <w:rPr>
          <w:rFonts w:hint="eastAsia" w:hAnsi="宋体" w:cs="宋体"/>
          <w:color w:val="auto"/>
          <w:kern w:val="2"/>
          <w:sz w:val="24"/>
          <w:szCs w:val="24"/>
          <w:highlight w:val="none"/>
        </w:rPr>
        <w:t>能预见的因场地问题引起的多次进场的费用、以及后续服务等费用。</w:t>
      </w:r>
    </w:p>
    <w:p w14:paraId="694DAC02">
      <w:pPr>
        <w:snapToGrid w:val="0"/>
        <w:spacing w:line="360" w:lineRule="auto"/>
        <w:ind w:firstLine="480" w:firstLineChars="200"/>
        <w:jc w:val="left"/>
        <w:rPr>
          <w:rFonts w:hint="eastAsia" w:ascii="宋体" w:hAnsi="宋体" w:cs="仿宋"/>
          <w:color w:val="auto"/>
          <w:sz w:val="24"/>
          <w:highlight w:val="none"/>
        </w:rPr>
      </w:pPr>
      <w:r>
        <w:rPr>
          <w:rFonts w:hint="eastAsia" w:ascii="宋体" w:hAnsi="宋体" w:cs="仿宋"/>
          <w:color w:val="auto"/>
          <w:sz w:val="24"/>
          <w:highlight w:val="none"/>
        </w:rPr>
        <w:t>投标人投标前应先到工地踏勘，充分了解工程位置情况、场地情况、进出道路、储存空间、装卸限制及任何其它非业主主观原因引起的足以影响承包价的情况。任何因忽视或误解工程情况而导致的索赔将不予受理。</w:t>
      </w:r>
    </w:p>
    <w:p w14:paraId="4634AC82">
      <w:pPr>
        <w:snapToGrid w:val="0"/>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lang w:val="en-US" w:eastAsia="zh-CN"/>
        </w:rPr>
        <w:t>2</w:t>
      </w:r>
      <w:r>
        <w:rPr>
          <w:rFonts w:hint="eastAsia" w:ascii="宋体" w:hAnsi="宋体" w:cs="仿宋"/>
          <w:color w:val="auto"/>
          <w:sz w:val="24"/>
          <w:highlight w:val="none"/>
        </w:rPr>
        <w:t>.验收费用由</w:t>
      </w:r>
      <w:r>
        <w:rPr>
          <w:rFonts w:hint="eastAsia" w:ascii="宋体" w:hAnsi="宋体" w:cs="仿宋"/>
          <w:color w:val="auto"/>
          <w:sz w:val="24"/>
          <w:highlight w:val="none"/>
          <w:lang w:val="en-US" w:eastAsia="zh-CN"/>
        </w:rPr>
        <w:t>乙方</w:t>
      </w:r>
      <w:r>
        <w:rPr>
          <w:rFonts w:hint="eastAsia" w:ascii="宋体" w:hAnsi="宋体" w:cs="仿宋"/>
          <w:color w:val="auto"/>
          <w:sz w:val="24"/>
          <w:highlight w:val="none"/>
        </w:rPr>
        <w:t>支付。</w:t>
      </w:r>
    </w:p>
    <w:p w14:paraId="79F586BE">
      <w:pPr>
        <w:snapToGrid w:val="0"/>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lang w:val="en-US" w:eastAsia="zh-CN"/>
        </w:rPr>
        <w:t>3</w:t>
      </w:r>
      <w:r>
        <w:rPr>
          <w:rFonts w:hint="eastAsia" w:ascii="宋体" w:hAnsi="宋体" w:cs="仿宋"/>
          <w:color w:val="auto"/>
          <w:sz w:val="24"/>
          <w:highlight w:val="none"/>
        </w:rPr>
        <w:t>、支付方式：</w:t>
      </w:r>
      <w:r>
        <w:rPr>
          <w:rFonts w:hint="eastAsia" w:ascii="宋体" w:hAnsi="宋体"/>
          <w:color w:val="auto"/>
          <w:sz w:val="24"/>
          <w:highlight w:val="none"/>
          <w:lang w:val="en-US" w:eastAsia="zh-CN"/>
        </w:rPr>
        <w:t>项目整体竣工验收后</w:t>
      </w:r>
      <w:r>
        <w:rPr>
          <w:rFonts w:hint="eastAsia" w:ascii="宋体" w:hAnsi="宋体"/>
          <w:color w:val="auto"/>
          <w:sz w:val="24"/>
          <w:highlight w:val="none"/>
        </w:rPr>
        <w:t>30个工作日内</w:t>
      </w:r>
      <w:r>
        <w:rPr>
          <w:rFonts w:hint="eastAsia" w:ascii="宋体" w:hAnsi="宋体" w:cs="仿宋"/>
          <w:color w:val="auto"/>
          <w:sz w:val="24"/>
          <w:highlight w:val="none"/>
        </w:rPr>
        <w:t>向乙方</w:t>
      </w:r>
      <w:r>
        <w:rPr>
          <w:rFonts w:hint="eastAsia" w:ascii="宋体" w:hAnsi="宋体"/>
          <w:color w:val="auto"/>
          <w:sz w:val="24"/>
          <w:highlight w:val="none"/>
          <w:lang w:val="en-US" w:eastAsia="zh-CN"/>
        </w:rPr>
        <w:t>一次性</w:t>
      </w:r>
      <w:r>
        <w:rPr>
          <w:rFonts w:hint="eastAsia" w:ascii="宋体" w:hAnsi="宋体"/>
          <w:color w:val="auto"/>
          <w:sz w:val="24"/>
          <w:highlight w:val="none"/>
        </w:rPr>
        <w:t>支付</w:t>
      </w:r>
      <w:r>
        <w:rPr>
          <w:rFonts w:hint="eastAsia" w:ascii="宋体" w:hAnsi="宋体"/>
          <w:color w:val="auto"/>
          <w:sz w:val="24"/>
          <w:highlight w:val="none"/>
          <w:lang w:val="en-US" w:eastAsia="zh-CN"/>
        </w:rPr>
        <w:t>对应</w:t>
      </w:r>
      <w:r>
        <w:rPr>
          <w:rFonts w:hint="eastAsia" w:ascii="宋体" w:hAnsi="宋体"/>
          <w:color w:val="auto"/>
          <w:sz w:val="24"/>
          <w:highlight w:val="none"/>
        </w:rPr>
        <w:t>合同价款</w:t>
      </w:r>
      <w:r>
        <w:rPr>
          <w:rFonts w:hint="eastAsia" w:ascii="宋体" w:hAnsi="宋体" w:cs="仿宋"/>
          <w:color w:val="auto"/>
          <w:sz w:val="24"/>
          <w:highlight w:val="none"/>
        </w:rPr>
        <w:t>。</w:t>
      </w:r>
    </w:p>
    <w:p w14:paraId="63F2370F">
      <w:pPr>
        <w:snapToGrid w:val="0"/>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lang w:val="en-US" w:eastAsia="zh-CN"/>
        </w:rPr>
        <w:t xml:space="preserve"> 4</w:t>
      </w:r>
      <w:r>
        <w:rPr>
          <w:rFonts w:hint="eastAsia" w:ascii="宋体" w:hAnsi="宋体" w:cs="仿宋"/>
          <w:color w:val="auto"/>
          <w:sz w:val="24"/>
          <w:highlight w:val="none"/>
        </w:rPr>
        <w:t>、</w:t>
      </w:r>
      <w:r>
        <w:rPr>
          <w:rFonts w:hint="eastAsia" w:ascii="宋体" w:hAnsi="宋体" w:cs="仿宋"/>
          <w:color w:val="auto"/>
          <w:sz w:val="24"/>
          <w:highlight w:val="none"/>
          <w:lang w:val="en-US" w:eastAsia="zh-CN"/>
        </w:rPr>
        <w:t>因非甲方原因导致成果未能通过备案的，乙方须无条件返工整改直至通过备案，由此产生的所有费用均由乙方承担，甲方不另行支付费用</w:t>
      </w:r>
      <w:r>
        <w:rPr>
          <w:rFonts w:hint="eastAsia" w:ascii="宋体" w:hAnsi="宋体" w:cs="仿宋"/>
          <w:color w:val="auto"/>
          <w:sz w:val="24"/>
          <w:highlight w:val="none"/>
        </w:rPr>
        <w:t>。</w:t>
      </w:r>
    </w:p>
    <w:p w14:paraId="4F92DA1D">
      <w:pPr>
        <w:snapToGrid w:val="0"/>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五、违约责任及其赔偿</w:t>
      </w:r>
    </w:p>
    <w:p w14:paraId="218C7CC1">
      <w:pPr>
        <w:snapToGrid w:val="0"/>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如果在协议有效期内，甲乙双方未能履行本协议之规定，应按照《</w:t>
      </w:r>
      <w:r>
        <w:rPr>
          <w:rFonts w:hint="eastAsia" w:ascii="宋体" w:hAnsi="宋体" w:cs="仿宋"/>
          <w:color w:val="auto"/>
          <w:sz w:val="24"/>
          <w:highlight w:val="none"/>
          <w:lang w:val="en-US" w:eastAsia="zh-CN"/>
        </w:rPr>
        <w:t>中华人民共和国民法典</w:t>
      </w:r>
      <w:r>
        <w:rPr>
          <w:rFonts w:hint="eastAsia" w:ascii="宋体" w:hAnsi="宋体" w:cs="仿宋"/>
          <w:color w:val="auto"/>
          <w:sz w:val="24"/>
          <w:highlight w:val="none"/>
        </w:rPr>
        <w:t>》的规定承担一定的违约责任。</w:t>
      </w:r>
    </w:p>
    <w:p w14:paraId="6654B737">
      <w:pPr>
        <w:snapToGrid w:val="0"/>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六、因国家或部门政策法规调整，甲乙双方根据调整情况对协议进行修改。甲乙双方均不得擅自修改或解除协议。</w:t>
      </w:r>
    </w:p>
    <w:p w14:paraId="1D8B08F2">
      <w:pPr>
        <w:snapToGrid w:val="0"/>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七、本协议书一式肆份，甲乙双方各执贰份。</w:t>
      </w:r>
    </w:p>
    <w:p w14:paraId="0C794C77">
      <w:pPr>
        <w:snapToGrid w:val="0"/>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八、本委托协议书未尽事宜由双方协商解决。</w:t>
      </w:r>
    </w:p>
    <w:p w14:paraId="19E72AB3">
      <w:pPr>
        <w:snapToGrid w:val="0"/>
        <w:spacing w:line="360" w:lineRule="auto"/>
        <w:ind w:right="-153" w:firstLine="360"/>
        <w:jc w:val="left"/>
        <w:rPr>
          <w:rFonts w:ascii="宋体" w:hAnsi="宋体" w:cs="仿宋"/>
          <w:color w:val="auto"/>
          <w:sz w:val="24"/>
          <w:highlight w:val="none"/>
        </w:rPr>
      </w:pPr>
      <w:r>
        <w:rPr>
          <w:rFonts w:hint="eastAsia" w:ascii="宋体" w:hAnsi="宋体" w:cs="仿宋"/>
          <w:color w:val="auto"/>
          <w:sz w:val="24"/>
          <w:highlight w:val="none"/>
        </w:rPr>
        <w:t xml:space="preserve">甲方（盖章）：                  乙 方（盖章）： </w:t>
      </w:r>
    </w:p>
    <w:p w14:paraId="24484E8D">
      <w:pPr>
        <w:snapToGrid w:val="0"/>
        <w:spacing w:line="360" w:lineRule="auto"/>
        <w:ind w:left="-718" w:right="-153" w:firstLine="1078"/>
        <w:jc w:val="left"/>
        <w:rPr>
          <w:rFonts w:ascii="宋体" w:hAnsi="宋体" w:cs="仿宋"/>
          <w:color w:val="auto"/>
          <w:sz w:val="24"/>
          <w:highlight w:val="none"/>
        </w:rPr>
      </w:pPr>
      <w:r>
        <w:rPr>
          <w:rFonts w:hint="eastAsia" w:ascii="宋体" w:hAnsi="宋体" w:cs="仿宋"/>
          <w:color w:val="auto"/>
          <w:sz w:val="24"/>
          <w:highlight w:val="none"/>
        </w:rPr>
        <w:t xml:space="preserve">地址：                         开户行：                                                                </w:t>
      </w:r>
    </w:p>
    <w:p w14:paraId="70E2E83B">
      <w:pPr>
        <w:snapToGrid w:val="0"/>
        <w:spacing w:line="360" w:lineRule="auto"/>
        <w:ind w:left="-718" w:right="-153" w:firstLine="718"/>
        <w:jc w:val="left"/>
        <w:rPr>
          <w:rFonts w:ascii="宋体" w:hAnsi="宋体" w:cs="仿宋"/>
          <w:color w:val="auto"/>
          <w:sz w:val="24"/>
          <w:highlight w:val="none"/>
        </w:rPr>
      </w:pPr>
      <w:r>
        <w:rPr>
          <w:rFonts w:hint="eastAsia" w:ascii="宋体" w:hAnsi="宋体" w:cs="仿宋"/>
          <w:color w:val="auto"/>
          <w:sz w:val="24"/>
          <w:highlight w:val="none"/>
        </w:rPr>
        <w:t xml:space="preserve">   电话：                         帐号：</w:t>
      </w:r>
    </w:p>
    <w:p w14:paraId="1FC8AECA">
      <w:pPr>
        <w:snapToGrid w:val="0"/>
        <w:spacing w:line="360" w:lineRule="auto"/>
        <w:ind w:left="-718" w:right="-153" w:firstLine="1078"/>
        <w:jc w:val="left"/>
        <w:rPr>
          <w:rFonts w:ascii="宋体" w:hAnsi="宋体" w:cs="仿宋"/>
          <w:color w:val="auto"/>
          <w:sz w:val="24"/>
          <w:highlight w:val="none"/>
        </w:rPr>
      </w:pPr>
      <w:r>
        <w:rPr>
          <w:rFonts w:hint="eastAsia" w:ascii="宋体" w:hAnsi="宋体" w:cs="仿宋"/>
          <w:color w:val="auto"/>
          <w:sz w:val="24"/>
          <w:highlight w:val="none"/>
        </w:rPr>
        <w:t>经办人（签字）：                经办人（签字）：</w:t>
      </w:r>
    </w:p>
    <w:p w14:paraId="4A80ABAF">
      <w:pPr>
        <w:snapToGrid w:val="0"/>
        <w:spacing w:line="360" w:lineRule="auto"/>
        <w:ind w:right="-718" w:firstLine="360"/>
        <w:jc w:val="left"/>
        <w:rPr>
          <w:rFonts w:ascii="宋体" w:hAnsi="宋体" w:cs="仿宋"/>
          <w:color w:val="auto"/>
          <w:sz w:val="24"/>
          <w:highlight w:val="none"/>
        </w:rPr>
      </w:pPr>
      <w:r>
        <w:rPr>
          <w:rFonts w:hint="eastAsia" w:ascii="宋体" w:hAnsi="宋体" w:cs="仿宋"/>
          <w:color w:val="auto"/>
          <w:sz w:val="24"/>
          <w:highlight w:val="none"/>
        </w:rPr>
        <w:t>签定日期：  年    月    日     签定日期：  年    月    日</w:t>
      </w:r>
    </w:p>
    <w:p w14:paraId="06E055E6">
      <w:pPr>
        <w:adjustRightInd w:val="0"/>
        <w:snapToGrid w:val="0"/>
        <w:spacing w:line="360" w:lineRule="auto"/>
        <w:jc w:val="center"/>
        <w:rPr>
          <w:rFonts w:ascii="宋体" w:hAnsi="宋体"/>
          <w:b/>
          <w:bCs/>
          <w:color w:val="auto"/>
          <w:sz w:val="36"/>
          <w:szCs w:val="36"/>
          <w:highlight w:val="none"/>
        </w:rPr>
      </w:pPr>
    </w:p>
    <w:p w14:paraId="778CB12A">
      <w:pPr>
        <w:adjustRightInd w:val="0"/>
        <w:snapToGrid w:val="0"/>
        <w:spacing w:line="360" w:lineRule="auto"/>
        <w:jc w:val="center"/>
        <w:rPr>
          <w:rFonts w:ascii="宋体" w:hAnsi="宋体"/>
          <w:b/>
          <w:bCs/>
          <w:color w:val="auto"/>
          <w:sz w:val="36"/>
          <w:szCs w:val="36"/>
          <w:highlight w:val="none"/>
        </w:rPr>
      </w:pPr>
    </w:p>
    <w:p w14:paraId="2EB4A6AF">
      <w:pPr>
        <w:adjustRightInd w:val="0"/>
        <w:snapToGrid w:val="0"/>
        <w:spacing w:line="360" w:lineRule="auto"/>
        <w:jc w:val="center"/>
        <w:rPr>
          <w:rFonts w:ascii="宋体" w:hAnsi="宋体"/>
          <w:b/>
          <w:bCs/>
          <w:color w:val="auto"/>
          <w:sz w:val="36"/>
          <w:szCs w:val="36"/>
          <w:highlight w:val="none"/>
        </w:rPr>
      </w:pPr>
    </w:p>
    <w:p w14:paraId="08E8CF61">
      <w:pPr>
        <w:adjustRightInd w:val="0"/>
        <w:snapToGrid w:val="0"/>
        <w:spacing w:line="360" w:lineRule="auto"/>
        <w:jc w:val="center"/>
        <w:rPr>
          <w:rFonts w:ascii="宋体" w:hAnsi="宋体"/>
          <w:b/>
          <w:bCs/>
          <w:color w:val="auto"/>
          <w:sz w:val="36"/>
          <w:szCs w:val="36"/>
          <w:highlight w:val="none"/>
        </w:rPr>
      </w:pPr>
    </w:p>
    <w:p w14:paraId="695C8BF0">
      <w:pPr>
        <w:adjustRightInd w:val="0"/>
        <w:snapToGrid w:val="0"/>
        <w:spacing w:line="360" w:lineRule="auto"/>
        <w:jc w:val="center"/>
        <w:rPr>
          <w:rFonts w:ascii="宋体" w:hAnsi="宋体"/>
          <w:b/>
          <w:bCs/>
          <w:color w:val="auto"/>
          <w:sz w:val="36"/>
          <w:szCs w:val="36"/>
          <w:highlight w:val="none"/>
        </w:rPr>
      </w:pPr>
    </w:p>
    <w:p w14:paraId="2C96A794">
      <w:pPr>
        <w:adjustRightInd w:val="0"/>
        <w:snapToGrid w:val="0"/>
        <w:spacing w:line="360" w:lineRule="auto"/>
        <w:jc w:val="center"/>
        <w:rPr>
          <w:rFonts w:ascii="宋体" w:hAnsi="宋体"/>
          <w:b/>
          <w:bCs/>
          <w:color w:val="auto"/>
          <w:sz w:val="36"/>
          <w:szCs w:val="36"/>
          <w:highlight w:val="none"/>
        </w:rPr>
      </w:pPr>
    </w:p>
    <w:p w14:paraId="6C47DAA9">
      <w:pPr>
        <w:adjustRightInd w:val="0"/>
        <w:snapToGrid w:val="0"/>
        <w:spacing w:line="360" w:lineRule="auto"/>
        <w:jc w:val="center"/>
        <w:rPr>
          <w:rFonts w:ascii="宋体" w:hAnsi="宋体"/>
          <w:b/>
          <w:bCs/>
          <w:color w:val="auto"/>
          <w:sz w:val="36"/>
          <w:szCs w:val="36"/>
          <w:highlight w:val="none"/>
        </w:rPr>
      </w:pPr>
    </w:p>
    <w:p w14:paraId="1ED20AAB">
      <w:pPr>
        <w:adjustRightInd w:val="0"/>
        <w:snapToGrid w:val="0"/>
        <w:spacing w:line="360" w:lineRule="auto"/>
        <w:jc w:val="center"/>
        <w:rPr>
          <w:rFonts w:ascii="宋体" w:hAnsi="宋体"/>
          <w:b/>
          <w:bCs/>
          <w:color w:val="auto"/>
          <w:sz w:val="36"/>
          <w:szCs w:val="36"/>
          <w:highlight w:val="none"/>
        </w:rPr>
      </w:pPr>
    </w:p>
    <w:p w14:paraId="2BCD9ACA">
      <w:pPr>
        <w:adjustRightInd w:val="0"/>
        <w:snapToGrid w:val="0"/>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廉 政 合 同</w:t>
      </w:r>
    </w:p>
    <w:p w14:paraId="5BB77A27">
      <w:pPr>
        <w:adjustRightInd w:val="0"/>
        <w:snapToGrid w:val="0"/>
        <w:spacing w:line="360" w:lineRule="auto"/>
        <w:ind w:firstLine="482" w:firstLineChars="200"/>
        <w:jc w:val="left"/>
        <w:rPr>
          <w:rFonts w:ascii="宋体" w:hAnsi="宋体" w:cs="仿宋"/>
          <w:b/>
          <w:color w:val="auto"/>
          <w:sz w:val="24"/>
          <w:highlight w:val="none"/>
        </w:rPr>
      </w:pPr>
    </w:p>
    <w:p w14:paraId="1A1B266C">
      <w:pPr>
        <w:adjustRightInd w:val="0"/>
        <w:snapToGrid w:val="0"/>
        <w:spacing w:line="360" w:lineRule="auto"/>
        <w:ind w:firstLine="482" w:firstLineChars="200"/>
        <w:jc w:val="left"/>
        <w:rPr>
          <w:rFonts w:ascii="宋体" w:hAnsi="宋体" w:cs="仿宋"/>
          <w:b/>
          <w:color w:val="auto"/>
          <w:sz w:val="24"/>
          <w:highlight w:val="none"/>
        </w:rPr>
      </w:pPr>
      <w:r>
        <w:rPr>
          <w:rFonts w:hint="eastAsia" w:ascii="宋体" w:hAnsi="宋体" w:cs="仿宋"/>
          <w:b/>
          <w:color w:val="auto"/>
          <w:sz w:val="24"/>
          <w:highlight w:val="none"/>
        </w:rPr>
        <w:t>一、甲、乙双方的权利和义务</w:t>
      </w:r>
    </w:p>
    <w:p w14:paraId="186332D4">
      <w:pPr>
        <w:adjustRightInd w:val="0"/>
        <w:snapToGrid w:val="0"/>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1．甲、乙双方应严格遵守党的政策规定和国家有关法律法规。</w:t>
      </w:r>
    </w:p>
    <w:p w14:paraId="60A835BC">
      <w:pPr>
        <w:adjustRightInd w:val="0"/>
        <w:snapToGrid w:val="0"/>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2．甲、乙双方应严格执行项目的合同文件，自觉按合同办事。</w:t>
      </w:r>
    </w:p>
    <w:p w14:paraId="09E491D4">
      <w:pPr>
        <w:adjustRightInd w:val="0"/>
        <w:snapToGrid w:val="0"/>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3．甲、乙双方的业务活动应坚持公开、公平、公正、诚信、透明的原则。</w:t>
      </w:r>
    </w:p>
    <w:p w14:paraId="3CCB717A">
      <w:pPr>
        <w:adjustRightInd w:val="0"/>
        <w:snapToGrid w:val="0"/>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4．甲、乙双方不得以任何理由向对方工作人员行贿或馈赠礼金、有价证券、贵重礼品。不得在对方报销任何应由个人支付的费用。</w:t>
      </w:r>
    </w:p>
    <w:p w14:paraId="0C73F666">
      <w:pPr>
        <w:adjustRightInd w:val="0"/>
        <w:snapToGrid w:val="0"/>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5．甲、乙双方不得以任何理由违反廉洁自律的有关规定。</w:t>
      </w:r>
    </w:p>
    <w:p w14:paraId="09444F43">
      <w:pPr>
        <w:adjustRightInd w:val="0"/>
        <w:snapToGrid w:val="0"/>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6．甲、乙双方发现对方严重违反本合同条款的行为，有及时提醒对方、向其上级有关部门举报、建议给予处理并要求告知处理结果的权利。</w:t>
      </w:r>
    </w:p>
    <w:p w14:paraId="2F6E1F64">
      <w:pPr>
        <w:adjustRightInd w:val="0"/>
        <w:snapToGrid w:val="0"/>
        <w:spacing w:line="360" w:lineRule="auto"/>
        <w:ind w:firstLine="482" w:firstLineChars="200"/>
        <w:jc w:val="left"/>
        <w:rPr>
          <w:rFonts w:ascii="宋体" w:hAnsi="宋体" w:cs="仿宋"/>
          <w:b/>
          <w:color w:val="auto"/>
          <w:sz w:val="24"/>
          <w:highlight w:val="none"/>
        </w:rPr>
      </w:pPr>
      <w:r>
        <w:rPr>
          <w:rFonts w:hint="eastAsia" w:ascii="宋体" w:hAnsi="宋体" w:cs="仿宋"/>
          <w:b/>
          <w:color w:val="auto"/>
          <w:sz w:val="24"/>
          <w:highlight w:val="none"/>
        </w:rPr>
        <w:t>二、违约责任</w:t>
      </w:r>
    </w:p>
    <w:p w14:paraId="1F73EB35">
      <w:pPr>
        <w:adjustRightInd w:val="0"/>
        <w:snapToGrid w:val="0"/>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1．甲、乙双方及其工作人员违反本合同有关规定的，按管理权限，依据有关规定给予经济处罚或追究党纪政纪责任；涉嫌犯罪的，移交司法机关追究刑事责任；给双方单位造成经济损失的，应予以赔偿。</w:t>
      </w:r>
    </w:p>
    <w:p w14:paraId="303678E8">
      <w:pPr>
        <w:adjustRightInd w:val="0"/>
        <w:snapToGrid w:val="0"/>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2．本合同一式</w:t>
      </w:r>
      <w:r>
        <w:rPr>
          <w:rFonts w:hint="eastAsia" w:ascii="宋体" w:hAnsi="宋体" w:cs="仿宋"/>
          <w:color w:val="auto"/>
          <w:sz w:val="24"/>
          <w:highlight w:val="none"/>
          <w:u w:val="single"/>
        </w:rPr>
        <w:t xml:space="preserve"> 肆 </w:t>
      </w:r>
      <w:r>
        <w:rPr>
          <w:rFonts w:hint="eastAsia" w:ascii="宋体" w:hAnsi="宋体" w:cs="仿宋"/>
          <w:color w:val="auto"/>
          <w:sz w:val="24"/>
          <w:highlight w:val="none"/>
        </w:rPr>
        <w:t>份，由甲、乙双方各执</w:t>
      </w:r>
      <w:r>
        <w:rPr>
          <w:rFonts w:hint="eastAsia" w:ascii="宋体" w:hAnsi="宋体" w:cs="仿宋"/>
          <w:color w:val="auto"/>
          <w:sz w:val="24"/>
          <w:highlight w:val="none"/>
          <w:u w:val="single"/>
        </w:rPr>
        <w:t xml:space="preserve"> 贰 </w:t>
      </w:r>
      <w:r>
        <w:rPr>
          <w:rFonts w:hint="eastAsia" w:ascii="宋体" w:hAnsi="宋体" w:cs="仿宋"/>
          <w:color w:val="auto"/>
          <w:sz w:val="24"/>
          <w:highlight w:val="none"/>
        </w:rPr>
        <w:t>份。</w:t>
      </w:r>
    </w:p>
    <w:p w14:paraId="0D2DBEE8">
      <w:pPr>
        <w:adjustRightInd w:val="0"/>
        <w:snapToGrid w:val="0"/>
        <w:spacing w:line="360" w:lineRule="auto"/>
        <w:ind w:firstLine="480" w:firstLineChars="200"/>
        <w:jc w:val="left"/>
        <w:rPr>
          <w:rFonts w:ascii="宋体" w:hAnsi="宋体" w:cs="仿宋"/>
          <w:color w:val="auto"/>
          <w:sz w:val="24"/>
          <w:highlight w:val="none"/>
        </w:rPr>
      </w:pPr>
    </w:p>
    <w:p w14:paraId="4587A61C">
      <w:pPr>
        <w:adjustRightInd w:val="0"/>
        <w:snapToGrid w:val="0"/>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甲方单位（盖章）：                 乙方单位（盖章）：</w:t>
      </w:r>
    </w:p>
    <w:p w14:paraId="321ED079">
      <w:pPr>
        <w:adjustRightInd w:val="0"/>
        <w:snapToGrid w:val="0"/>
        <w:spacing w:line="360" w:lineRule="auto"/>
        <w:ind w:firstLine="480" w:firstLineChars="200"/>
        <w:jc w:val="left"/>
        <w:rPr>
          <w:rFonts w:ascii="宋体" w:hAnsi="宋体" w:cs="仿宋"/>
          <w:color w:val="auto"/>
          <w:sz w:val="24"/>
          <w:highlight w:val="none"/>
        </w:rPr>
      </w:pPr>
    </w:p>
    <w:p w14:paraId="60A16F70">
      <w:pPr>
        <w:adjustRightInd w:val="0"/>
        <w:snapToGrid w:val="0"/>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法定代表人：                      法定代表人：</w:t>
      </w:r>
    </w:p>
    <w:p w14:paraId="06057AB1">
      <w:pPr>
        <w:adjustRightInd w:val="0"/>
        <w:snapToGrid w:val="0"/>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 xml:space="preserve">         </w:t>
      </w:r>
    </w:p>
    <w:p w14:paraId="61C70C6D">
      <w:pPr>
        <w:adjustRightInd w:val="0"/>
        <w:snapToGrid w:val="0"/>
        <w:spacing w:line="360" w:lineRule="auto"/>
        <w:ind w:firstLine="480" w:firstLineChars="200"/>
        <w:jc w:val="left"/>
        <w:rPr>
          <w:rFonts w:ascii="宋体" w:hAnsi="宋体" w:cs="仿宋"/>
          <w:color w:val="auto"/>
          <w:sz w:val="24"/>
          <w:highlight w:val="none"/>
        </w:rPr>
      </w:pPr>
    </w:p>
    <w:p w14:paraId="3CBD0B11">
      <w:pPr>
        <w:adjustRightInd w:val="0"/>
        <w:snapToGrid w:val="0"/>
        <w:spacing w:line="360" w:lineRule="auto"/>
        <w:ind w:firstLine="480" w:firstLineChars="200"/>
        <w:jc w:val="left"/>
        <w:rPr>
          <w:rFonts w:ascii="宋体" w:hAnsi="宋体" w:cs="仿宋"/>
          <w:color w:val="auto"/>
          <w:kern w:val="0"/>
          <w:sz w:val="24"/>
          <w:highlight w:val="none"/>
        </w:rPr>
      </w:pPr>
      <w:r>
        <w:rPr>
          <w:rFonts w:hint="eastAsia" w:ascii="宋体" w:hAnsi="宋体" w:cs="仿宋"/>
          <w:color w:val="auto"/>
          <w:kern w:val="0"/>
          <w:sz w:val="24"/>
          <w:highlight w:val="none"/>
        </w:rPr>
        <w:t>年   月   日                    年   月   日</w:t>
      </w:r>
    </w:p>
    <w:p w14:paraId="6A1802E8">
      <w:pPr>
        <w:rPr>
          <w:rFonts w:ascii="宋体" w:hAnsi="宋体"/>
          <w:color w:val="auto"/>
          <w:highlight w:val="none"/>
        </w:rPr>
      </w:pPr>
    </w:p>
    <w:p w14:paraId="678823BC">
      <w:pPr>
        <w:rPr>
          <w:rFonts w:ascii="宋体" w:hAnsi="宋体"/>
          <w:color w:val="auto"/>
          <w:highlight w:val="none"/>
        </w:rPr>
      </w:pPr>
    </w:p>
    <w:p w14:paraId="0F51A3D4">
      <w:pPr>
        <w:rPr>
          <w:rFonts w:ascii="宋体" w:hAnsi="宋体"/>
          <w:color w:val="auto"/>
          <w:highlight w:val="none"/>
        </w:rPr>
      </w:pPr>
    </w:p>
    <w:p w14:paraId="439DB080">
      <w:pPr>
        <w:rPr>
          <w:rFonts w:ascii="宋体" w:hAnsi="宋体"/>
          <w:color w:val="auto"/>
          <w:highlight w:val="none"/>
        </w:rPr>
      </w:pPr>
    </w:p>
    <w:p w14:paraId="4B9F59BA">
      <w:pPr>
        <w:rPr>
          <w:rFonts w:ascii="宋体" w:hAnsi="宋体"/>
          <w:color w:val="auto"/>
          <w:highlight w:val="none"/>
        </w:rPr>
      </w:pPr>
    </w:p>
    <w:p w14:paraId="715E2BAF">
      <w:pPr>
        <w:rPr>
          <w:rFonts w:ascii="宋体" w:hAnsi="宋体"/>
          <w:color w:val="auto"/>
          <w:highlight w:val="none"/>
        </w:rPr>
      </w:pPr>
    </w:p>
    <w:p w14:paraId="40ABB112">
      <w:pPr>
        <w:rPr>
          <w:rFonts w:ascii="宋体" w:hAnsi="宋体"/>
          <w:color w:val="auto"/>
          <w:highlight w:val="none"/>
        </w:rPr>
      </w:pPr>
    </w:p>
    <w:p w14:paraId="0DFE8DAB">
      <w:pPr>
        <w:rPr>
          <w:rFonts w:ascii="宋体" w:hAnsi="宋体"/>
          <w:color w:val="auto"/>
          <w:highlight w:val="none"/>
        </w:rPr>
      </w:pPr>
    </w:p>
    <w:p w14:paraId="67AFDC41">
      <w:pPr>
        <w:rPr>
          <w:rFonts w:ascii="宋体" w:hAnsi="宋体"/>
          <w:color w:val="auto"/>
          <w:highlight w:val="none"/>
        </w:rPr>
      </w:pPr>
    </w:p>
    <w:p w14:paraId="3D85FFAD">
      <w:pPr>
        <w:spacing w:line="440" w:lineRule="exact"/>
        <w:rPr>
          <w:rFonts w:ascii="宋体" w:hAnsi="宋体" w:cs="宋体"/>
          <w:b/>
          <w:color w:val="auto"/>
          <w:sz w:val="24"/>
          <w:highlight w:val="none"/>
        </w:rPr>
      </w:pPr>
      <w:r>
        <w:rPr>
          <w:rFonts w:hint="eastAsia" w:ascii="宋体" w:hAnsi="宋体" w:cs="宋体"/>
          <w:b/>
          <w:color w:val="auto"/>
          <w:sz w:val="24"/>
          <w:highlight w:val="none"/>
        </w:rPr>
        <w:t>附件一：承诺书</w:t>
      </w:r>
    </w:p>
    <w:p w14:paraId="53FA7619">
      <w:pPr>
        <w:spacing w:line="420" w:lineRule="exact"/>
        <w:jc w:val="center"/>
        <w:rPr>
          <w:rFonts w:ascii="宋体" w:hAnsi="宋体" w:cs="宋体"/>
          <w:color w:val="auto"/>
          <w:sz w:val="24"/>
          <w:highlight w:val="none"/>
        </w:rPr>
      </w:pPr>
    </w:p>
    <w:p w14:paraId="12B8667F">
      <w:pPr>
        <w:spacing w:line="420" w:lineRule="exact"/>
        <w:jc w:val="center"/>
        <w:rPr>
          <w:rFonts w:ascii="宋体" w:hAnsi="宋体" w:cs="宋体"/>
          <w:b/>
          <w:bCs/>
          <w:color w:val="auto"/>
          <w:sz w:val="24"/>
          <w:highlight w:val="none"/>
        </w:rPr>
      </w:pPr>
      <w:r>
        <w:rPr>
          <w:rFonts w:hint="eastAsia" w:ascii="宋体" w:hAnsi="宋体" w:cs="宋体"/>
          <w:b/>
          <w:bCs/>
          <w:color w:val="auto"/>
          <w:sz w:val="24"/>
          <w:highlight w:val="none"/>
        </w:rPr>
        <w:t>承 诺 书</w:t>
      </w:r>
    </w:p>
    <w:p w14:paraId="799F1E5A">
      <w:pPr>
        <w:widowControl/>
        <w:overflowPunct w:val="0"/>
        <w:autoSpaceDE w:val="0"/>
        <w:autoSpaceDN w:val="0"/>
        <w:adjustRightInd w:val="0"/>
        <w:snapToGrid w:val="0"/>
        <w:spacing w:before="160" w:line="440" w:lineRule="exact"/>
        <w:ind w:firstLine="480" w:firstLineChars="200"/>
        <w:jc w:val="left"/>
        <w:textAlignment w:val="baseline"/>
        <w:rPr>
          <w:rFonts w:ascii="宋体" w:hAnsi="宋体" w:cs="宋体"/>
          <w:color w:val="auto"/>
          <w:kern w:val="0"/>
          <w:sz w:val="24"/>
          <w:highlight w:val="none"/>
        </w:rPr>
      </w:pPr>
    </w:p>
    <w:p w14:paraId="5BCC3DF4">
      <w:pPr>
        <w:widowControl/>
        <w:overflowPunct w:val="0"/>
        <w:autoSpaceDE w:val="0"/>
        <w:autoSpaceDN w:val="0"/>
        <w:adjustRightInd w:val="0"/>
        <w:snapToGrid w:val="0"/>
        <w:spacing w:before="160" w:line="440" w:lineRule="exact"/>
        <w:ind w:firstLine="480" w:firstLineChars="200"/>
        <w:jc w:val="left"/>
        <w:textAlignment w:val="baseline"/>
        <w:rPr>
          <w:rFonts w:ascii="宋体" w:hAnsi="宋体" w:cs="宋体"/>
          <w:color w:val="auto"/>
          <w:kern w:val="0"/>
          <w:sz w:val="24"/>
          <w:highlight w:val="none"/>
        </w:rPr>
      </w:pPr>
      <w:r>
        <w:rPr>
          <w:rFonts w:hint="eastAsia" w:ascii="宋体" w:hAnsi="宋体" w:cs="宋体"/>
          <w:color w:val="auto"/>
          <w:kern w:val="0"/>
          <w:sz w:val="24"/>
          <w:highlight w:val="none"/>
        </w:rPr>
        <w:t>兹有</w:t>
      </w:r>
      <w:r>
        <w:rPr>
          <w:rFonts w:hint="eastAsia" w:ascii="宋体" w:hAnsi="宋体" w:cs="宋体"/>
          <w:color w:val="auto"/>
          <w:kern w:val="0"/>
          <w:sz w:val="24"/>
          <w:highlight w:val="none"/>
          <w:u w:val="single"/>
        </w:rPr>
        <w:t xml:space="preserve">     （供应商）     </w:t>
      </w:r>
      <w:r>
        <w:rPr>
          <w:rFonts w:hint="eastAsia" w:ascii="宋体" w:hAnsi="宋体" w:cs="宋体"/>
          <w:color w:val="auto"/>
          <w:kern w:val="0"/>
          <w:sz w:val="24"/>
          <w:highlight w:val="none"/>
        </w:rPr>
        <w:t>公司参加</w:t>
      </w:r>
      <w:r>
        <w:rPr>
          <w:rFonts w:hint="eastAsia" w:ascii="宋体" w:hAnsi="宋体" w:cs="宋体"/>
          <w:color w:val="auto"/>
          <w:kern w:val="0"/>
          <w:sz w:val="24"/>
          <w:highlight w:val="none"/>
          <w:u w:val="single"/>
          <w:lang w:val="en-US" w:eastAsia="zh-CN"/>
        </w:rPr>
        <w:t xml:space="preserve">            项目</w:t>
      </w:r>
      <w:r>
        <w:rPr>
          <w:rFonts w:hint="eastAsia" w:ascii="宋体" w:hAnsi="宋体" w:cs="宋体"/>
          <w:color w:val="auto"/>
          <w:kern w:val="0"/>
          <w:sz w:val="24"/>
          <w:highlight w:val="none"/>
        </w:rPr>
        <w:t>在线询价报价，我公司参与报价时严格按照采购人商务文件等要求，符合且按采购人要求提供</w:t>
      </w:r>
      <w:r>
        <w:rPr>
          <w:rFonts w:hint="eastAsia" w:ascii="宋体" w:hAnsi="宋体" w:cs="宋体"/>
          <w:color w:val="auto"/>
          <w:sz w:val="24"/>
          <w:highlight w:val="none"/>
          <w:u w:val="single"/>
        </w:rPr>
        <w:t xml:space="preserve"> 营业执照、承诺书、报价一览表 </w:t>
      </w:r>
      <w:r>
        <w:rPr>
          <w:rFonts w:hint="eastAsia" w:ascii="宋体" w:hAnsi="宋体" w:cs="宋体"/>
          <w:color w:val="auto"/>
          <w:sz w:val="24"/>
          <w:highlight w:val="none"/>
        </w:rPr>
        <w:t>等资料</w:t>
      </w:r>
      <w:r>
        <w:rPr>
          <w:rFonts w:hint="eastAsia" w:ascii="宋体" w:hAnsi="宋体" w:cs="宋体"/>
          <w:color w:val="auto"/>
          <w:kern w:val="0"/>
          <w:sz w:val="24"/>
          <w:highlight w:val="none"/>
        </w:rPr>
        <w:t>。</w:t>
      </w:r>
    </w:p>
    <w:p w14:paraId="1210D930">
      <w:pPr>
        <w:widowControl/>
        <w:overflowPunct w:val="0"/>
        <w:autoSpaceDE w:val="0"/>
        <w:autoSpaceDN w:val="0"/>
        <w:adjustRightInd w:val="0"/>
        <w:snapToGrid w:val="0"/>
        <w:spacing w:before="160" w:line="440" w:lineRule="exact"/>
        <w:ind w:firstLine="480" w:firstLineChars="200"/>
        <w:jc w:val="left"/>
        <w:textAlignment w:val="baseline"/>
        <w:rPr>
          <w:rFonts w:ascii="宋体" w:hAnsi="宋体" w:cs="宋体"/>
          <w:color w:val="auto"/>
          <w:kern w:val="0"/>
          <w:sz w:val="24"/>
          <w:highlight w:val="none"/>
        </w:rPr>
      </w:pPr>
      <w:r>
        <w:rPr>
          <w:rFonts w:hint="eastAsia" w:ascii="宋体" w:hAnsi="宋体" w:cs="宋体"/>
          <w:color w:val="auto"/>
          <w:kern w:val="0"/>
          <w:sz w:val="24"/>
          <w:highlight w:val="none"/>
        </w:rPr>
        <w:t>我公司承诺以上资料真实有效，符合采购人要求并加盖公章，若存在我方弄虚作假、所提供的资料不符合采购人要求（实质性材料内容不符合采购需求、未上传或上传不齐全所须采购需求）、系统或纸质报价错误，且采购系统自动成交中标的情形，我方同意并认可采购人进行取消我方中标资格，取消双方订单，不予签订合同等行为，由此引起的一切法律责任与经济纠纷由本公司承担。</w:t>
      </w:r>
    </w:p>
    <w:p w14:paraId="344F4794">
      <w:pPr>
        <w:spacing w:line="440" w:lineRule="exact"/>
        <w:jc w:val="left"/>
        <w:rPr>
          <w:rFonts w:ascii="宋体" w:hAnsi="宋体" w:cs="宋体"/>
          <w:color w:val="auto"/>
          <w:sz w:val="24"/>
          <w:highlight w:val="none"/>
        </w:rPr>
      </w:pPr>
    </w:p>
    <w:p w14:paraId="4164A2F0">
      <w:pPr>
        <w:spacing w:line="440" w:lineRule="exact"/>
        <w:jc w:val="left"/>
        <w:rPr>
          <w:rFonts w:ascii="宋体" w:hAnsi="宋体" w:cs="宋体"/>
          <w:color w:val="auto"/>
          <w:sz w:val="24"/>
          <w:highlight w:val="none"/>
        </w:rPr>
      </w:pPr>
    </w:p>
    <w:p w14:paraId="68251C27">
      <w:pPr>
        <w:spacing w:line="440" w:lineRule="exact"/>
        <w:jc w:val="left"/>
        <w:rPr>
          <w:rFonts w:ascii="宋体" w:hAnsi="宋体" w:cs="宋体"/>
          <w:color w:val="auto"/>
          <w:kern w:val="0"/>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rPr>
        <w:t>承诺人（盖公章）：_________________</w:t>
      </w:r>
    </w:p>
    <w:p w14:paraId="7B0AC976">
      <w:pPr>
        <w:spacing w:line="440" w:lineRule="exact"/>
        <w:jc w:val="left"/>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rPr>
        <w:t xml:space="preserve"> 2024 </w:t>
      </w:r>
      <w:r>
        <w:rPr>
          <w:rFonts w:hint="eastAsia" w:ascii="宋体" w:hAnsi="宋体" w:cs="宋体"/>
          <w:color w:val="auto"/>
          <w:kern w:val="0"/>
          <w:sz w:val="24"/>
          <w:highlight w:val="none"/>
        </w:rPr>
        <w:t>年_____月_____日</w:t>
      </w:r>
    </w:p>
    <w:p w14:paraId="5700DED8">
      <w:pPr>
        <w:rPr>
          <w:rFonts w:ascii="宋体" w:hAnsi="宋体" w:cs="宋体"/>
          <w:color w:val="auto"/>
          <w:sz w:val="24"/>
          <w:highlight w:val="none"/>
        </w:rPr>
      </w:pPr>
    </w:p>
    <w:p w14:paraId="39493AD6">
      <w:pPr>
        <w:spacing w:after="120"/>
        <w:rPr>
          <w:rFonts w:ascii="宋体" w:hAnsi="宋体" w:cs="宋体"/>
          <w:color w:val="auto"/>
          <w:sz w:val="24"/>
          <w:highlight w:val="none"/>
        </w:rPr>
      </w:pPr>
    </w:p>
    <w:p w14:paraId="4DEB057B">
      <w:pPr>
        <w:rPr>
          <w:rFonts w:ascii="宋体" w:hAnsi="宋体" w:cs="宋体"/>
          <w:color w:val="auto"/>
          <w:sz w:val="24"/>
          <w:highlight w:val="none"/>
        </w:rPr>
      </w:pPr>
    </w:p>
    <w:p w14:paraId="03676235">
      <w:pPr>
        <w:spacing w:after="120"/>
        <w:rPr>
          <w:rFonts w:ascii="宋体" w:hAnsi="宋体" w:cs="宋体"/>
          <w:color w:val="auto"/>
          <w:sz w:val="24"/>
          <w:highlight w:val="none"/>
        </w:rPr>
      </w:pPr>
    </w:p>
    <w:p w14:paraId="6B628CBF">
      <w:pPr>
        <w:spacing w:after="120"/>
        <w:ind w:firstLine="240" w:firstLineChars="100"/>
        <w:rPr>
          <w:rFonts w:ascii="宋体" w:hAnsi="宋体" w:cs="宋体"/>
          <w:color w:val="auto"/>
          <w:sz w:val="24"/>
          <w:highlight w:val="none"/>
        </w:rPr>
      </w:pPr>
    </w:p>
    <w:p w14:paraId="2A1334CD">
      <w:pPr>
        <w:rPr>
          <w:rFonts w:ascii="宋体" w:hAnsi="宋体" w:cs="宋体"/>
          <w:color w:val="auto"/>
          <w:sz w:val="24"/>
          <w:highlight w:val="none"/>
        </w:rPr>
      </w:pPr>
    </w:p>
    <w:p w14:paraId="5A5659EB">
      <w:pPr>
        <w:spacing w:after="120"/>
        <w:rPr>
          <w:rFonts w:ascii="宋体" w:hAnsi="宋体" w:cs="宋体"/>
          <w:color w:val="auto"/>
          <w:sz w:val="24"/>
          <w:highlight w:val="none"/>
        </w:rPr>
      </w:pPr>
    </w:p>
    <w:p w14:paraId="30C46AA1">
      <w:pPr>
        <w:spacing w:after="120"/>
        <w:ind w:firstLine="240" w:firstLineChars="100"/>
        <w:rPr>
          <w:rFonts w:ascii="宋体" w:hAnsi="宋体" w:cs="宋体"/>
          <w:color w:val="auto"/>
          <w:sz w:val="24"/>
          <w:highlight w:val="none"/>
        </w:rPr>
      </w:pPr>
    </w:p>
    <w:p w14:paraId="1FF53F8A">
      <w:pPr>
        <w:spacing w:line="440" w:lineRule="exact"/>
        <w:rPr>
          <w:rFonts w:ascii="宋体" w:hAnsi="宋体" w:cs="宋体"/>
          <w:b/>
          <w:color w:val="auto"/>
          <w:sz w:val="24"/>
          <w:highlight w:val="none"/>
        </w:rPr>
      </w:pPr>
    </w:p>
    <w:p w14:paraId="2ADE4B3F">
      <w:pPr>
        <w:spacing w:line="440" w:lineRule="exact"/>
        <w:rPr>
          <w:rFonts w:ascii="宋体" w:hAnsi="宋体" w:cs="宋体"/>
          <w:b/>
          <w:color w:val="auto"/>
          <w:sz w:val="24"/>
          <w:highlight w:val="none"/>
        </w:rPr>
      </w:pPr>
    </w:p>
    <w:p w14:paraId="14B885F3">
      <w:pPr>
        <w:spacing w:line="440" w:lineRule="exact"/>
        <w:rPr>
          <w:rFonts w:ascii="宋体" w:hAnsi="宋体" w:cs="宋体"/>
          <w:b/>
          <w:color w:val="auto"/>
          <w:sz w:val="24"/>
          <w:highlight w:val="none"/>
        </w:rPr>
      </w:pPr>
    </w:p>
    <w:p w14:paraId="55348BC9">
      <w:pPr>
        <w:spacing w:line="400" w:lineRule="exact"/>
        <w:rPr>
          <w:rFonts w:ascii="宋体" w:hAnsi="宋体" w:cs="宋体"/>
          <w:b/>
          <w:color w:val="auto"/>
          <w:sz w:val="24"/>
          <w:highlight w:val="none"/>
        </w:rPr>
      </w:pPr>
    </w:p>
    <w:p w14:paraId="4C0EA1B2">
      <w:pPr>
        <w:spacing w:line="400" w:lineRule="exact"/>
        <w:rPr>
          <w:rFonts w:ascii="宋体" w:hAnsi="宋体" w:cs="宋体"/>
          <w:b/>
          <w:color w:val="auto"/>
          <w:sz w:val="24"/>
          <w:highlight w:val="none"/>
        </w:rPr>
      </w:pPr>
    </w:p>
    <w:p w14:paraId="388ECDF7">
      <w:pPr>
        <w:spacing w:line="400" w:lineRule="exact"/>
        <w:rPr>
          <w:rFonts w:ascii="宋体" w:hAnsi="宋体" w:cs="宋体"/>
          <w:b/>
          <w:color w:val="auto"/>
          <w:sz w:val="24"/>
          <w:highlight w:val="none"/>
        </w:rPr>
      </w:pPr>
    </w:p>
    <w:p w14:paraId="3C7F34EE">
      <w:pPr>
        <w:spacing w:line="400" w:lineRule="exact"/>
        <w:rPr>
          <w:rFonts w:ascii="宋体" w:hAnsi="宋体" w:cs="宋体"/>
          <w:b/>
          <w:color w:val="auto"/>
          <w:sz w:val="24"/>
          <w:highlight w:val="none"/>
        </w:rPr>
      </w:pPr>
    </w:p>
    <w:p w14:paraId="598CB7AB">
      <w:pPr>
        <w:spacing w:line="400" w:lineRule="exact"/>
        <w:rPr>
          <w:rFonts w:ascii="宋体" w:hAnsi="宋体" w:cs="宋体"/>
          <w:b/>
          <w:color w:val="auto"/>
          <w:sz w:val="24"/>
          <w:highlight w:val="none"/>
        </w:rPr>
      </w:pPr>
    </w:p>
    <w:p w14:paraId="0D366268">
      <w:pPr>
        <w:spacing w:line="400" w:lineRule="exact"/>
        <w:rPr>
          <w:rFonts w:ascii="宋体" w:hAnsi="宋体" w:cs="宋体"/>
          <w:b/>
          <w:color w:val="auto"/>
          <w:sz w:val="24"/>
          <w:highlight w:val="none"/>
        </w:rPr>
      </w:pPr>
      <w:r>
        <w:rPr>
          <w:rFonts w:hint="eastAsia" w:ascii="宋体" w:hAnsi="宋体" w:cs="宋体"/>
          <w:b/>
          <w:color w:val="auto"/>
          <w:sz w:val="24"/>
          <w:highlight w:val="none"/>
        </w:rPr>
        <w:t>附件：报价一览表</w:t>
      </w:r>
    </w:p>
    <w:p w14:paraId="60BB324F">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报价一览表</w:t>
      </w:r>
    </w:p>
    <w:p w14:paraId="563727DB">
      <w:pPr>
        <w:widowControl/>
        <w:overflowPunct w:val="0"/>
        <w:autoSpaceDE w:val="0"/>
        <w:autoSpaceDN w:val="0"/>
        <w:adjustRightInd w:val="0"/>
        <w:snapToGrid w:val="0"/>
        <w:spacing w:line="400" w:lineRule="exact"/>
        <w:jc w:val="left"/>
        <w:textAlignment w:val="baseline"/>
        <w:rPr>
          <w:rFonts w:ascii="宋体" w:hAnsi="宋体" w:cs="宋体"/>
          <w:color w:val="auto"/>
          <w:kern w:val="0"/>
          <w:sz w:val="24"/>
          <w:highlight w:val="none"/>
        </w:rPr>
      </w:pPr>
      <w:r>
        <w:rPr>
          <w:rFonts w:hint="eastAsia" w:ascii="宋体" w:hAnsi="宋体" w:cs="宋体"/>
          <w:color w:val="auto"/>
          <w:kern w:val="0"/>
          <w:sz w:val="24"/>
          <w:highlight w:val="none"/>
        </w:rPr>
        <w:t>项目名称：北支江（亚运）旅游集散中心建设项目-东梓关旅游码头</w:t>
      </w:r>
      <w:r>
        <w:rPr>
          <w:rFonts w:hint="eastAsia" w:ascii="宋体" w:hAnsi="宋体" w:cs="宋体"/>
          <w:color w:val="auto"/>
          <w:kern w:val="0"/>
          <w:sz w:val="24"/>
          <w:highlight w:val="none"/>
          <w:lang w:eastAsia="zh-CN"/>
        </w:rPr>
        <w:t>、北支江（亚运）旅游集散中心建设项目-桐洲岛旅游码头工程</w:t>
      </w:r>
      <w:r>
        <w:rPr>
          <w:rFonts w:hint="eastAsia" w:ascii="宋体" w:hAnsi="宋体" w:cs="宋体"/>
          <w:color w:val="auto"/>
          <w:kern w:val="0"/>
          <w:sz w:val="24"/>
          <w:highlight w:val="none"/>
          <w:lang w:val="en-US" w:eastAsia="zh-CN"/>
        </w:rPr>
        <w:t>环保验收</w:t>
      </w:r>
    </w:p>
    <w:tbl>
      <w:tblPr>
        <w:tblStyle w:val="9"/>
        <w:tblW w:w="9233" w:type="dxa"/>
        <w:tblInd w:w="-471" w:type="dxa"/>
        <w:tblLayout w:type="fixed"/>
        <w:tblCellMar>
          <w:top w:w="0" w:type="dxa"/>
          <w:left w:w="0" w:type="dxa"/>
          <w:bottom w:w="0" w:type="dxa"/>
          <w:right w:w="0" w:type="dxa"/>
        </w:tblCellMar>
      </w:tblPr>
      <w:tblGrid>
        <w:gridCol w:w="590"/>
        <w:gridCol w:w="2771"/>
        <w:gridCol w:w="1463"/>
        <w:gridCol w:w="1766"/>
        <w:gridCol w:w="1746"/>
        <w:gridCol w:w="897"/>
      </w:tblGrid>
      <w:tr w14:paraId="645C289B">
        <w:tblPrEx>
          <w:tblCellMar>
            <w:top w:w="0" w:type="dxa"/>
            <w:left w:w="0" w:type="dxa"/>
            <w:bottom w:w="0" w:type="dxa"/>
            <w:right w:w="0" w:type="dxa"/>
          </w:tblCellMar>
        </w:tblPrEx>
        <w:trPr>
          <w:trHeight w:val="867" w:hRule="exact"/>
        </w:trPr>
        <w:tc>
          <w:tcPr>
            <w:tcW w:w="590" w:type="dxa"/>
            <w:tcBorders>
              <w:top w:val="single" w:color="000000" w:sz="4" w:space="0"/>
              <w:left w:val="single" w:color="000000" w:sz="4" w:space="0"/>
              <w:bottom w:val="single" w:color="000000" w:sz="4" w:space="0"/>
              <w:right w:val="single" w:color="000000" w:sz="4" w:space="0"/>
            </w:tcBorders>
            <w:vAlign w:val="center"/>
          </w:tcPr>
          <w:p w14:paraId="2F0779B4">
            <w:pPr>
              <w:jc w:val="center"/>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2771" w:type="dxa"/>
            <w:tcBorders>
              <w:top w:val="single" w:color="000000" w:sz="4" w:space="0"/>
              <w:left w:val="single" w:color="000000" w:sz="4" w:space="0"/>
              <w:bottom w:val="single" w:color="000000" w:sz="4" w:space="0"/>
              <w:right w:val="single" w:color="000000" w:sz="4" w:space="0"/>
            </w:tcBorders>
            <w:vAlign w:val="center"/>
          </w:tcPr>
          <w:p w14:paraId="589F998F">
            <w:pPr>
              <w:jc w:val="center"/>
              <w:rPr>
                <w:rFonts w:ascii="宋体" w:hAnsi="宋体" w:cs="宋体"/>
                <w:color w:val="auto"/>
                <w:sz w:val="21"/>
                <w:szCs w:val="21"/>
                <w:highlight w:val="none"/>
              </w:rPr>
            </w:pPr>
            <w:r>
              <w:rPr>
                <w:rFonts w:hint="eastAsia" w:ascii="宋体" w:hAnsi="宋体" w:cs="宋体"/>
                <w:color w:val="auto"/>
                <w:sz w:val="21"/>
                <w:szCs w:val="21"/>
                <w:highlight w:val="none"/>
              </w:rPr>
              <w:t>项目名称</w:t>
            </w:r>
          </w:p>
        </w:tc>
        <w:tc>
          <w:tcPr>
            <w:tcW w:w="1463" w:type="dxa"/>
            <w:tcBorders>
              <w:top w:val="single" w:color="000000" w:sz="4" w:space="0"/>
              <w:left w:val="single" w:color="000000" w:sz="4" w:space="0"/>
              <w:bottom w:val="single" w:color="000000" w:sz="4" w:space="0"/>
              <w:right w:val="single" w:color="auto" w:sz="4" w:space="0"/>
            </w:tcBorders>
            <w:vAlign w:val="center"/>
          </w:tcPr>
          <w:p w14:paraId="7C5457B9">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最高限价</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元</w:t>
            </w:r>
            <w:r>
              <w:rPr>
                <w:rFonts w:hint="eastAsia" w:ascii="宋体" w:hAnsi="宋体" w:cs="宋体"/>
                <w:color w:val="auto"/>
                <w:sz w:val="21"/>
                <w:szCs w:val="21"/>
                <w:highlight w:val="none"/>
                <w:lang w:eastAsia="zh-CN"/>
              </w:rPr>
              <w:t>）</w:t>
            </w:r>
          </w:p>
        </w:tc>
        <w:tc>
          <w:tcPr>
            <w:tcW w:w="1766" w:type="dxa"/>
            <w:tcBorders>
              <w:top w:val="single" w:color="000000" w:sz="4" w:space="0"/>
              <w:left w:val="single" w:color="auto" w:sz="4" w:space="0"/>
              <w:bottom w:val="single" w:color="000000" w:sz="4" w:space="0"/>
              <w:right w:val="single" w:color="000000" w:sz="4" w:space="0"/>
            </w:tcBorders>
            <w:vAlign w:val="center"/>
          </w:tcPr>
          <w:p w14:paraId="27C9F951">
            <w:pPr>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投标折扣</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w:t>
            </w:r>
          </w:p>
        </w:tc>
        <w:tc>
          <w:tcPr>
            <w:tcW w:w="1746" w:type="dxa"/>
            <w:tcBorders>
              <w:top w:val="single" w:color="000000" w:sz="4" w:space="0"/>
              <w:left w:val="single" w:color="000000" w:sz="4" w:space="0"/>
              <w:bottom w:val="single" w:color="000000" w:sz="4" w:space="0"/>
              <w:right w:val="single" w:color="000000" w:sz="4" w:space="0"/>
            </w:tcBorders>
            <w:vAlign w:val="center"/>
          </w:tcPr>
          <w:p w14:paraId="29DDC805">
            <w:pPr>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折扣后的</w:t>
            </w:r>
          </w:p>
          <w:p w14:paraId="21769FD6">
            <w:pPr>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投标总报价</w:t>
            </w:r>
          </w:p>
          <w:p w14:paraId="4C6567E9">
            <w:pPr>
              <w:jc w:val="center"/>
              <w:rPr>
                <w:rFonts w:ascii="宋体" w:hAnsi="宋体" w:cs="宋体"/>
                <w:color w:val="auto"/>
                <w:sz w:val="21"/>
                <w:szCs w:val="21"/>
                <w:highlight w:val="none"/>
              </w:rPr>
            </w:pPr>
            <w:r>
              <w:rPr>
                <w:rFonts w:hint="eastAsia" w:ascii="宋体" w:hAnsi="宋体" w:cs="宋体"/>
                <w:color w:val="auto"/>
                <w:sz w:val="21"/>
                <w:szCs w:val="21"/>
                <w:highlight w:val="none"/>
              </w:rPr>
              <w:t>（元）</w:t>
            </w:r>
          </w:p>
        </w:tc>
        <w:tc>
          <w:tcPr>
            <w:tcW w:w="897" w:type="dxa"/>
            <w:tcBorders>
              <w:top w:val="single" w:color="000000" w:sz="4" w:space="0"/>
              <w:left w:val="single" w:color="000000" w:sz="4" w:space="0"/>
              <w:bottom w:val="single" w:color="000000" w:sz="4" w:space="0"/>
              <w:right w:val="single" w:color="000000" w:sz="4" w:space="0"/>
            </w:tcBorders>
            <w:vAlign w:val="center"/>
          </w:tcPr>
          <w:p w14:paraId="1BA075BE">
            <w:pPr>
              <w:jc w:val="center"/>
              <w:rPr>
                <w:rFonts w:ascii="宋体" w:hAnsi="宋体" w:cs="宋体"/>
                <w:color w:val="auto"/>
                <w:sz w:val="21"/>
                <w:szCs w:val="21"/>
                <w:highlight w:val="none"/>
              </w:rPr>
            </w:pPr>
            <w:r>
              <w:rPr>
                <w:rFonts w:hint="eastAsia" w:ascii="宋体" w:hAnsi="宋体" w:cs="宋体"/>
                <w:color w:val="auto"/>
                <w:sz w:val="21"/>
                <w:szCs w:val="21"/>
                <w:highlight w:val="none"/>
              </w:rPr>
              <w:t>备注</w:t>
            </w:r>
          </w:p>
        </w:tc>
      </w:tr>
      <w:tr w14:paraId="5CAF5A69">
        <w:tblPrEx>
          <w:tblCellMar>
            <w:top w:w="0" w:type="dxa"/>
            <w:left w:w="0" w:type="dxa"/>
            <w:bottom w:w="0" w:type="dxa"/>
            <w:right w:w="0" w:type="dxa"/>
          </w:tblCellMar>
        </w:tblPrEx>
        <w:trPr>
          <w:trHeight w:val="1643" w:hRule="exact"/>
        </w:trPr>
        <w:tc>
          <w:tcPr>
            <w:tcW w:w="590" w:type="dxa"/>
            <w:tcBorders>
              <w:top w:val="single" w:color="000000" w:sz="4" w:space="0"/>
              <w:left w:val="single" w:color="000000" w:sz="4" w:space="0"/>
              <w:right w:val="single" w:color="000000" w:sz="4" w:space="0"/>
            </w:tcBorders>
            <w:vAlign w:val="center"/>
          </w:tcPr>
          <w:p w14:paraId="187F278A">
            <w:pPr>
              <w:pStyle w:val="16"/>
              <w:spacing w:before="229" w:line="184" w:lineRule="auto"/>
              <w:jc w:val="center"/>
              <w:rPr>
                <w:rFonts w:ascii="宋体" w:hAnsi="宋体" w:cs="宋体"/>
                <w:color w:val="auto"/>
                <w:sz w:val="21"/>
                <w:szCs w:val="21"/>
                <w:highlight w:val="none"/>
              </w:rPr>
            </w:pPr>
            <w:r>
              <w:rPr>
                <w:rFonts w:hint="eastAsia" w:ascii="宋体" w:hAnsi="宋体" w:eastAsia="宋体" w:cs="宋体"/>
                <w:sz w:val="21"/>
                <w:szCs w:val="21"/>
              </w:rPr>
              <w:t>1</w:t>
            </w:r>
          </w:p>
        </w:tc>
        <w:tc>
          <w:tcPr>
            <w:tcW w:w="2771" w:type="dxa"/>
            <w:tcBorders>
              <w:top w:val="single" w:color="000000" w:sz="4" w:space="0"/>
              <w:left w:val="single" w:color="000000" w:sz="4" w:space="0"/>
              <w:right w:val="single" w:color="000000" w:sz="4" w:space="0"/>
            </w:tcBorders>
            <w:vAlign w:val="center"/>
          </w:tcPr>
          <w:p w14:paraId="2CB066FB">
            <w:pPr>
              <w:bidi w:val="0"/>
              <w:jc w:val="center"/>
              <w:rPr>
                <w:rFonts w:ascii="宋体" w:hAnsi="宋体"/>
                <w:color w:val="auto"/>
                <w:sz w:val="21"/>
                <w:szCs w:val="21"/>
                <w:highlight w:val="none"/>
              </w:rPr>
            </w:pPr>
            <w:r>
              <w:rPr>
                <w:rFonts w:hint="eastAsia" w:ascii="宋体" w:hAnsi="宋体" w:cs="宋体"/>
                <w:color w:val="auto"/>
                <w:kern w:val="0"/>
                <w:sz w:val="24"/>
                <w:highlight w:val="none"/>
              </w:rPr>
              <w:t>北支江（亚运）旅游集散中心建设项目-东梓关旅游码头</w:t>
            </w:r>
            <w:r>
              <w:rPr>
                <w:rFonts w:hint="eastAsia" w:ascii="宋体" w:hAnsi="宋体" w:cs="宋体"/>
                <w:color w:val="auto"/>
                <w:kern w:val="0"/>
                <w:sz w:val="24"/>
                <w:highlight w:val="none"/>
                <w:lang w:eastAsia="zh-CN"/>
              </w:rPr>
              <w:t>、北支江（亚运）旅游集散中心建设项目-桐洲岛旅游码头工程</w:t>
            </w:r>
            <w:r>
              <w:rPr>
                <w:rFonts w:hint="eastAsia" w:ascii="宋体" w:hAnsi="宋体" w:cs="宋体"/>
                <w:color w:val="auto"/>
                <w:kern w:val="0"/>
                <w:sz w:val="24"/>
                <w:highlight w:val="none"/>
                <w:lang w:val="en-US" w:eastAsia="zh-CN"/>
              </w:rPr>
              <w:t>环保验收</w:t>
            </w:r>
          </w:p>
        </w:tc>
        <w:tc>
          <w:tcPr>
            <w:tcW w:w="1463" w:type="dxa"/>
            <w:tcBorders>
              <w:top w:val="single" w:color="000000" w:sz="4" w:space="0"/>
              <w:left w:val="single" w:color="000000" w:sz="4" w:space="0"/>
              <w:right w:val="single" w:color="auto" w:sz="4" w:space="0"/>
            </w:tcBorders>
            <w:vAlign w:val="center"/>
          </w:tcPr>
          <w:p w14:paraId="079489B4">
            <w:pPr>
              <w:spacing w:line="5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470000元</w:t>
            </w:r>
          </w:p>
        </w:tc>
        <w:tc>
          <w:tcPr>
            <w:tcW w:w="1766" w:type="dxa"/>
            <w:tcBorders>
              <w:top w:val="single" w:color="000000" w:sz="4" w:space="0"/>
              <w:left w:val="single" w:color="auto" w:sz="4" w:space="0"/>
              <w:right w:val="single" w:color="000000" w:sz="4" w:space="0"/>
            </w:tcBorders>
            <w:vAlign w:val="center"/>
          </w:tcPr>
          <w:p w14:paraId="6FC295AD">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在综合单价最高限价标准的基础上统一折扣</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tc>
        <w:tc>
          <w:tcPr>
            <w:tcW w:w="1746" w:type="dxa"/>
            <w:tcBorders>
              <w:top w:val="single" w:color="000000" w:sz="4" w:space="0"/>
              <w:left w:val="single" w:color="000000" w:sz="4" w:space="0"/>
              <w:right w:val="single" w:color="000000" w:sz="4" w:space="0"/>
            </w:tcBorders>
            <w:vAlign w:val="center"/>
          </w:tcPr>
          <w:p w14:paraId="0A6DDD58">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元</w:t>
            </w:r>
          </w:p>
        </w:tc>
        <w:tc>
          <w:tcPr>
            <w:tcW w:w="897" w:type="dxa"/>
            <w:tcBorders>
              <w:top w:val="single" w:color="000000" w:sz="4" w:space="0"/>
              <w:left w:val="single" w:color="000000" w:sz="4" w:space="0"/>
              <w:right w:val="single" w:color="000000" w:sz="4" w:space="0"/>
            </w:tcBorders>
            <w:vAlign w:val="center"/>
          </w:tcPr>
          <w:p w14:paraId="11AAEF61">
            <w:pPr>
              <w:jc w:val="center"/>
              <w:rPr>
                <w:rFonts w:ascii="宋体" w:hAnsi="宋体" w:cs="宋体"/>
                <w:color w:val="auto"/>
                <w:sz w:val="21"/>
                <w:szCs w:val="21"/>
                <w:highlight w:val="none"/>
              </w:rPr>
            </w:pPr>
          </w:p>
        </w:tc>
      </w:tr>
      <w:tr w14:paraId="0E840772">
        <w:tblPrEx>
          <w:tblCellMar>
            <w:top w:w="0" w:type="dxa"/>
            <w:left w:w="0" w:type="dxa"/>
            <w:bottom w:w="0" w:type="dxa"/>
            <w:right w:w="0" w:type="dxa"/>
          </w:tblCellMar>
        </w:tblPrEx>
        <w:trPr>
          <w:trHeight w:val="1030" w:hRule="exact"/>
        </w:trPr>
        <w:tc>
          <w:tcPr>
            <w:tcW w:w="3361" w:type="dxa"/>
            <w:gridSpan w:val="2"/>
            <w:tcBorders>
              <w:top w:val="single" w:color="000000" w:sz="4" w:space="0"/>
              <w:left w:val="single" w:color="000000" w:sz="4" w:space="0"/>
              <w:bottom w:val="single" w:color="auto" w:sz="4" w:space="0"/>
              <w:right w:val="single" w:color="auto" w:sz="4" w:space="0"/>
            </w:tcBorders>
            <w:vAlign w:val="center"/>
          </w:tcPr>
          <w:p w14:paraId="595705C3">
            <w:pPr>
              <w:jc w:val="center"/>
              <w:rPr>
                <w:rFonts w:ascii="宋体" w:hAnsi="宋体" w:cs="宋体"/>
                <w:color w:val="auto"/>
                <w:sz w:val="21"/>
                <w:szCs w:val="21"/>
                <w:highlight w:val="none"/>
              </w:rPr>
            </w:pPr>
            <w:r>
              <w:rPr>
                <w:rFonts w:hint="eastAsia" w:ascii="宋体" w:hAnsi="宋体" w:cs="宋体"/>
                <w:color w:val="auto"/>
                <w:sz w:val="21"/>
                <w:szCs w:val="21"/>
                <w:highlight w:val="none"/>
              </w:rPr>
              <w:t>服务期</w:t>
            </w:r>
          </w:p>
        </w:tc>
        <w:tc>
          <w:tcPr>
            <w:tcW w:w="5872" w:type="dxa"/>
            <w:gridSpan w:val="4"/>
            <w:tcBorders>
              <w:top w:val="single" w:color="000000" w:sz="4" w:space="0"/>
              <w:left w:val="single" w:color="auto" w:sz="4" w:space="0"/>
              <w:bottom w:val="single" w:color="000000" w:sz="4" w:space="0"/>
              <w:right w:val="single" w:color="000000" w:sz="4" w:space="0"/>
            </w:tcBorders>
            <w:vAlign w:val="center"/>
          </w:tcPr>
          <w:p w14:paraId="29E7B133">
            <w:pPr>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按业主要求</w:t>
            </w:r>
          </w:p>
        </w:tc>
      </w:tr>
    </w:tbl>
    <w:p w14:paraId="49B06565">
      <w:pPr>
        <w:spacing w:line="360" w:lineRule="auto"/>
        <w:rPr>
          <w:rFonts w:ascii="宋体" w:hAnsi="宋体" w:cs="仿宋"/>
          <w:color w:val="auto"/>
          <w:sz w:val="21"/>
          <w:szCs w:val="21"/>
          <w:highlight w:val="none"/>
        </w:rPr>
      </w:pPr>
      <w:r>
        <w:rPr>
          <w:rFonts w:hint="eastAsia" w:ascii="宋体" w:hAnsi="宋体" w:cs="仿宋"/>
          <w:color w:val="auto"/>
          <w:sz w:val="21"/>
          <w:szCs w:val="21"/>
          <w:highlight w:val="none"/>
          <w:lang w:val="zh-CN"/>
        </w:rPr>
        <w:t>注：</w:t>
      </w:r>
      <w:r>
        <w:rPr>
          <w:rFonts w:hint="eastAsia" w:ascii="宋体" w:hAnsi="宋体" w:cs="仿宋"/>
          <w:color w:val="auto"/>
          <w:sz w:val="21"/>
          <w:szCs w:val="21"/>
          <w:highlight w:val="none"/>
        </w:rPr>
        <w:t>1、</w:t>
      </w:r>
      <w:r>
        <w:rPr>
          <w:rFonts w:hint="eastAsia" w:ascii="宋体" w:hAnsi="宋体" w:cs="仿宋"/>
          <w:color w:val="auto"/>
          <w:kern w:val="0"/>
          <w:sz w:val="21"/>
          <w:szCs w:val="21"/>
          <w:highlight w:val="none"/>
          <w:lang w:val="zh-CN"/>
        </w:rPr>
        <w:t>投标人需按本表格式填写，不得自行更改，</w:t>
      </w:r>
      <w:r>
        <w:rPr>
          <w:rFonts w:hint="eastAsia" w:ascii="宋体" w:hAnsi="宋体" w:cs="仿宋"/>
          <w:color w:val="auto"/>
          <w:sz w:val="21"/>
          <w:szCs w:val="21"/>
          <w:highlight w:val="none"/>
        </w:rPr>
        <w:t>投标报价以人民币元为结算币种。</w:t>
      </w:r>
    </w:p>
    <w:p w14:paraId="2B81E2D1">
      <w:pPr>
        <w:spacing w:line="360" w:lineRule="auto"/>
        <w:ind w:firstLine="420" w:firstLineChars="200"/>
        <w:rPr>
          <w:rFonts w:hint="eastAsia" w:ascii="宋体" w:hAnsi="宋体" w:eastAsia="宋体" w:cs="仿宋"/>
          <w:color w:val="auto"/>
          <w:sz w:val="21"/>
          <w:szCs w:val="21"/>
          <w:highlight w:val="none"/>
          <w:lang w:val="en-US" w:eastAsia="zh-CN"/>
        </w:rPr>
      </w:pPr>
      <w:r>
        <w:rPr>
          <w:rFonts w:hint="eastAsia" w:ascii="宋体" w:hAnsi="宋体" w:cs="仿宋"/>
          <w:color w:val="auto"/>
          <w:sz w:val="21"/>
          <w:szCs w:val="21"/>
          <w:highlight w:val="none"/>
        </w:rPr>
        <w:t>2、</w:t>
      </w:r>
      <w:r>
        <w:rPr>
          <w:rFonts w:hint="eastAsia" w:hAnsi="宋体" w:cs="宋体"/>
          <w:color w:val="auto"/>
          <w:kern w:val="2"/>
          <w:sz w:val="21"/>
          <w:szCs w:val="21"/>
          <w:highlight w:val="none"/>
        </w:rPr>
        <w:t>本项目综合</w:t>
      </w:r>
      <w:r>
        <w:rPr>
          <w:rFonts w:hint="eastAsia" w:hAnsi="宋体" w:cs="宋体"/>
          <w:color w:val="auto"/>
          <w:kern w:val="2"/>
          <w:sz w:val="21"/>
          <w:szCs w:val="21"/>
          <w:highlight w:val="none"/>
          <w:lang w:val="en-US" w:eastAsia="zh-CN"/>
        </w:rPr>
        <w:t>报价</w:t>
      </w:r>
      <w:r>
        <w:rPr>
          <w:rFonts w:hint="eastAsia" w:hAnsi="宋体" w:cs="宋体"/>
          <w:color w:val="auto"/>
          <w:kern w:val="2"/>
          <w:sz w:val="21"/>
          <w:szCs w:val="21"/>
          <w:highlight w:val="none"/>
        </w:rPr>
        <w:t>费用包括现场踏勘、资料收集整理、数据调查分析、</w:t>
      </w:r>
      <w:r>
        <w:rPr>
          <w:rFonts w:hint="eastAsia" w:hAnsi="宋体" w:cs="宋体"/>
          <w:color w:val="auto"/>
          <w:kern w:val="2"/>
          <w:sz w:val="21"/>
          <w:szCs w:val="21"/>
          <w:highlight w:val="none"/>
          <w:lang w:val="en-US" w:eastAsia="zh-CN"/>
        </w:rPr>
        <w:t>监测</w:t>
      </w:r>
      <w:r>
        <w:rPr>
          <w:rFonts w:hint="eastAsia" w:hAnsi="宋体" w:cs="宋体"/>
          <w:color w:val="auto"/>
          <w:kern w:val="2"/>
          <w:sz w:val="21"/>
          <w:szCs w:val="21"/>
          <w:highlight w:val="none"/>
        </w:rPr>
        <w:t>、印刷、咨询费、专家费、会务费、风险费、保险、利润、规费、税金、政策性文件规定及合同包含的所有风险、责任等所有费用</w:t>
      </w:r>
      <w:r>
        <w:rPr>
          <w:rFonts w:hint="eastAsia" w:hAnsi="宋体" w:cs="宋体"/>
          <w:color w:val="auto"/>
          <w:kern w:val="2"/>
          <w:sz w:val="21"/>
          <w:szCs w:val="21"/>
          <w:highlight w:val="none"/>
          <w:lang w:eastAsia="zh-CN"/>
        </w:rPr>
        <w:t>。</w:t>
      </w:r>
      <w:r>
        <w:rPr>
          <w:rFonts w:hint="eastAsia" w:hAnsi="宋体" w:cs="宋体"/>
          <w:color w:val="auto"/>
          <w:kern w:val="2"/>
          <w:sz w:val="21"/>
          <w:szCs w:val="21"/>
          <w:highlight w:val="none"/>
        </w:rPr>
        <w:t>合同已包括：</w:t>
      </w:r>
      <w:r>
        <w:rPr>
          <w:rFonts w:hint="eastAsia" w:ascii="宋体" w:hAnsi="宋体" w:eastAsia="宋体" w:cs="宋体"/>
          <w:color w:val="auto"/>
          <w:sz w:val="21"/>
          <w:szCs w:val="21"/>
          <w:highlight w:val="none"/>
        </w:rPr>
        <w:t>生态调查服务</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环境监测服务</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突发事件应急预案、</w:t>
      </w:r>
      <w:r>
        <w:rPr>
          <w:rFonts w:hint="eastAsia" w:hAnsi="宋体" w:cs="宋体"/>
          <w:color w:val="auto"/>
          <w:sz w:val="21"/>
          <w:szCs w:val="21"/>
          <w:highlight w:val="none"/>
          <w:lang w:eastAsia="zh-CN"/>
        </w:rPr>
        <w:t>环保竣工验收服务以及</w:t>
      </w:r>
      <w:r>
        <w:rPr>
          <w:rFonts w:hint="eastAsia" w:hAnsi="宋体" w:cs="宋体"/>
          <w:color w:val="auto"/>
          <w:kern w:val="2"/>
          <w:sz w:val="21"/>
          <w:szCs w:val="21"/>
          <w:highlight w:val="none"/>
        </w:rPr>
        <w:t>能预见的因场地问题引起的多次进场的费用、以及后续服务等费用。</w:t>
      </w:r>
    </w:p>
    <w:p w14:paraId="0F363F07">
      <w:pPr>
        <w:spacing w:line="360" w:lineRule="auto"/>
        <w:ind w:firstLine="420" w:firstLineChars="200"/>
        <w:rPr>
          <w:rFonts w:ascii="宋体" w:hAnsi="宋体" w:cs="仿宋"/>
          <w:color w:val="auto"/>
          <w:sz w:val="21"/>
          <w:szCs w:val="21"/>
          <w:highlight w:val="none"/>
        </w:rPr>
      </w:pPr>
      <w:r>
        <w:rPr>
          <w:rFonts w:hint="eastAsia" w:ascii="宋体" w:hAnsi="宋体" w:cs="仿宋"/>
          <w:color w:val="auto"/>
          <w:sz w:val="21"/>
          <w:szCs w:val="21"/>
          <w:highlight w:val="none"/>
        </w:rPr>
        <w:t>3</w:t>
      </w:r>
      <w:r>
        <w:rPr>
          <w:rFonts w:hint="eastAsia" w:ascii="宋体" w:hAnsi="宋体" w:cs="仿宋"/>
          <w:color w:val="auto"/>
          <w:sz w:val="21"/>
          <w:szCs w:val="21"/>
          <w:highlight w:val="none"/>
          <w:lang w:eastAsia="zh-CN"/>
        </w:rPr>
        <w:t>、</w:t>
      </w:r>
      <w:r>
        <w:rPr>
          <w:rFonts w:hint="eastAsia" w:ascii="宋体" w:hAnsi="宋体" w:cs="仿宋"/>
          <w:color w:val="auto"/>
          <w:sz w:val="21"/>
          <w:szCs w:val="21"/>
          <w:highlight w:val="none"/>
        </w:rPr>
        <w:t>未按商务需求的报价要求进行填报或错报，响应无效，取消中标资格。</w:t>
      </w:r>
    </w:p>
    <w:p w14:paraId="477AD6AF">
      <w:pPr>
        <w:spacing w:line="360" w:lineRule="auto"/>
        <w:ind w:firstLine="420" w:firstLineChars="200"/>
        <w:rPr>
          <w:rFonts w:hint="eastAsia" w:ascii="宋体" w:hAnsi="宋体" w:cs="仿宋"/>
          <w:color w:val="auto"/>
          <w:sz w:val="21"/>
          <w:szCs w:val="21"/>
          <w:highlight w:val="none"/>
        </w:rPr>
      </w:pPr>
      <w:r>
        <w:rPr>
          <w:rFonts w:hint="eastAsia" w:ascii="宋体" w:hAnsi="宋体" w:cs="仿宋"/>
          <w:color w:val="auto"/>
          <w:sz w:val="21"/>
          <w:szCs w:val="21"/>
          <w:highlight w:val="none"/>
        </w:rPr>
        <w:t>4</w:t>
      </w:r>
      <w:r>
        <w:rPr>
          <w:rFonts w:hint="eastAsia" w:ascii="宋体" w:hAnsi="宋体" w:cs="仿宋"/>
          <w:color w:val="auto"/>
          <w:sz w:val="21"/>
          <w:szCs w:val="21"/>
          <w:highlight w:val="none"/>
          <w:lang w:eastAsia="zh-CN"/>
        </w:rPr>
        <w:t>、</w:t>
      </w:r>
      <w:r>
        <w:rPr>
          <w:rFonts w:hint="eastAsia" w:ascii="宋体" w:hAnsi="宋体" w:cs="仿宋"/>
          <w:color w:val="auto"/>
          <w:sz w:val="21"/>
          <w:szCs w:val="21"/>
          <w:highlight w:val="none"/>
        </w:rPr>
        <w:t>“报价一览表”若为多页的，每页均需加盖投标人公章。</w:t>
      </w:r>
    </w:p>
    <w:p w14:paraId="7F94D4FF">
      <w:pPr>
        <w:spacing w:line="360" w:lineRule="auto"/>
        <w:ind w:firstLine="420" w:firstLineChars="200"/>
        <w:rPr>
          <w:rFonts w:hint="eastAsia" w:ascii="宋体" w:hAnsi="宋体" w:eastAsia="宋体" w:cs="宋体"/>
          <w:sz w:val="21"/>
          <w:szCs w:val="21"/>
          <w:lang w:val="en-US" w:eastAsia="zh-CN"/>
        </w:rPr>
      </w:pPr>
      <w:r>
        <w:rPr>
          <w:rFonts w:hint="eastAsia" w:ascii="宋体" w:hAnsi="宋体" w:cs="仿宋"/>
          <w:color w:val="auto"/>
          <w:sz w:val="21"/>
          <w:szCs w:val="21"/>
          <w:highlight w:val="none"/>
          <w:lang w:val="en-US" w:eastAsia="zh-CN"/>
        </w:rPr>
        <w:t>5、</w:t>
      </w:r>
      <w:r>
        <w:rPr>
          <w:rFonts w:hint="eastAsia" w:ascii="宋体" w:hAnsi="宋体" w:eastAsia="宋体" w:cs="宋体"/>
          <w:sz w:val="21"/>
          <w:szCs w:val="21"/>
          <w:lang w:val="en-US" w:eastAsia="zh-CN"/>
        </w:rPr>
        <w:t>本项目总价</w:t>
      </w:r>
      <w:r>
        <w:rPr>
          <w:rFonts w:hint="eastAsia" w:ascii="宋体" w:hAnsi="宋体" w:eastAsia="宋体" w:cs="宋体"/>
          <w:sz w:val="21"/>
          <w:szCs w:val="21"/>
          <w:lang w:eastAsia="zh-CN"/>
        </w:rPr>
        <w:t>最高限价</w:t>
      </w:r>
      <w:r>
        <w:rPr>
          <w:rFonts w:hint="eastAsia" w:ascii="宋体" w:hAnsi="宋体" w:eastAsia="宋体" w:cs="宋体"/>
          <w:sz w:val="21"/>
          <w:szCs w:val="21"/>
          <w:lang w:val="en-US" w:eastAsia="zh-CN"/>
        </w:rPr>
        <w:t>470000元，投标单位在报价时在乐采云电子交易平台报价模块中应填写下浮后的投标总报价</w:t>
      </w:r>
      <w:r>
        <w:rPr>
          <w:rFonts w:hint="eastAsia" w:ascii="宋体" w:hAnsi="宋体" w:cs="宋体"/>
          <w:sz w:val="21"/>
          <w:szCs w:val="21"/>
          <w:lang w:val="en-US" w:eastAsia="zh-CN"/>
        </w:rPr>
        <w:t>，若出现上传附件报价与平台报价不一致情况的，作无效报价处理</w:t>
      </w:r>
      <w:r>
        <w:rPr>
          <w:rFonts w:hint="eastAsia" w:ascii="宋体" w:hAnsi="宋体" w:eastAsia="宋体" w:cs="宋体"/>
          <w:sz w:val="21"/>
          <w:szCs w:val="21"/>
          <w:lang w:val="en-US" w:eastAsia="zh-CN"/>
        </w:rPr>
        <w:t>。</w:t>
      </w:r>
    </w:p>
    <w:p w14:paraId="09A14AE6">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6、最终结算以综合单价最高限价乘以投标折扣为准，如综合单价最高限价为1000元，投标折扣为80%，则结算单价为1000*80%=800元。按实结算。</w:t>
      </w:r>
    </w:p>
    <w:p w14:paraId="545E384F">
      <w:pPr>
        <w:snapToGrid w:val="0"/>
        <w:spacing w:line="360" w:lineRule="exact"/>
        <w:ind w:firstLine="420" w:firstLineChars="200"/>
        <w:jc w:val="center"/>
        <w:rPr>
          <w:rFonts w:ascii="宋体" w:hAnsi="宋体" w:cs="宋体"/>
          <w:color w:val="auto"/>
          <w:sz w:val="21"/>
          <w:szCs w:val="21"/>
          <w:highlight w:val="none"/>
        </w:rPr>
      </w:pPr>
      <w:bookmarkStart w:id="0" w:name="_GoBack"/>
      <w:bookmarkEnd w:id="0"/>
      <w:r>
        <w:rPr>
          <w:rFonts w:hint="eastAsia" w:ascii="宋体" w:hAnsi="宋体" w:cs="宋体"/>
          <w:color w:val="auto"/>
          <w:sz w:val="21"/>
          <w:szCs w:val="21"/>
          <w:highlight w:val="none"/>
        </w:rPr>
        <w:t>供应商全称（盖公章）：</w:t>
      </w:r>
      <w:r>
        <w:rPr>
          <w:rFonts w:hint="eastAsia" w:ascii="宋体" w:hAnsi="宋体" w:cs="宋体"/>
          <w:color w:val="auto"/>
          <w:sz w:val="21"/>
          <w:szCs w:val="21"/>
          <w:highlight w:val="none"/>
          <w:u w:val="single"/>
        </w:rPr>
        <w:t xml:space="preserve">                         </w:t>
      </w:r>
    </w:p>
    <w:p w14:paraId="2FA72CB0">
      <w:pPr>
        <w:jc w:val="right"/>
        <w:rPr>
          <w:rFonts w:ascii="宋体" w:hAnsi="宋体"/>
          <w:color w:val="auto"/>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FA6ED7"/>
    <w:multiLevelType w:val="singleLevel"/>
    <w:tmpl w:val="38FA6ED7"/>
    <w:lvl w:ilvl="0" w:tentative="0">
      <w:start w:val="1"/>
      <w:numFmt w:val="decimal"/>
      <w:suff w:val="nothing"/>
      <w:lvlText w:val="%1、"/>
      <w:lvlJc w:val="left"/>
    </w:lvl>
  </w:abstractNum>
  <w:abstractNum w:abstractNumId="1">
    <w:nsid w:val="396A619A"/>
    <w:multiLevelType w:val="multilevel"/>
    <w:tmpl w:val="396A619A"/>
    <w:lvl w:ilvl="0" w:tentative="0">
      <w:start w:val="1"/>
      <w:numFmt w:val="decimal"/>
      <w:lvlText w:val="%1"/>
      <w:lvlJc w:val="left"/>
      <w:pPr>
        <w:ind w:left="600" w:hanging="300"/>
      </w:pPr>
      <w:rPr>
        <w:rFonts w:hint="default" w:ascii="Times New Roman" w:hAnsi="Times New Roman" w:eastAsia="黑体" w:cs="黑体"/>
        <w:b/>
        <w:bCs w:val="0"/>
        <w:i w:val="0"/>
        <w:iCs w:val="0"/>
        <w:w w:val="100"/>
        <w:sz w:val="28"/>
        <w:szCs w:val="30"/>
        <w:lang w:val="en-US" w:eastAsia="zh-CN" w:bidi="ar-SA"/>
      </w:rPr>
    </w:lvl>
    <w:lvl w:ilvl="1" w:tentative="0">
      <w:start w:val="1"/>
      <w:numFmt w:val="decimal"/>
      <w:pStyle w:val="3"/>
      <w:lvlText w:val="%1.%2"/>
      <w:lvlJc w:val="left"/>
      <w:pPr>
        <w:ind w:left="904" w:hanging="605"/>
      </w:pPr>
      <w:rPr>
        <w:rFonts w:hint="default" w:ascii="Times New Roman" w:hAnsi="Times New Roman" w:eastAsia="宋体" w:cs="等线"/>
        <w:b/>
        <w:bCs/>
        <w:i w:val="0"/>
        <w:iCs w:val="0"/>
        <w:spacing w:val="0"/>
        <w:w w:val="110"/>
        <w:sz w:val="24"/>
        <w:szCs w:val="30"/>
        <w:lang w:val="en-US" w:eastAsia="zh-CN" w:bidi="ar-SA"/>
      </w:rPr>
    </w:lvl>
    <w:lvl w:ilvl="2" w:tentative="0">
      <w:start w:val="1"/>
      <w:numFmt w:val="decimal"/>
      <w:lvlText w:val="%1.%2.%3"/>
      <w:lvlJc w:val="left"/>
      <w:pPr>
        <w:ind w:left="1131" w:hanging="832"/>
      </w:pPr>
      <w:rPr>
        <w:rFonts w:hint="default" w:ascii="宋体" w:hAnsi="微软雅黑" w:eastAsia="宋体" w:cs="微软雅黑"/>
        <w:b/>
        <w:bCs/>
        <w:i w:val="0"/>
        <w:iCs w:val="0"/>
        <w:spacing w:val="0"/>
        <w:w w:val="103"/>
        <w:sz w:val="24"/>
        <w:szCs w:val="30"/>
        <w:lang w:val="en-US" w:eastAsia="zh-CN" w:bidi="ar-SA"/>
      </w:rPr>
    </w:lvl>
    <w:lvl w:ilvl="3" w:tentative="0">
      <w:start w:val="1"/>
      <w:numFmt w:val="decimal"/>
      <w:lvlText w:val="（%4）"/>
      <w:lvlJc w:val="left"/>
      <w:pPr>
        <w:ind w:left="1562" w:hanging="702"/>
      </w:pPr>
      <w:rPr>
        <w:rFonts w:hint="default"/>
        <w:spacing w:val="-141"/>
        <w:w w:val="99"/>
        <w:lang w:val="en-US" w:eastAsia="zh-CN" w:bidi="ar-SA"/>
      </w:rPr>
    </w:lvl>
    <w:lvl w:ilvl="4" w:tentative="0">
      <w:start w:val="0"/>
      <w:numFmt w:val="bullet"/>
      <w:lvlText w:val="•"/>
      <w:lvlJc w:val="left"/>
      <w:pPr>
        <w:ind w:left="1200" w:hanging="702"/>
      </w:pPr>
      <w:rPr>
        <w:rFonts w:hint="default"/>
        <w:lang w:val="en-US" w:eastAsia="zh-CN" w:bidi="ar-SA"/>
      </w:rPr>
    </w:lvl>
    <w:lvl w:ilvl="5" w:tentative="0">
      <w:start w:val="0"/>
      <w:numFmt w:val="bullet"/>
      <w:lvlText w:val="•"/>
      <w:lvlJc w:val="left"/>
      <w:pPr>
        <w:ind w:left="1360" w:hanging="702"/>
      </w:pPr>
      <w:rPr>
        <w:rFonts w:hint="default"/>
        <w:lang w:val="en-US" w:eastAsia="zh-CN" w:bidi="ar-SA"/>
      </w:rPr>
    </w:lvl>
    <w:lvl w:ilvl="6" w:tentative="0">
      <w:start w:val="0"/>
      <w:numFmt w:val="bullet"/>
      <w:lvlText w:val="•"/>
      <w:lvlJc w:val="left"/>
      <w:pPr>
        <w:ind w:left="1560" w:hanging="702"/>
      </w:pPr>
      <w:rPr>
        <w:rFonts w:hint="default"/>
        <w:lang w:val="en-US" w:eastAsia="zh-CN" w:bidi="ar-SA"/>
      </w:rPr>
    </w:lvl>
    <w:lvl w:ilvl="7" w:tentative="0">
      <w:start w:val="0"/>
      <w:numFmt w:val="bullet"/>
      <w:lvlText w:val="•"/>
      <w:lvlJc w:val="left"/>
      <w:pPr>
        <w:ind w:left="3476" w:hanging="702"/>
      </w:pPr>
      <w:rPr>
        <w:rFonts w:hint="default"/>
        <w:lang w:val="en-US" w:eastAsia="zh-CN" w:bidi="ar-SA"/>
      </w:rPr>
    </w:lvl>
    <w:lvl w:ilvl="8" w:tentative="0">
      <w:start w:val="0"/>
      <w:numFmt w:val="bullet"/>
      <w:lvlText w:val="•"/>
      <w:lvlJc w:val="left"/>
      <w:pPr>
        <w:ind w:left="5392" w:hanging="702"/>
      </w:pPr>
      <w:rPr>
        <w:rFonts w:hint="default"/>
        <w:lang w:val="en-US" w:eastAsia="zh-CN" w:bidi="ar-SA"/>
      </w:rPr>
    </w:lvl>
  </w:abstractNum>
  <w:abstractNum w:abstractNumId="2">
    <w:nsid w:val="427FCA30"/>
    <w:multiLevelType w:val="singleLevel"/>
    <w:tmpl w:val="427FCA30"/>
    <w:lvl w:ilvl="0" w:tentative="0">
      <w:start w:val="1"/>
      <w:numFmt w:val="chineseCounting"/>
      <w:suff w:val="nothing"/>
      <w:lvlText w:val="%1、"/>
      <w:lvlJc w:val="left"/>
      <w:rPr>
        <w:rFonts w:hint="eastAsia"/>
      </w:rPr>
    </w:lvl>
  </w:abstractNum>
  <w:abstractNum w:abstractNumId="3">
    <w:nsid w:val="44A1847C"/>
    <w:multiLevelType w:val="singleLevel"/>
    <w:tmpl w:val="44A1847C"/>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3ODQ4MDJhZDk1OWI0MTE4NjI4ODY2MzRlOTY2NTAifQ=="/>
  </w:docVars>
  <w:rsids>
    <w:rsidRoot w:val="00D803BB"/>
    <w:rsid w:val="003173FD"/>
    <w:rsid w:val="004A2778"/>
    <w:rsid w:val="00533FC6"/>
    <w:rsid w:val="006A1E5D"/>
    <w:rsid w:val="006F3FE2"/>
    <w:rsid w:val="009C70AA"/>
    <w:rsid w:val="00D75C31"/>
    <w:rsid w:val="00D803BB"/>
    <w:rsid w:val="00DA5250"/>
    <w:rsid w:val="00DD51C3"/>
    <w:rsid w:val="00F55EB3"/>
    <w:rsid w:val="00F91FE2"/>
    <w:rsid w:val="00F96746"/>
    <w:rsid w:val="06304B28"/>
    <w:rsid w:val="0C934C48"/>
    <w:rsid w:val="1300635F"/>
    <w:rsid w:val="16D64CE7"/>
    <w:rsid w:val="1AC93E79"/>
    <w:rsid w:val="1D4A4051"/>
    <w:rsid w:val="276C5114"/>
    <w:rsid w:val="29181902"/>
    <w:rsid w:val="44E250B7"/>
    <w:rsid w:val="550744A2"/>
    <w:rsid w:val="57821F54"/>
    <w:rsid w:val="58506E35"/>
    <w:rsid w:val="5A5D0B34"/>
    <w:rsid w:val="5EFA4FE0"/>
    <w:rsid w:val="70937AB0"/>
    <w:rsid w:val="75511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1"/>
    <w:pPr>
      <w:numPr>
        <w:ilvl w:val="1"/>
        <w:numId w:val="1"/>
      </w:numPr>
      <w:tabs>
        <w:tab w:val="left" w:pos="905"/>
      </w:tabs>
      <w:autoSpaceDE w:val="0"/>
      <w:autoSpaceDN w:val="0"/>
      <w:spacing w:line="360" w:lineRule="auto"/>
      <w:jc w:val="left"/>
      <w:outlineLvl w:val="0"/>
    </w:pPr>
    <w:rPr>
      <w:rFonts w:ascii="等线" w:hAnsi="微软雅黑" w:eastAsia="微软雅黑" w:cs="微软雅黑"/>
      <w:b/>
      <w:bCs/>
      <w:kern w:val="0"/>
      <w:sz w:val="28"/>
      <w:szCs w:val="30"/>
    </w:rPr>
  </w:style>
  <w:style w:type="paragraph" w:styleId="2">
    <w:name w:val="heading 2"/>
    <w:basedOn w:val="1"/>
    <w:next w:val="1"/>
    <w:link w:val="1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unhideWhenUsed/>
    <w:qFormat/>
    <w:uiPriority w:val="0"/>
    <w:pPr>
      <w:spacing w:after="120"/>
    </w:pPr>
    <w:rPr>
      <w:rFonts w:eastAsia="Times New Roman"/>
    </w:rPr>
  </w:style>
  <w:style w:type="paragraph" w:styleId="5">
    <w:name w:val="Plain Text"/>
    <w:basedOn w:val="1"/>
    <w:next w:val="6"/>
    <w:link w:val="14"/>
    <w:unhideWhenUsed/>
    <w:qFormat/>
    <w:uiPriority w:val="0"/>
    <w:pPr>
      <w:spacing w:before="156" w:afterLines="50" w:line="400" w:lineRule="exact"/>
    </w:pPr>
    <w:rPr>
      <w:rFonts w:ascii="宋体" w:hAnsi="Courier New"/>
      <w:kern w:val="0"/>
      <w:sz w:val="24"/>
    </w:rPr>
  </w:style>
  <w:style w:type="paragraph" w:styleId="6">
    <w:name w:val="toc 2"/>
    <w:basedOn w:val="1"/>
    <w:next w:val="1"/>
    <w:autoRedefine/>
    <w:semiHidden/>
    <w:unhideWhenUsed/>
    <w:qFormat/>
    <w:uiPriority w:val="39"/>
    <w:pPr>
      <w:ind w:left="420" w:leftChars="200"/>
    </w:p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 w:type="character" w:customStyle="1" w:styleId="14">
    <w:name w:val="纯文本 Char"/>
    <w:basedOn w:val="11"/>
    <w:link w:val="5"/>
    <w:qFormat/>
    <w:uiPriority w:val="0"/>
    <w:rPr>
      <w:rFonts w:ascii="宋体" w:hAnsi="Courier New" w:eastAsia="宋体" w:cs="Times New Roman"/>
      <w:kern w:val="0"/>
      <w:sz w:val="24"/>
      <w:szCs w:val="24"/>
    </w:rPr>
  </w:style>
  <w:style w:type="character" w:customStyle="1" w:styleId="15">
    <w:name w:val="标题 2 Char"/>
    <w:basedOn w:val="11"/>
    <w:link w:val="2"/>
    <w:semiHidden/>
    <w:qFormat/>
    <w:uiPriority w:val="9"/>
    <w:rPr>
      <w:rFonts w:asciiTheme="majorHAnsi" w:hAnsiTheme="majorHAnsi" w:eastAsiaTheme="majorEastAsia" w:cstheme="majorBidi"/>
      <w:b/>
      <w:bCs/>
      <w:sz w:val="32"/>
      <w:szCs w:val="32"/>
    </w:rPr>
  </w:style>
  <w:style w:type="paragraph" w:customStyle="1" w:styleId="16">
    <w:name w:val="Table Text"/>
    <w:basedOn w:val="1"/>
    <w:semiHidden/>
    <w:qFormat/>
    <w:uiPriority w:val="0"/>
    <w:rPr>
      <w:rFonts w:ascii="宋体" w:hAnsi="宋体" w:eastAsia="宋体" w:cs="宋体"/>
      <w:sz w:val="23"/>
      <w:szCs w:val="23"/>
      <w:lang w:val="en-US" w:eastAsia="en-US" w:bidi="ar-SA"/>
    </w:rPr>
  </w:style>
  <w:style w:type="character" w:customStyle="1" w:styleId="17">
    <w:name w:val="font41"/>
    <w:qFormat/>
    <w:uiPriority w:val="0"/>
    <w:rPr>
      <w:rFonts w:hint="eastAsia" w:ascii="宋体" w:hAnsi="宋体" w:eastAsia="宋体" w:cs="宋体"/>
      <w:color w:val="000000"/>
      <w:sz w:val="20"/>
      <w:szCs w:val="20"/>
      <w:u w:val="none"/>
    </w:rPr>
  </w:style>
  <w:style w:type="paragraph" w:customStyle="1" w:styleId="18">
    <w:name w:val="Body text|1"/>
    <w:basedOn w:val="1"/>
    <w:qFormat/>
    <w:uiPriority w:val="0"/>
    <w:pPr>
      <w:spacing w:after="120" w:line="430" w:lineRule="auto"/>
      <w:ind w:firstLine="400"/>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5446</Words>
  <Characters>5558</Characters>
  <Lines>38</Lines>
  <Paragraphs>10</Paragraphs>
  <TotalTime>11</TotalTime>
  <ScaleCrop>false</ScaleCrop>
  <LinksUpToDate>false</LinksUpToDate>
  <CharactersWithSpaces>6034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2024-01-03T03:21:00Z</dcterms:created>
  <dc:creator>NTKO</dc:creator>
  <cp:lastModifiedBy>可文</cp:lastModifiedBy>
  <dcterms:modified xsi:type="dcterms:W3CDTF">2024-12-31T08:29:47Z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98611C9B9C5F4934841C35ED4F533B3C_13</vt:lpwstr>
  </property>
  <property fmtid="{D5CDD505-2E9C-101B-9397-08002B2CF9AE}" pid="4" name="KSOTemplateDocerSaveRecord">
    <vt:lpwstr>eyJoZGlkIjoiMmI0ODQ1NTYxNDIwYmUzNjQ5ZThlZTk4MDI3M2UyMGYiLCJ1c2VySWQiOiIyODY0NTA4NDgifQ==</vt:lpwstr>
  </property>
</Properties>
</file>