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4年东洲街道黄家桥病危桥改造工程预制空心板采购、320国道余杭华坞至富阳高桥段勤乐村拆迁安置区块进出道路工程（桥梁部分）-梁板采购</w:t>
      </w:r>
    </w:p>
    <w:p>
      <w:pPr>
        <w:spacing w:line="5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在线询价商务需求</w:t>
      </w:r>
    </w:p>
    <w:p>
      <w:pPr>
        <w:pStyle w:val="24"/>
        <w:rPr>
          <w:color w:val="auto"/>
          <w:highlight w:val="none"/>
        </w:rPr>
      </w:pPr>
    </w:p>
    <w:p>
      <w:pPr>
        <w:pStyle w:val="22"/>
        <w:numPr>
          <w:ilvl w:val="0"/>
          <w:numId w:val="2"/>
        </w:numPr>
        <w:shd w:val="clear" w:color="auto" w:fill="FFFFFF"/>
        <w:adjustRightInd w:val="0"/>
        <w:snapToGrid w:val="0"/>
        <w:spacing w:before="0" w:beforeAutospacing="0" w:after="0" w:afterAutospacing="0" w:line="312" w:lineRule="auto"/>
        <w:ind w:firstLine="241" w:firstLineChars="100"/>
        <w:jc w:val="both"/>
        <w:rPr>
          <w:rFonts w:hint="eastAsia" w:ascii="仿宋" w:hAnsi="仿宋" w:eastAsia="仿宋" w:cs="仿宋"/>
          <w:b/>
          <w:bCs/>
          <w:color w:val="auto"/>
          <w:highlight w:val="none"/>
          <w:lang w:eastAsia="zh-CN"/>
        </w:rPr>
      </w:pPr>
      <w:r>
        <w:rPr>
          <w:rFonts w:hint="eastAsia" w:ascii="仿宋" w:hAnsi="仿宋" w:eastAsia="仿宋" w:cs="仿宋"/>
          <w:b/>
          <w:color w:val="auto"/>
          <w:sz w:val="24"/>
          <w:szCs w:val="24"/>
          <w:highlight w:val="none"/>
        </w:rPr>
        <w:t>采购清单</w:t>
      </w:r>
      <w:r>
        <w:rPr>
          <w:rFonts w:hint="eastAsia" w:ascii="仿宋" w:hAnsi="仿宋" w:eastAsia="仿宋" w:cs="仿宋"/>
          <w:b/>
          <w:color w:val="auto"/>
          <w:sz w:val="24"/>
          <w:szCs w:val="24"/>
          <w:highlight w:val="none"/>
          <w:lang w:val="en-US" w:eastAsia="zh-CN"/>
        </w:rPr>
        <w:t>及限价</w:t>
      </w:r>
      <w:r>
        <w:rPr>
          <w:rFonts w:hint="eastAsia" w:ascii="仿宋" w:hAnsi="仿宋" w:eastAsia="仿宋" w:cs="仿宋"/>
          <w:b/>
          <w:bCs/>
          <w:color w:val="auto"/>
          <w:highlight w:val="none"/>
          <w:lang w:eastAsia="zh-CN"/>
        </w:rPr>
        <w:t>：</w:t>
      </w:r>
    </w:p>
    <w:tbl>
      <w:tblPr>
        <w:tblStyle w:val="26"/>
        <w:tblpPr w:leftFromText="180" w:rightFromText="180" w:vertAnchor="text" w:horzAnchor="page" w:tblpX="1634" w:tblpY="128"/>
        <w:tblOverlap w:val="never"/>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832"/>
        <w:gridCol w:w="968"/>
        <w:gridCol w:w="1160"/>
        <w:gridCol w:w="13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1" w:type="dxa"/>
            <w:vMerge w:val="restart"/>
            <w:shd w:val="clear" w:color="auto" w:fill="auto"/>
            <w:noWrap w:val="0"/>
            <w:vAlign w:val="center"/>
          </w:tcPr>
          <w:p>
            <w:pPr>
              <w:widowControl/>
              <w:spacing w:line="500" w:lineRule="exact"/>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序号</w:t>
            </w:r>
          </w:p>
        </w:tc>
        <w:tc>
          <w:tcPr>
            <w:tcW w:w="3832" w:type="dxa"/>
            <w:vMerge w:val="restart"/>
            <w:shd w:val="clear" w:color="auto" w:fill="auto"/>
            <w:noWrap w:val="0"/>
            <w:vAlign w:val="center"/>
          </w:tcPr>
          <w:p>
            <w:pPr>
              <w:pStyle w:val="25"/>
              <w:ind w:left="0" w:leftChars="0"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货物名称</w:t>
            </w:r>
          </w:p>
        </w:tc>
        <w:tc>
          <w:tcPr>
            <w:tcW w:w="968" w:type="dxa"/>
            <w:vMerge w:val="restart"/>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数量</w:t>
            </w:r>
          </w:p>
        </w:tc>
        <w:tc>
          <w:tcPr>
            <w:tcW w:w="1160" w:type="dxa"/>
            <w:vMerge w:val="restart"/>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单位</w:t>
            </w:r>
          </w:p>
        </w:tc>
        <w:tc>
          <w:tcPr>
            <w:tcW w:w="2569" w:type="dxa"/>
            <w:gridSpan w:val="2"/>
            <w:shd w:val="clear" w:color="auto" w:fill="FFFFFF"/>
            <w:noWrap w:val="0"/>
            <w:vAlign w:val="center"/>
          </w:tcPr>
          <w:p>
            <w:pPr>
              <w:spacing w:line="24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1" w:type="dxa"/>
            <w:vMerge w:val="continue"/>
            <w:shd w:val="clear" w:color="auto" w:fill="auto"/>
            <w:noWrap w:val="0"/>
            <w:vAlign w:val="center"/>
          </w:tcPr>
          <w:p>
            <w:pPr>
              <w:widowControl/>
              <w:spacing w:line="500" w:lineRule="exact"/>
              <w:jc w:val="center"/>
              <w:textAlignment w:val="center"/>
              <w:rPr>
                <w:rFonts w:hint="eastAsia" w:ascii="仿宋" w:hAnsi="仿宋" w:eastAsia="仿宋" w:cs="仿宋"/>
                <w:b w:val="0"/>
                <w:bCs w:val="0"/>
                <w:color w:val="auto"/>
                <w:sz w:val="21"/>
                <w:szCs w:val="21"/>
                <w:highlight w:val="none"/>
                <w:lang w:eastAsia="zh-CN"/>
              </w:rPr>
            </w:pPr>
          </w:p>
        </w:tc>
        <w:tc>
          <w:tcPr>
            <w:tcW w:w="3832" w:type="dxa"/>
            <w:vMerge w:val="continue"/>
            <w:shd w:val="clear" w:color="auto" w:fill="auto"/>
            <w:noWrap w:val="0"/>
            <w:vAlign w:val="center"/>
          </w:tcPr>
          <w:p>
            <w:pPr>
              <w:pStyle w:val="25"/>
              <w:ind w:left="0" w:leftChars="0" w:firstLine="0" w:firstLineChars="0"/>
              <w:jc w:val="center"/>
              <w:rPr>
                <w:rFonts w:hint="eastAsia" w:ascii="仿宋" w:hAnsi="仿宋" w:eastAsia="仿宋" w:cs="仿宋"/>
                <w:b w:val="0"/>
                <w:bCs w:val="0"/>
                <w:color w:val="auto"/>
                <w:sz w:val="21"/>
                <w:szCs w:val="21"/>
                <w:highlight w:val="none"/>
                <w:lang w:val="en-US" w:eastAsia="zh-CN"/>
              </w:rPr>
            </w:pPr>
          </w:p>
        </w:tc>
        <w:tc>
          <w:tcPr>
            <w:tcW w:w="968" w:type="dxa"/>
            <w:vMerge w:val="continue"/>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p>
        </w:tc>
        <w:tc>
          <w:tcPr>
            <w:tcW w:w="1160" w:type="dxa"/>
            <w:vMerge w:val="continue"/>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p>
        </w:tc>
        <w:tc>
          <w:tcPr>
            <w:tcW w:w="1377" w:type="dxa"/>
            <w:shd w:val="clear" w:color="auto" w:fill="FFFFFF"/>
            <w:noWrap w:val="0"/>
            <w:vAlign w:val="center"/>
          </w:tcPr>
          <w:p>
            <w:pPr>
              <w:spacing w:line="5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单价（元）</w:t>
            </w:r>
          </w:p>
        </w:tc>
        <w:tc>
          <w:tcPr>
            <w:tcW w:w="1192" w:type="dxa"/>
            <w:shd w:val="clear" w:color="auto" w:fill="FFFFFF"/>
            <w:noWrap w:val="0"/>
            <w:vAlign w:val="center"/>
          </w:tcPr>
          <w:p>
            <w:pPr>
              <w:spacing w:line="5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1"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1</w:t>
            </w:r>
          </w:p>
        </w:tc>
        <w:tc>
          <w:tcPr>
            <w:tcW w:w="3832"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2024年东洲街道黄家桥病危桥改造工程-预制空心板</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5</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块</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18487.4</w:t>
            </w: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92437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01"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0"/>
                <w:sz w:val="21"/>
                <w:szCs w:val="21"/>
                <w:highlight w:val="none"/>
                <w:lang w:val="en-US" w:eastAsia="zh-CN" w:bidi="ar"/>
              </w:rPr>
              <w:t>2</w:t>
            </w:r>
          </w:p>
        </w:tc>
        <w:tc>
          <w:tcPr>
            <w:tcW w:w="3832"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320国道余杭华坞至富阳高桥段勤乐村拆迁安置区块进出道路工程（桥梁部分）-中梁</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18</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片</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19927.81</w:t>
            </w: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358700.58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01"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w:t>
            </w:r>
          </w:p>
        </w:tc>
        <w:tc>
          <w:tcPr>
            <w:tcW w:w="3832"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320国道余杭华坞至富阳高桥段勤乐村拆迁安置区块进出道路工程（桥梁部分）-边梁</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6</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片</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19927.81</w:t>
            </w: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119566.86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1"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kern w:val="0"/>
                <w:sz w:val="21"/>
                <w:szCs w:val="21"/>
                <w:highlight w:val="none"/>
                <w:lang w:val="en-US" w:eastAsia="zh-CN" w:bidi="ar"/>
              </w:rPr>
            </w:pPr>
          </w:p>
        </w:tc>
        <w:tc>
          <w:tcPr>
            <w:tcW w:w="3832" w:type="dxa"/>
            <w:shd w:val="clear" w:color="auto" w:fill="auto"/>
            <w:noWrap w:val="0"/>
            <w:vAlign w:val="center"/>
          </w:tcPr>
          <w:p>
            <w:pPr>
              <w:widowControl/>
              <w:spacing w:line="240" w:lineRule="auto"/>
              <w:jc w:val="center"/>
              <w:textAlignment w:val="center"/>
              <w:rPr>
                <w:rFonts w:hint="default"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合计</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u w:val="none"/>
                <w:lang w:val="en-US" w:eastAsia="zh-CN" w:bidi="ar"/>
              </w:rPr>
            </w:pP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u w:val="none"/>
                <w:lang w:val="en-US" w:eastAsia="zh-CN" w:bidi="ar"/>
              </w:rPr>
            </w:pP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sz w:val="21"/>
                <w:szCs w:val="21"/>
                <w:highlight w:val="none"/>
                <w:lang w:val="en-US" w:eastAsia="zh-CN"/>
              </w:rPr>
            </w:pP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570704.44</w:t>
            </w:r>
          </w:p>
        </w:tc>
      </w:tr>
    </w:tbl>
    <w:p>
      <w:pPr>
        <w:spacing w:line="44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二、采购要求</w:t>
      </w:r>
    </w:p>
    <w:p>
      <w:pPr>
        <w:keepNext w:val="0"/>
        <w:keepLines w:val="0"/>
        <w:pageBreakBefore w:val="0"/>
        <w:kinsoku/>
        <w:wordWrap/>
        <w:topLinePunct w:val="0"/>
        <w:bidi w:val="0"/>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1、本次采购所需货物必须符合国家或行业技术标准要求，具体制作安装要求见施工图。 </w:t>
      </w:r>
    </w:p>
    <w:p>
      <w:pPr>
        <w:keepNext w:val="0"/>
        <w:keepLines w:val="0"/>
        <w:pageBreakBefore w:val="0"/>
        <w:kinsoku/>
        <w:wordWrap/>
        <w:topLinePunct w:val="0"/>
        <w:bidi w:val="0"/>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2、本次采购所需梁板技术参数或标准与最新的规范、要求不一致的，以最新的规范为准。产品材料均应有产品合格证及出厂检验报告。</w:t>
      </w:r>
    </w:p>
    <w:p>
      <w:pPr>
        <w:spacing w:line="4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三、报价说明</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1.本项目最高限价为570704.44万元，超过单价最高限价（或总价最高限价）的按无效标处理。</w:t>
      </w:r>
    </w:p>
    <w:p>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w:t>
      </w:r>
      <w:r>
        <w:rPr>
          <w:rFonts w:hint="eastAsia" w:ascii="宋体" w:hAnsi="宋体" w:eastAsia="宋体" w:cs="宋体"/>
          <w:color w:val="auto"/>
          <w:sz w:val="21"/>
          <w:szCs w:val="21"/>
          <w:highlight w:val="none"/>
          <w:lang w:val="zh-CN" w:eastAsia="zh-CN"/>
        </w:rPr>
        <w:t>价包含本项目所必须进行相关工作的所有一切费用（</w:t>
      </w:r>
      <w:r>
        <w:rPr>
          <w:rFonts w:hint="eastAsia" w:ascii="宋体" w:hAnsi="宋体" w:eastAsia="宋体" w:cs="宋体"/>
          <w:color w:val="auto"/>
          <w:sz w:val="21"/>
          <w:szCs w:val="21"/>
          <w:highlight w:val="none"/>
          <w:lang w:val="en-US" w:eastAsia="zh-CN"/>
        </w:rPr>
        <w:t>包含梁板预制、养护、预应力张拉、运输</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val="zh-CN" w:eastAsia="zh-CN"/>
        </w:rPr>
        <w:t>、技术服务、安全风险、利润、</w:t>
      </w:r>
      <w:r>
        <w:rPr>
          <w:rFonts w:hint="eastAsia" w:ascii="宋体" w:hAnsi="宋体" w:eastAsia="宋体" w:cs="宋体"/>
          <w:color w:val="auto"/>
          <w:sz w:val="21"/>
          <w:szCs w:val="21"/>
          <w:highlight w:val="none"/>
          <w:lang w:val="en-US" w:eastAsia="zh-CN"/>
        </w:rPr>
        <w:t>一般纳税人增值税专用发票13%、</w:t>
      </w:r>
      <w:r>
        <w:rPr>
          <w:rFonts w:hint="eastAsia" w:ascii="宋体" w:hAnsi="宋体" w:eastAsia="宋体" w:cs="宋体"/>
          <w:color w:val="auto"/>
          <w:sz w:val="21"/>
          <w:szCs w:val="21"/>
          <w:highlight w:val="none"/>
          <w:lang w:val="zh-CN" w:eastAsia="zh-CN"/>
        </w:rPr>
        <w:t>等</w:t>
      </w:r>
      <w:r>
        <w:rPr>
          <w:rFonts w:hint="eastAsia" w:ascii="宋体" w:hAnsi="宋体" w:eastAsia="宋体" w:cs="宋体"/>
          <w:color w:val="auto"/>
          <w:sz w:val="21"/>
          <w:szCs w:val="21"/>
          <w:highlight w:val="none"/>
          <w:lang w:val="en-US" w:eastAsia="zh-CN"/>
        </w:rPr>
        <w:t>一切费用</w:t>
      </w:r>
      <w:r>
        <w:rPr>
          <w:rFonts w:hint="eastAsia" w:ascii="宋体" w:hAnsi="宋体" w:eastAsia="宋体" w:cs="宋体"/>
          <w:color w:val="auto"/>
          <w:sz w:val="21"/>
          <w:szCs w:val="21"/>
          <w:highlight w:val="none"/>
          <w:lang w:val="zh-CN" w:eastAsia="zh-CN"/>
        </w:rPr>
        <w:t>)，采购人不再另行支付任何费用。</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投标人投标报价以及提供材料均应依据本商务需求要求，资料弄虚作假、随意乱报价、资料提供不全、未及时配合招标人签订合同等情形，取消中标资格，上报乐采云平台，对供应商进行扣分等处罚。</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.未按商务</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eastAsia="宋体" w:cs="宋体"/>
          <w:color w:val="auto"/>
          <w:sz w:val="21"/>
          <w:szCs w:val="21"/>
          <w:highlight w:val="none"/>
          <w:lang w:eastAsia="zh-CN"/>
        </w:rPr>
        <w:t>的报价要求</w:t>
      </w:r>
      <w:r>
        <w:rPr>
          <w:rFonts w:hint="eastAsia" w:ascii="宋体" w:hAnsi="宋体" w:eastAsia="宋体" w:cs="宋体"/>
          <w:color w:val="auto"/>
          <w:sz w:val="21"/>
          <w:szCs w:val="21"/>
          <w:highlight w:val="none"/>
        </w:rPr>
        <w:t>进行填报或错报，响应无效。</w:t>
      </w:r>
    </w:p>
    <w:p>
      <w:pPr>
        <w:spacing w:beforeLines="0" w:line="4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四、服务期限：</w:t>
      </w:r>
      <w:r>
        <w:rPr>
          <w:rFonts w:hint="eastAsia" w:ascii="宋体" w:hAnsi="宋体" w:eastAsia="宋体" w:cs="宋体"/>
          <w:color w:val="auto"/>
          <w:sz w:val="21"/>
          <w:szCs w:val="21"/>
          <w:highlight w:val="none"/>
          <w:lang w:val="en-US" w:eastAsia="zh-CN"/>
        </w:rPr>
        <w:t>甲方下任务单后45天安装完成</w:t>
      </w:r>
      <w:r>
        <w:rPr>
          <w:rFonts w:hint="eastAsia" w:ascii="宋体" w:hAnsi="宋体" w:eastAsia="宋体" w:cs="宋体"/>
          <w:color w:val="auto"/>
          <w:sz w:val="21"/>
          <w:szCs w:val="21"/>
          <w:highlight w:val="none"/>
          <w:lang w:val="zh-CN" w:eastAsia="zh-CN"/>
        </w:rPr>
        <w:t>。</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lang w:eastAsia="zh-CN"/>
        </w:rPr>
        <w:t>货物的交货地：</w:t>
      </w:r>
      <w:r>
        <w:rPr>
          <w:rFonts w:hint="eastAsia" w:ascii="宋体" w:hAnsi="宋体" w:eastAsia="宋体" w:cs="宋体"/>
          <w:b w:val="0"/>
          <w:bCs w:val="0"/>
          <w:color w:val="auto"/>
          <w:sz w:val="21"/>
          <w:szCs w:val="21"/>
          <w:highlight w:val="none"/>
          <w:lang w:val="en-US" w:eastAsia="zh-CN"/>
        </w:rPr>
        <w:t>银湖街道勤乐村、东洲街道鸡笼山村</w:t>
      </w:r>
      <w:r>
        <w:rPr>
          <w:rFonts w:hint="eastAsia" w:ascii="宋体" w:hAnsi="宋体" w:eastAsia="宋体" w:cs="宋体"/>
          <w:b w:val="0"/>
          <w:bCs w:val="0"/>
          <w:color w:val="auto"/>
          <w:kern w:val="2"/>
          <w:sz w:val="21"/>
          <w:szCs w:val="21"/>
          <w:highlight w:val="none"/>
          <w:lang w:val="en-US" w:eastAsia="zh-CN" w:bidi="ar-SA"/>
        </w:rPr>
        <w:t>。</w:t>
      </w:r>
    </w:p>
    <w:p>
      <w:pPr>
        <w:spacing w:line="44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zh-CN" w:eastAsia="zh-CN"/>
        </w:rPr>
        <w:t>、质量</w:t>
      </w:r>
      <w:r>
        <w:rPr>
          <w:rFonts w:hint="eastAsia" w:ascii="宋体" w:hAnsi="宋体" w:eastAsia="宋体" w:cs="宋体"/>
          <w:b/>
          <w:bCs/>
          <w:color w:val="auto"/>
          <w:sz w:val="21"/>
          <w:szCs w:val="21"/>
          <w:highlight w:val="none"/>
          <w:lang w:val="en-US" w:eastAsia="zh-CN"/>
        </w:rPr>
        <w:t>要求：</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1.质量要求：合格。</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2.按国家规范等检验评定标准进行检查验收。</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3.采购人对每批到货产品进行抽检，如不符合采购要求，退回本批次的产品。</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4.对到场材料，甲方有权予以验收，发现不合格材料有权无条件予以退货。</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5.甲方在乙方供货期间，随机安排抽检，费用由甲方承担，若检测结果不合格，甲、乙双方在同批次产品中再次抽检，（费用由乙方承担），仍不合格的情况，合同终止。</w:t>
      </w:r>
    </w:p>
    <w:p>
      <w:pPr>
        <w:spacing w:line="400" w:lineRule="exact"/>
        <w:ind w:firstLine="412" w:firstLineChars="200"/>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6.因乙方质量、供货不及时等原因给甲方造成损失的，乙方应承担赔偿责任。</w:t>
      </w:r>
    </w:p>
    <w:p>
      <w:pPr>
        <w:spacing w:line="400" w:lineRule="exact"/>
        <w:ind w:firstLine="422" w:firstLineChars="200"/>
        <w:rPr>
          <w:rFonts w:hint="eastAsia"/>
          <w:color w:val="auto"/>
          <w:highlight w:val="none"/>
          <w:lang w:val="en-US" w:eastAsia="zh-CN"/>
        </w:rPr>
      </w:pPr>
      <w:r>
        <w:rPr>
          <w:rFonts w:hint="eastAsia" w:ascii="宋体" w:hAnsi="宋体" w:eastAsia="宋体" w:cs="宋体"/>
          <w:b/>
          <w:bCs/>
          <w:color w:val="auto"/>
          <w:spacing w:val="0"/>
          <w:kern w:val="2"/>
          <w:sz w:val="21"/>
          <w:szCs w:val="21"/>
          <w:highlight w:val="none"/>
          <w:u w:val="none"/>
          <w:shd w:val="clear"/>
          <w:lang w:val="en-US" w:eastAsia="zh-CN" w:bidi="ar-SA"/>
        </w:rPr>
        <w:t>七、履约保证金：</w:t>
      </w:r>
      <w:r>
        <w:rPr>
          <w:rFonts w:hint="eastAsia" w:ascii="宋体" w:hAnsi="宋体" w:cs="宋体"/>
          <w:color w:val="auto"/>
          <w:spacing w:val="-2"/>
          <w:kern w:val="0"/>
          <w:sz w:val="21"/>
          <w:szCs w:val="21"/>
          <w:highlight w:val="none"/>
          <w:lang w:val="en-US" w:eastAsia="zh-CN"/>
        </w:rPr>
        <w:t>签订合同前中标人应向采购人缴纳合同总价的1%作为履约保证金（履约保证金缴纳方式：电汇或银行保函或保险保函），合同履约完成后退还（无息）。未按规定及时交纳履约保证金或未及时与采购人签订合同的，视为放弃中标。采购人有权取消中标单位的中标资格，给采购人造成损失的，中标供应商还应当承担一切后果。</w:t>
      </w:r>
    </w:p>
    <w:p>
      <w:pPr>
        <w:pStyle w:val="33"/>
        <w:ind w:firstLine="422" w:firstLineChars="200"/>
        <w:rPr>
          <w:rFonts w:hint="eastAsia"/>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八、供货方式：</w:t>
      </w:r>
      <w:r>
        <w:rPr>
          <w:rFonts w:hint="eastAsia" w:ascii="宋体" w:hAnsi="宋体" w:cs="宋体" w:eastAsiaTheme="minorEastAsia"/>
          <w:color w:val="auto"/>
          <w:spacing w:val="-2"/>
          <w:kern w:val="0"/>
          <w:sz w:val="21"/>
          <w:szCs w:val="21"/>
          <w:highlight w:val="none"/>
          <w:lang w:val="en-US" w:eastAsia="zh-CN" w:bidi="ar-SA"/>
        </w:rPr>
        <w:t>分批次供应</w:t>
      </w:r>
      <w:r>
        <w:rPr>
          <w:rFonts w:hint="eastAsia" w:ascii="宋体" w:hAnsi="宋体" w:cs="宋体"/>
          <w:color w:val="auto"/>
          <w:spacing w:val="-2"/>
          <w:kern w:val="0"/>
          <w:sz w:val="21"/>
          <w:szCs w:val="21"/>
          <w:highlight w:val="none"/>
          <w:lang w:val="en-US" w:eastAsia="zh-CN" w:bidi="ar-SA"/>
        </w:rPr>
        <w:t>。</w:t>
      </w:r>
    </w:p>
    <w:p>
      <w:pPr>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、资质要求</w:t>
      </w:r>
      <w:r>
        <w:rPr>
          <w:rFonts w:hint="eastAsia" w:ascii="宋体" w:hAnsi="宋体" w:eastAsia="宋体" w:cs="宋体"/>
          <w:b/>
          <w:bCs/>
          <w:color w:val="auto"/>
          <w:sz w:val="21"/>
          <w:szCs w:val="21"/>
          <w:highlight w:val="none"/>
          <w:lang w:eastAsia="zh-CN"/>
        </w:rPr>
        <w:t>：</w:t>
      </w:r>
    </w:p>
    <w:p>
      <w:pPr>
        <w:widowControl/>
        <w:spacing w:line="400" w:lineRule="exact"/>
        <w:ind w:firstLine="403" w:firstLineChars="196"/>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1.符合《中华人民共和国政府采购法》第二十二条之规定，在中华人民共和国境内注册，且符合、承认并承诺履行本采购文件各项规定，所提供的货物和服务须在我国境内合法生产或销售的；</w:t>
      </w:r>
    </w:p>
    <w:p>
      <w:pPr>
        <w:widowControl/>
        <w:spacing w:line="400" w:lineRule="exact"/>
        <w:ind w:firstLine="403" w:firstLineChars="196"/>
        <w:rPr>
          <w:rFonts w:hint="eastAsia" w:ascii="宋体" w:hAnsi="宋体" w:cs="宋体"/>
          <w:color w:val="auto"/>
          <w:spacing w:val="-2"/>
          <w:kern w:val="0"/>
          <w:sz w:val="21"/>
          <w:szCs w:val="21"/>
          <w:highlight w:val="none"/>
          <w:lang w:val="en-US" w:eastAsia="zh-CN"/>
        </w:rPr>
      </w:pPr>
      <w:r>
        <w:rPr>
          <w:rFonts w:hint="eastAsia" w:ascii="宋体" w:hAnsi="宋体" w:cs="宋体"/>
          <w:color w:val="auto"/>
          <w:spacing w:val="-2"/>
          <w:kern w:val="0"/>
          <w:sz w:val="21"/>
          <w:szCs w:val="21"/>
          <w:highlight w:val="none"/>
          <w:lang w:val="en-US" w:eastAsia="zh-CN"/>
        </w:rPr>
        <w:t>2.本项目不接受联合体投标。</w:t>
      </w:r>
    </w:p>
    <w:p>
      <w:pPr>
        <w:spacing w:line="440" w:lineRule="exact"/>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证明材料：参与报价的供应商须提供营业执照复印件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报价一览表</w:t>
      </w:r>
      <w:r>
        <w:rPr>
          <w:rFonts w:hint="eastAsia" w:ascii="宋体" w:hAnsi="宋体" w:eastAsia="宋体" w:cs="宋体"/>
          <w:b/>
          <w:bCs/>
          <w:color w:val="auto"/>
          <w:sz w:val="21"/>
          <w:szCs w:val="21"/>
          <w:highlight w:val="none"/>
          <w:lang w:eastAsia="zh-CN"/>
        </w:rPr>
        <w:t>及报价明细表</w:t>
      </w:r>
      <w:r>
        <w:rPr>
          <w:rFonts w:hint="eastAsia" w:ascii="宋体" w:hAnsi="宋体" w:eastAsia="宋体" w:cs="宋体"/>
          <w:b/>
          <w:bCs/>
          <w:color w:val="auto"/>
          <w:sz w:val="21"/>
          <w:szCs w:val="21"/>
          <w:highlight w:val="none"/>
        </w:rPr>
        <w:t>（格式详见附件），以上资料需加盖公章，所提供的资料必须真实有效，若发现弄虚作假则取消投标资格；未上传以上资料，响应无效。</w:t>
      </w: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pStyle w:val="25"/>
        <w:rPr>
          <w:color w:val="auto"/>
          <w:sz w:val="21"/>
          <w:szCs w:val="21"/>
          <w:highlight w:val="none"/>
        </w:rPr>
      </w:pPr>
    </w:p>
    <w:p>
      <w:pPr>
        <w:jc w:val="center"/>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（本合同为合同样稿，最终稿由双方协商后确定）</w:t>
      </w:r>
    </w:p>
    <w:p>
      <w:pPr>
        <w:keepNext w:val="0"/>
        <w:keepLines w:val="0"/>
        <w:pageBreakBefore w:val="0"/>
        <w:widowControl w:val="0"/>
        <w:kinsoku/>
        <w:wordWrap/>
        <w:overflowPunct/>
        <w:topLinePunct w:val="0"/>
        <w:autoSpaceDE/>
        <w:autoSpaceDN/>
        <w:bidi w:val="0"/>
        <w:adjustRightInd/>
        <w:snapToGrid/>
        <w:spacing w:beforeLines="0" w:line="360" w:lineRule="auto"/>
        <w:ind w:firstLine="510"/>
        <w:jc w:val="left"/>
        <w:textAlignment w:val="auto"/>
        <w:outlineLvl w:val="1"/>
        <w:rPr>
          <w:rFonts w:hint="eastAsia" w:ascii="仿宋" w:hAnsi="仿宋" w:eastAsia="仿宋" w:cs="仿宋"/>
          <w:b/>
          <w:bCs/>
          <w:color w:val="auto"/>
          <w:kern w:val="20"/>
          <w:sz w:val="24"/>
          <w:szCs w:val="24"/>
          <w:highlight w:val="none"/>
        </w:rPr>
      </w:pPr>
      <w:r>
        <w:rPr>
          <w:rFonts w:hint="eastAsia" w:ascii="仿宋" w:hAnsi="仿宋" w:eastAsia="仿宋" w:cs="仿宋"/>
          <w:b/>
          <w:bCs/>
          <w:color w:val="auto"/>
          <w:kern w:val="20"/>
          <w:sz w:val="24"/>
          <w:szCs w:val="24"/>
          <w:highlight w:val="none"/>
          <w:lang w:eastAsia="zh-CN"/>
        </w:rPr>
        <w:t>一</w:t>
      </w:r>
      <w:r>
        <w:rPr>
          <w:rFonts w:hint="eastAsia" w:ascii="仿宋" w:hAnsi="仿宋" w:eastAsia="仿宋" w:cs="仿宋"/>
          <w:b/>
          <w:bCs/>
          <w:color w:val="auto"/>
          <w:kern w:val="20"/>
          <w:sz w:val="24"/>
          <w:szCs w:val="24"/>
          <w:highlight w:val="none"/>
        </w:rPr>
        <w:t>、合同主要条款</w:t>
      </w:r>
    </w:p>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 甲方）：</w:t>
      </w:r>
    </w:p>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供应商（ 乙方）： </w:t>
      </w:r>
    </w:p>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依照《中华人民共和国</w:t>
      </w:r>
      <w:r>
        <w:rPr>
          <w:rFonts w:hint="eastAsia" w:ascii="仿宋" w:hAnsi="仿宋" w:eastAsia="仿宋" w:cs="仿宋"/>
          <w:bCs/>
          <w:color w:val="auto"/>
          <w:sz w:val="24"/>
          <w:szCs w:val="24"/>
          <w:highlight w:val="none"/>
          <w:lang w:eastAsia="zh-CN"/>
        </w:rPr>
        <w:t>民法典</w:t>
      </w:r>
      <w:r>
        <w:rPr>
          <w:rFonts w:hint="eastAsia" w:ascii="仿宋" w:hAnsi="仿宋" w:eastAsia="仿宋" w:cs="仿宋"/>
          <w:bCs/>
          <w:color w:val="auto"/>
          <w:sz w:val="24"/>
          <w:szCs w:val="24"/>
          <w:highlight w:val="none"/>
        </w:rPr>
        <w:t>》等相关法律法规，经</w:t>
      </w:r>
      <w:r>
        <w:rPr>
          <w:rFonts w:hint="eastAsia" w:ascii="仿宋" w:hAnsi="仿宋" w:eastAsia="仿宋" w:cs="仿宋"/>
          <w:bCs/>
          <w:color w:val="auto"/>
          <w:sz w:val="24"/>
          <w:szCs w:val="24"/>
          <w:highlight w:val="none"/>
          <w:lang w:eastAsia="zh-CN"/>
        </w:rPr>
        <w:t>乐彩云平台竞价</w:t>
      </w:r>
      <w:r>
        <w:rPr>
          <w:rFonts w:hint="eastAsia" w:ascii="仿宋" w:hAnsi="仿宋" w:eastAsia="仿宋" w:cs="仿宋"/>
          <w:bCs/>
          <w:color w:val="auto"/>
          <w:sz w:val="24"/>
          <w:szCs w:val="24"/>
          <w:highlight w:val="none"/>
        </w:rPr>
        <w:t>确定</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由乙方供货，甲、乙双方遵循平等、自愿、公平和诚实信用的原则，就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供应的有关事项，签订本合同。</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材料名称及规格价格</w:t>
      </w:r>
      <w:r>
        <w:rPr>
          <w:rFonts w:hint="eastAsia" w:ascii="仿宋" w:hAnsi="仿宋" w:eastAsia="仿宋" w:cs="仿宋"/>
          <w:b/>
          <w:bCs/>
          <w:color w:val="auto"/>
          <w:sz w:val="24"/>
          <w:szCs w:val="24"/>
          <w:highlight w:val="no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金额单位：元 </w:t>
      </w:r>
    </w:p>
    <w:tbl>
      <w:tblPr>
        <w:tblStyle w:val="26"/>
        <w:tblW w:w="81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341"/>
        <w:gridCol w:w="1335"/>
        <w:gridCol w:w="960"/>
        <w:gridCol w:w="1020"/>
        <w:gridCol w:w="1725"/>
        <w:gridCol w:w="11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序号</w:t>
            </w:r>
          </w:p>
        </w:tc>
        <w:tc>
          <w:tcPr>
            <w:tcW w:w="134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bCs/>
                <w:color w:val="auto"/>
                <w:sz w:val="24"/>
                <w:szCs w:val="24"/>
                <w:highlight w:val="none"/>
                <w:lang w:val="en-GB" w:eastAsia="zh-CN"/>
              </w:rPr>
            </w:pPr>
            <w:r>
              <w:rPr>
                <w:rFonts w:hint="eastAsia" w:ascii="仿宋" w:hAnsi="仿宋" w:eastAsia="仿宋" w:cs="仿宋"/>
                <w:color w:val="auto"/>
                <w:sz w:val="24"/>
                <w:szCs w:val="24"/>
                <w:highlight w:val="none"/>
                <w:lang w:val="en-GB" w:eastAsia="zh-CN"/>
              </w:rPr>
              <w:t>材料名称</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auto"/>
              <w:jc w:val="center"/>
              <w:textAlignment w:val="auto"/>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sz w:val="24"/>
                <w:szCs w:val="24"/>
                <w:highlight w:val="none"/>
              </w:rPr>
              <w:t>数量</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sz w:val="24"/>
                <w:szCs w:val="24"/>
                <w:highlight w:val="none"/>
                <w:lang w:val="en-GB" w:eastAsia="zh-CN"/>
              </w:rPr>
              <w:t>单位</w:t>
            </w:r>
          </w:p>
        </w:tc>
        <w:tc>
          <w:tcPr>
            <w:tcW w:w="1725"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结算单价（元）</w:t>
            </w:r>
          </w:p>
        </w:tc>
        <w:tc>
          <w:tcPr>
            <w:tcW w:w="110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1</w:t>
            </w:r>
          </w:p>
        </w:tc>
        <w:tc>
          <w:tcPr>
            <w:tcW w:w="134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GB" w:eastAsia="zh-CN"/>
              </w:rPr>
              <w:t xml:space="preserve"> </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auto"/>
              <w:jc w:val="center"/>
              <w:textAlignment w:val="auto"/>
              <w:rPr>
                <w:rFonts w:hint="eastAsia" w:ascii="仿宋" w:hAnsi="仿宋" w:eastAsia="仿宋" w:cs="仿宋"/>
                <w:color w:val="auto"/>
                <w:kern w:val="2"/>
                <w:sz w:val="24"/>
                <w:szCs w:val="24"/>
                <w:highlight w:val="none"/>
                <w:lang w:val="en-GB" w:eastAsia="zh-CN" w:bidi="ar-SA"/>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kern w:val="0"/>
                <w:sz w:val="24"/>
                <w:szCs w:val="24"/>
                <w:highlight w:val="none"/>
                <w:lang w:val="en-GB" w:eastAsia="zh-CN" w:bidi="ar-SA"/>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2</w:t>
            </w:r>
          </w:p>
        </w:tc>
        <w:tc>
          <w:tcPr>
            <w:tcW w:w="134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GB" w:eastAsia="zh-CN"/>
              </w:rPr>
              <w:t xml:space="preserve"> </w:t>
            </w: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34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color w:val="auto"/>
                <w:sz w:val="24"/>
                <w:szCs w:val="24"/>
                <w:highlight w:val="none"/>
                <w:lang w:val="en-GB"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auto"/>
                <w:sz w:val="24"/>
                <w:szCs w:val="24"/>
                <w:highlight w:val="none"/>
                <w:lang w:val="en-US" w:eastAsia="zh-CN"/>
              </w:rPr>
            </w:pPr>
          </w:p>
        </w:tc>
      </w:tr>
    </w:tbl>
    <w:p>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 xml:space="preserve">1.报价包含本项目所必须进行相关工作的所有一切费用（包含梁板预制、养护、预应力张拉、运输、安装、技术服务、安全风险、利润、一般纳税人增值税专用发票13%、等一切费用)，采购人不再另行支付任何费用。  </w:t>
      </w:r>
    </w:p>
    <w:p>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2.乙方按甲方要求将材料运输到指定地点。</w:t>
      </w:r>
    </w:p>
    <w:p>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 xml:space="preserve">3、本次采购所需货物必须符合国家或行业技术标准要求。 </w:t>
      </w:r>
    </w:p>
    <w:p>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本次采购所需货物技术参数或标准与最新的规范、要求不一致的，以最新的规范为准。产品材料均应由具相关资质检测单位提供符合技术规范的有效检测报告。进厂的货物应按批次提供由行业主管部门认可的检测单位出具的检验报告、产品合格证书。</w:t>
      </w:r>
    </w:p>
    <w:p>
      <w:pPr>
        <w:keepNext w:val="0"/>
        <w:keepLines w:val="0"/>
        <w:pageBreakBefore w:val="0"/>
        <w:tabs>
          <w:tab w:val="left" w:pos="960"/>
        </w:tabs>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、质量要求与检测：</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质量要求：</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2.按国家规范等检验评定标准进行检查验收。</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对到场材料，甲方有权予以验收，发现不合格材料有权无条件予以退货。</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甲方在乙方供货期间，随机安排抽检，费用由甲方承担，若检测结果不合格，甲、乙双方在同批次产品中再次抽检，（费用由乙方承担），仍不合格的情况，合同终止。</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因乙方质量、供货不及时等原因给甲方造成损失的，乙方应承担赔偿责任。</w:t>
      </w:r>
    </w:p>
    <w:p>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、合同期限</w:t>
      </w:r>
    </w:p>
    <w:p>
      <w:pPr>
        <w:keepNext w:val="0"/>
        <w:keepLines w:val="0"/>
        <w:pageBreakBefore w:val="0"/>
        <w:tabs>
          <w:tab w:val="left" w:pos="660"/>
        </w:tabs>
        <w:kinsoku/>
        <w:wordWrap/>
        <w:overflowPunct/>
        <w:topLinePunct w:val="0"/>
        <w:autoSpaceDE/>
        <w:autoSpaceDN/>
        <w:bidi w:val="0"/>
        <w:adjustRightInd/>
        <w:spacing w:beforeLines="0" w:line="360" w:lineRule="auto"/>
        <w:ind w:firstLine="960" w:firstLineChars="4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甲方下任务单后45天安装完成。</w:t>
      </w:r>
    </w:p>
    <w:p>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、双方义务与责任</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甲方义务与责任</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及时通知供货商供货需求</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及时支付货款；</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负责货物到场验收，及时办理验货手续。</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乙方义务与责任</w:t>
      </w:r>
    </w:p>
    <w:p>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派代表负责供货需求的相关联系、交货、验收；</w:t>
      </w:r>
    </w:p>
    <w:p>
      <w:pPr>
        <w:keepNext w:val="0"/>
        <w:keepLines w:val="0"/>
        <w:pageBreakBefore w:val="0"/>
        <w:kinsoku/>
        <w:wordWrap/>
        <w:overflowPunct/>
        <w:topLinePunct w:val="0"/>
        <w:autoSpaceDE/>
        <w:autoSpaceDN/>
        <w:bidi w:val="0"/>
        <w:adjustRightInd/>
        <w:spacing w:beforeLines="0"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按甲方提供的供货清单、供货进度计划要求及时供货；</w:t>
      </w:r>
    </w:p>
    <w:p>
      <w:pPr>
        <w:keepNext w:val="0"/>
        <w:keepLines w:val="0"/>
        <w:pageBreakBefore w:val="0"/>
        <w:kinsoku/>
        <w:wordWrap/>
        <w:overflowPunct/>
        <w:topLinePunct w:val="0"/>
        <w:autoSpaceDE/>
        <w:autoSpaceDN/>
        <w:bidi w:val="0"/>
        <w:adjustRightInd/>
        <w:spacing w:beforeLines="0" w:line="360" w:lineRule="auto"/>
        <w:ind w:right="-733" w:rightChars="-34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对所供货物的质量负责，对不合格的货物负责及时更换；</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配合甲方对到场货物的验收工作。</w:t>
      </w: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、违约责任</w:t>
      </w:r>
    </w:p>
    <w:p>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除不可抗力原因外，如发生甲方中途退货，或乙方不能按时交货或提供服务等情况，应以书面形式通知对方，双方友好协商，妥善解决。如协商无效，按以下规定处以罚金：</w:t>
      </w:r>
    </w:p>
    <w:p>
      <w:pPr>
        <w:keepNext w:val="0"/>
        <w:keepLines w:val="0"/>
        <w:pageBreakBefore w:val="0"/>
        <w:numPr>
          <w:ilvl w:val="0"/>
          <w:numId w:val="0"/>
        </w:numPr>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按甲方要求将材料运输到指定地点。乙方如果不能在规定时间内将材料运输到甲方要求指定的地点，第一次违约将罚款1000元，第二次违约将罚款3000元，第三次违约甲方有权终止合同，并按乙方违约没收其履约保证金。</w:t>
      </w:r>
    </w:p>
    <w:p>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甲方无正当理由中途退货，应向乙方偿付违约金，违约金为退货材料总价的20%。</w:t>
      </w:r>
    </w:p>
    <w:p>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乙方提供货物的质量达不到要求，按质量保证条款处理。</w:t>
      </w:r>
    </w:p>
    <w:p>
      <w:pPr>
        <w:keepNext w:val="0"/>
        <w:keepLines w:val="0"/>
        <w:pageBreakBefore w:val="0"/>
        <w:tabs>
          <w:tab w:val="left" w:pos="9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、结算与支付</w:t>
      </w:r>
    </w:p>
    <w:p>
      <w:pPr>
        <w:keepNext w:val="0"/>
        <w:keepLines w:val="0"/>
        <w:pageBreakBefore w:val="0"/>
        <w:widowControl w:val="0"/>
        <w:kinsoku/>
        <w:wordWrap/>
        <w:overflowPunct/>
        <w:topLinePunct w:val="0"/>
        <w:autoSpaceDE/>
        <w:autoSpaceDN/>
        <w:bidi w:val="0"/>
        <w:adjustRightInd/>
        <w:snapToGrid/>
        <w:spacing w:beforeLines="0" w:line="360" w:lineRule="auto"/>
        <w:ind w:firstLine="5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结算方式</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1.1.本项目合同总价确定方式：合同总价=各项内容的投标单价*实际工程量，最终按实结算。</w:t>
      </w:r>
    </w:p>
    <w:p>
      <w:pPr>
        <w:pStyle w:val="69"/>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b w:val="0"/>
          <w:bCs w:val="0"/>
          <w:color w:val="auto"/>
          <w:sz w:val="24"/>
          <w:szCs w:val="24"/>
          <w:highlight w:val="none"/>
          <w:lang w:val="zh-CN" w:eastAsia="zh-CN"/>
        </w:rPr>
        <w:t>采购的梁板</w:t>
      </w:r>
      <w:r>
        <w:rPr>
          <w:rFonts w:hint="eastAsia" w:ascii="仿宋" w:hAnsi="仿宋" w:eastAsia="仿宋" w:cs="仿宋"/>
          <w:b w:val="0"/>
          <w:bCs w:val="0"/>
          <w:color w:val="auto"/>
          <w:sz w:val="24"/>
          <w:szCs w:val="24"/>
          <w:highlight w:val="none"/>
          <w:lang w:val="zh-CN"/>
        </w:rPr>
        <w:t>数量</w:t>
      </w:r>
      <w:r>
        <w:rPr>
          <w:rFonts w:hint="eastAsia" w:ascii="仿宋" w:hAnsi="仿宋" w:eastAsia="仿宋" w:cs="仿宋"/>
          <w:b w:val="0"/>
          <w:bCs w:val="0"/>
          <w:color w:val="auto"/>
          <w:sz w:val="24"/>
          <w:szCs w:val="24"/>
          <w:highlight w:val="none"/>
          <w:lang w:val="zh-CN" w:eastAsia="zh-CN"/>
        </w:rPr>
        <w:t>为</w:t>
      </w:r>
      <w:r>
        <w:rPr>
          <w:rFonts w:hint="eastAsia" w:ascii="仿宋" w:hAnsi="仿宋" w:eastAsia="仿宋" w:cs="仿宋"/>
          <w:b w:val="0"/>
          <w:bCs w:val="0"/>
          <w:color w:val="auto"/>
          <w:sz w:val="24"/>
          <w:szCs w:val="24"/>
          <w:highlight w:val="none"/>
          <w:lang w:val="zh-CN"/>
        </w:rPr>
        <w:t>暂定数量，具体采购规格、数量按实际工程用量结算（运费包含在材料单价中，不单独开具发票）。</w:t>
      </w:r>
    </w:p>
    <w:p>
      <w:pPr>
        <w:pStyle w:val="69"/>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1.3本项目采用固定综合单价合同，合同期间单价不予调整，具体采购数量按实际采购量结算。</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支付方式：</w:t>
      </w:r>
      <w:r>
        <w:rPr>
          <w:rFonts w:hint="eastAsia" w:ascii="仿宋" w:hAnsi="仿宋" w:eastAsia="仿宋" w:cs="仿宋"/>
          <w:color w:val="auto"/>
          <w:sz w:val="24"/>
          <w:szCs w:val="24"/>
          <w:highlight w:val="none"/>
          <w:lang w:val="en-US" w:eastAsia="zh-CN"/>
        </w:rPr>
        <w:t>按实际到货结算，乙方应定期对所供货物进行汇总并与甲方进行对账确认。甲方根据最终对账确认的情况将货款接照合同约定如数汇入乙方银行帐户：每月月底结算，甲方于结算完成后30日内付款，付款前乙方需提供足额、合法、有效的增值税专用发票（税率13%）。</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需提供现场签收回单、产品合格证、相关报告等。</w:t>
      </w:r>
    </w:p>
    <w:p>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、其他</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签订合同前乙方应向采购人缴纳合同总价的1%作为履约保证金（履约保证金缴纳方式：电汇或银行保函或保险保函），合同终止后30天内退还（无息）。未按规定及时交纳履约保证金或未及时与采购人签订合同的，视为放弃中标。采购人有权取消中标单位的中标资格，给采购人造成损失的，中标供应商还应当承担一切后果。</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未尽事宜，双方本着友好的态度，协商解决。</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合同执行过程中如发生合同纠纷，双方协商解决。如仍不能解决争端，向杭州市富阳区人民法院起诉。</w:t>
      </w:r>
    </w:p>
    <w:p>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本合同壹式</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份，甲、乙双方各执</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w:t>
      </w:r>
    </w:p>
    <w:p>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p>
    <w:p>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甲方（盖章）：                       乙方（盖章）：</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                 法定代表人（签字）：</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委托代理人（签字）：                 委托代理人（签字）：</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                               地址：</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电话：</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开户银行：</w:t>
      </w:r>
    </w:p>
    <w:p>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账号：</w:t>
      </w:r>
      <w:r>
        <w:rPr>
          <w:rFonts w:hint="eastAsia" w:ascii="仿宋" w:hAnsi="仿宋" w:eastAsia="仿宋" w:cs="仿宋"/>
          <w:color w:val="auto"/>
          <w:sz w:val="24"/>
          <w:szCs w:val="24"/>
          <w:highlight w:val="none"/>
        </w:rPr>
        <w:t xml:space="preserve">   </w:t>
      </w:r>
    </w:p>
    <w:p>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p>
    <w:p>
      <w:pPr>
        <w:keepNext w:val="0"/>
        <w:keepLines w:val="0"/>
        <w:pageBreakBefore w:val="0"/>
        <w:tabs>
          <w:tab w:val="left" w:pos="960"/>
        </w:tabs>
        <w:kinsoku/>
        <w:wordWrap/>
        <w:overflowPunct/>
        <w:topLinePunct w:val="0"/>
        <w:autoSpaceDE/>
        <w:autoSpaceDN/>
        <w:bidi w:val="0"/>
        <w:adjustRightInd/>
        <w:spacing w:beforeLines="0" w:line="360" w:lineRule="auto"/>
        <w:ind w:firstLine="3120" w:firstLineChars="13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签订日期：</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pPr>
        <w:spacing w:before="120" w:line="360" w:lineRule="auto"/>
        <w:jc w:val="center"/>
        <w:rPr>
          <w:rFonts w:hint="eastAsia" w:ascii="仿宋" w:hAnsi="仿宋" w:eastAsia="仿宋" w:cs="仿宋"/>
          <w:b/>
          <w:color w:val="auto"/>
          <w:sz w:val="44"/>
          <w:szCs w:val="44"/>
          <w:highlight w:val="none"/>
        </w:rPr>
      </w:pPr>
    </w:p>
    <w:p>
      <w:pPr>
        <w:spacing w:before="120" w:line="360" w:lineRule="auto"/>
        <w:jc w:val="center"/>
        <w:rPr>
          <w:rFonts w:ascii="宋体" w:cs="仿宋"/>
          <w:b/>
          <w:color w:val="auto"/>
          <w:sz w:val="44"/>
          <w:szCs w:val="44"/>
          <w:highlight w:val="none"/>
        </w:rPr>
      </w:pPr>
      <w:r>
        <w:rPr>
          <w:rFonts w:hint="eastAsia" w:ascii="仿宋" w:hAnsi="仿宋" w:eastAsia="仿宋" w:cs="仿宋"/>
          <w:b/>
          <w:color w:val="auto"/>
          <w:sz w:val="44"/>
          <w:szCs w:val="44"/>
          <w:highlight w:val="none"/>
        </w:rPr>
        <w:t>廉 政 条 款</w:t>
      </w:r>
    </w:p>
    <w:p>
      <w:pPr>
        <w:spacing w:before="120"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一、甲、乙双方的权利和义务</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1.甲、乙双方应严格遵守党的政策规定和国家有关法律法规。</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2.甲、乙双方应严格执行项目的合同文件，自觉按合同办事。</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3.甲、乙双方的业务活动应坚持公开、公平、公正、诚信、透明的原则。</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4.乙方不得以任何理由向监理和委托方的项目监管人员行贿或馈赠礼金、有价证劵、贵重礼品，不得为利用关系人报销任何应由个人支付的费用。</w:t>
      </w:r>
    </w:p>
    <w:p>
      <w:pPr>
        <w:spacing w:before="120" w:line="360" w:lineRule="auto"/>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5.甲、乙双方不得以任何理由违反廉洁自律的有关规定。</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6.甲、乙双方发现对方严重违反本合同条款的行为，有及时提醒对方、向其上级有关部门举报、建议给予处理并要求告知处理结果的权利。</w:t>
      </w:r>
    </w:p>
    <w:p>
      <w:pPr>
        <w:spacing w:before="120"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二、违约责任</w:t>
      </w:r>
    </w:p>
    <w:p>
      <w:pPr>
        <w:spacing w:before="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20"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甲方（盖章）：                       乙方（盖章）：</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法定代表人或委托代理人：             法定代表人或委托代理人：</w:t>
      </w:r>
      <w:r>
        <w:rPr>
          <w:rFonts w:hint="eastAsia" w:ascii="仿宋" w:hAnsi="仿宋" w:eastAsia="仿宋" w:cs="仿宋"/>
          <w:color w:val="auto"/>
          <w:kern w:val="0"/>
          <w:sz w:val="24"/>
          <w:szCs w:val="24"/>
          <w:highlight w:val="none"/>
        </w:rPr>
        <w:t xml:space="preserve">  </w:t>
      </w:r>
    </w:p>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签订日期： 年  月    日</w:t>
      </w:r>
    </w:p>
    <w:p>
      <w:pPr>
        <w:spacing w:before="120" w:line="440" w:lineRule="exact"/>
        <w:ind w:firstLine="480" w:firstLineChars="200"/>
        <w:rPr>
          <w:rFonts w:ascii="宋体" w:cs="仿宋"/>
          <w:color w:val="auto"/>
          <w:sz w:val="24"/>
          <w:highlight w:val="none"/>
        </w:rPr>
      </w:pPr>
    </w:p>
    <w:p>
      <w:pPr>
        <w:jc w:val="center"/>
        <w:rPr>
          <w:rFonts w:hint="eastAsia" w:ascii="宋体" w:hAnsi="宋体" w:cs="仿宋"/>
          <w:b/>
          <w:bCs/>
          <w:color w:val="auto"/>
          <w:sz w:val="32"/>
          <w:szCs w:val="32"/>
          <w:highlight w:val="none"/>
        </w:rPr>
      </w:pPr>
    </w:p>
    <w:p>
      <w:pPr>
        <w:spacing w:before="120" w:line="440" w:lineRule="exact"/>
        <w:ind w:firstLine="480" w:firstLineChars="200"/>
        <w:rPr>
          <w:rFonts w:ascii="宋体" w:cs="仿宋"/>
          <w:color w:val="auto"/>
          <w:sz w:val="24"/>
          <w:highlight w:val="none"/>
        </w:rPr>
      </w:pPr>
    </w:p>
    <w:p>
      <w:pPr>
        <w:rPr>
          <w:rFonts w:hint="eastAsia" w:ascii="宋体" w:hAnsi="宋体" w:cs="仿宋"/>
          <w:color w:val="auto"/>
          <w:sz w:val="24"/>
          <w:highlight w:val="none"/>
        </w:rPr>
      </w:pPr>
      <w:r>
        <w:rPr>
          <w:rFonts w:ascii="宋体" w:hAnsi="宋体" w:cs="仿宋"/>
          <w:color w:val="auto"/>
          <w:sz w:val="24"/>
          <w:highlight w:val="none"/>
        </w:rPr>
        <w:t xml:space="preserve">                                     </w:t>
      </w:r>
    </w:p>
    <w:p>
      <w:pPr>
        <w:pStyle w:val="19"/>
        <w:rPr>
          <w:rFonts w:hint="eastAsia" w:ascii="宋体" w:hAnsi="宋体" w:cs="仿宋"/>
          <w:color w:val="auto"/>
          <w:sz w:val="24"/>
          <w:highlight w:val="none"/>
        </w:rPr>
      </w:pPr>
    </w:p>
    <w:p>
      <w:pPr>
        <w:rPr>
          <w:rFonts w:hint="eastAsia" w:ascii="宋体" w:hAnsi="宋体" w:cs="仿宋"/>
          <w:color w:val="auto"/>
          <w:sz w:val="24"/>
          <w:highlight w:val="none"/>
        </w:rPr>
      </w:pPr>
    </w:p>
    <w:p>
      <w:pPr>
        <w:pStyle w:val="77"/>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line="5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报价</w:t>
      </w:r>
      <w:r>
        <w:rPr>
          <w:rFonts w:hint="eastAsia" w:ascii="仿宋" w:hAnsi="仿宋" w:eastAsia="仿宋" w:cs="仿宋"/>
          <w:b/>
          <w:color w:val="auto"/>
          <w:sz w:val="32"/>
          <w:highlight w:val="none"/>
        </w:rPr>
        <w:t>一览表</w:t>
      </w:r>
    </w:p>
    <w:p>
      <w:pPr>
        <w:spacing w:line="56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项目名称：2024年东洲街道黄家桥病危桥改造工程预制空心板采购、320国道余杭华坞至富阳高桥段勤乐村拆迁安置区块进出道路工程（桥梁部分）-梁板采购</w:t>
      </w:r>
    </w:p>
    <w:p>
      <w:pPr>
        <w:pStyle w:val="3"/>
        <w:rPr>
          <w:rFonts w:hint="eastAsia" w:ascii="仿宋" w:hAnsi="仿宋" w:eastAsia="仿宋" w:cs="仿宋"/>
          <w:color w:val="auto"/>
          <w:sz w:val="24"/>
          <w:szCs w:val="24"/>
          <w:highlight w:val="none"/>
          <w:lang w:val="en-US" w:eastAsia="zh-CN"/>
        </w:rPr>
      </w:pPr>
    </w:p>
    <w:tbl>
      <w:tblPr>
        <w:tblStyle w:val="2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3710"/>
        <w:gridCol w:w="2591"/>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项目</w:t>
            </w:r>
            <w:r>
              <w:rPr>
                <w:rFonts w:hint="eastAsia" w:ascii="仿宋" w:hAnsi="仿宋" w:eastAsia="仿宋" w:cs="仿宋"/>
                <w:b/>
                <w:color w:val="auto"/>
                <w:sz w:val="24"/>
                <w:szCs w:val="24"/>
                <w:highlight w:val="none"/>
                <w:lang w:eastAsia="zh-CN"/>
              </w:rPr>
              <w:t>内容</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最高限价</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u w:val="none"/>
                <w:lang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3" w:hRule="atLeast"/>
          <w:jc w:val="center"/>
        </w:trPr>
        <w:tc>
          <w:tcPr>
            <w:tcW w:w="59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sz w:val="24"/>
                <w:szCs w:val="24"/>
                <w:highlight w:val="none"/>
              </w:rPr>
            </w:pPr>
            <w:bookmarkStart w:id="0" w:name="OLE_LINK18" w:colFirst="3" w:colLast="4"/>
            <w:r>
              <w:rPr>
                <w:rFonts w:hint="eastAsia" w:ascii="仿宋" w:hAnsi="仿宋" w:eastAsia="仿宋" w:cs="仿宋"/>
                <w:color w:val="auto"/>
                <w:sz w:val="24"/>
                <w:szCs w:val="24"/>
                <w:highlight w:val="none"/>
              </w:rPr>
              <w:t>1</w:t>
            </w:r>
          </w:p>
        </w:tc>
        <w:tc>
          <w:tcPr>
            <w:tcW w:w="3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2024年东洲街道黄家桥病危桥改造工程预制空心板采购、320国道余杭华坞至富阳高桥段勤乐村拆迁安置区块进出道路工程（桥梁部分）-梁板采购</w:t>
            </w:r>
          </w:p>
        </w:tc>
        <w:tc>
          <w:tcPr>
            <w:tcW w:w="259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570704.44元</w:t>
            </w:r>
          </w:p>
        </w:tc>
        <w:tc>
          <w:tcPr>
            <w:tcW w:w="28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bookmarkEnd w:id="0"/>
    </w:tbl>
    <w:p>
      <w:pPr>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注：1.</w:t>
      </w:r>
      <w:r>
        <w:rPr>
          <w:rFonts w:hint="eastAsia" w:ascii="仿宋" w:hAnsi="仿宋" w:eastAsia="仿宋" w:cs="仿宋"/>
          <w:color w:val="auto"/>
          <w:kern w:val="0"/>
          <w:sz w:val="24"/>
          <w:szCs w:val="24"/>
          <w:highlight w:val="none"/>
          <w:lang w:val="zh-CN"/>
        </w:rPr>
        <w:t>投标人需按本表格式填写，不得自行更改，</w:t>
      </w:r>
      <w:r>
        <w:rPr>
          <w:rFonts w:hint="eastAsia" w:ascii="仿宋" w:hAnsi="仿宋" w:eastAsia="仿宋" w:cs="仿宋"/>
          <w:color w:val="auto"/>
          <w:sz w:val="24"/>
          <w:szCs w:val="24"/>
          <w:highlight w:val="none"/>
        </w:rPr>
        <w:t>投标报价以人民币为结算币种。</w:t>
      </w:r>
    </w:p>
    <w:p>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szCs w:val="24"/>
          <w:highlight w:val="none"/>
          <w:lang w:val="zh-CN"/>
        </w:rPr>
        <w:t>“报价一览表”为多页的，每页均需由投标人法定代表人或授权代表签名并加盖投标人公章。</w:t>
      </w:r>
    </w:p>
    <w:p>
      <w:pPr>
        <w:widowControl/>
        <w:spacing w:line="360" w:lineRule="auto"/>
        <w:jc w:val="left"/>
        <w:rPr>
          <w:rFonts w:hint="eastAsia" w:ascii="仿宋" w:hAnsi="仿宋" w:eastAsia="仿宋" w:cs="仿宋"/>
          <w:color w:val="auto"/>
          <w:sz w:val="24"/>
          <w:szCs w:val="24"/>
          <w:highlight w:val="none"/>
        </w:rPr>
      </w:pPr>
    </w:p>
    <w:p>
      <w:pPr>
        <w:widowControl/>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bookmarkStart w:id="1" w:name="OLE_LINK14"/>
      <w:bookmarkStart w:id="2" w:name="OLE_LINK11"/>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全</w:t>
      </w:r>
      <w:r>
        <w:rPr>
          <w:rFonts w:hint="eastAsia" w:ascii="仿宋" w:hAnsi="仿宋" w:eastAsia="仿宋" w:cs="仿宋"/>
          <w:color w:val="auto"/>
          <w:sz w:val="24"/>
          <w:szCs w:val="24"/>
          <w:highlight w:val="none"/>
        </w:rPr>
        <w:t xml:space="preserve">称(公章): ___________________________ </w:t>
      </w:r>
    </w:p>
    <w:p>
      <w:pPr>
        <w:widowControl/>
        <w:spacing w:line="360" w:lineRule="auto"/>
        <w:ind w:firstLine="480" w:firstLineChars="20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lang w:val="en-US" w:eastAsia="zh-CN"/>
        </w:rPr>
        <w:t xml:space="preserve">                   </w:t>
      </w:r>
    </w:p>
    <w:p>
      <w:pPr>
        <w:widowControl/>
        <w:spacing w:line="360" w:lineRule="auto"/>
        <w:ind w:firstLine="42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投标日期: _______年____月____</w:t>
      </w:r>
      <w:r>
        <w:rPr>
          <w:rFonts w:hint="eastAsia" w:ascii="仿宋" w:hAnsi="仿宋" w:eastAsia="仿宋" w:cs="仿宋"/>
          <w:color w:val="auto"/>
          <w:sz w:val="24"/>
          <w:szCs w:val="24"/>
          <w:highlight w:val="none"/>
          <w:lang w:eastAsia="zh-CN"/>
        </w:rPr>
        <w:t>日</w:t>
      </w:r>
    </w:p>
    <w:bookmarkEnd w:id="1"/>
    <w:bookmarkEnd w:id="2"/>
    <w:p>
      <w:pPr>
        <w:jc w:val="left"/>
        <w:rPr>
          <w:rFonts w:hint="eastAsia" w:ascii="仿宋" w:hAnsi="仿宋" w:eastAsia="仿宋" w:cs="仿宋"/>
          <w:b/>
          <w:bCs/>
          <w:color w:val="auto"/>
          <w:sz w:val="24"/>
          <w:szCs w:val="24"/>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rPr>
          <w:rFonts w:hint="eastAsia"/>
          <w:color w:val="auto"/>
          <w:highlight w:val="none"/>
        </w:rPr>
      </w:pPr>
    </w:p>
    <w:p>
      <w:pPr>
        <w:pStyle w:val="3"/>
        <w:rPr>
          <w:rFonts w:hint="eastAsia"/>
          <w:color w:val="auto"/>
          <w:highlight w:val="none"/>
        </w:rPr>
      </w:pPr>
    </w:p>
    <w:p>
      <w:pPr>
        <w:rPr>
          <w:rFonts w:hint="eastAsia"/>
          <w:color w:val="auto"/>
          <w:highlight w:val="none"/>
        </w:rPr>
      </w:pPr>
    </w:p>
    <w:p>
      <w:pPr>
        <w:pStyle w:val="2"/>
        <w:jc w:val="center"/>
        <w:rPr>
          <w:rFonts w:hint="eastAsia"/>
          <w:color w:val="auto"/>
          <w:sz w:val="36"/>
          <w:szCs w:val="36"/>
          <w:highlight w:val="none"/>
          <w:lang w:eastAsia="zh-CN"/>
        </w:rPr>
      </w:pPr>
      <w:r>
        <w:rPr>
          <w:rFonts w:hint="eastAsia"/>
          <w:color w:val="auto"/>
          <w:sz w:val="36"/>
          <w:szCs w:val="36"/>
          <w:highlight w:val="none"/>
          <w:lang w:eastAsia="zh-CN"/>
        </w:rPr>
        <w:t>报价明细表</w:t>
      </w:r>
    </w:p>
    <w:tbl>
      <w:tblPr>
        <w:tblStyle w:val="26"/>
        <w:tblpPr w:leftFromText="180" w:rightFromText="180" w:vertAnchor="text" w:horzAnchor="page" w:tblpXSpec="center" w:tblpY="747"/>
        <w:tblOverlap w:val="never"/>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071"/>
        <w:gridCol w:w="968"/>
        <w:gridCol w:w="1160"/>
        <w:gridCol w:w="13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54" w:type="dxa"/>
            <w:vMerge w:val="restart"/>
            <w:shd w:val="clear" w:color="auto" w:fill="auto"/>
            <w:noWrap w:val="0"/>
            <w:vAlign w:val="center"/>
          </w:tcPr>
          <w:p>
            <w:pPr>
              <w:widowControl/>
              <w:spacing w:line="500" w:lineRule="exact"/>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序号</w:t>
            </w:r>
          </w:p>
        </w:tc>
        <w:tc>
          <w:tcPr>
            <w:tcW w:w="4071" w:type="dxa"/>
            <w:vMerge w:val="restart"/>
            <w:shd w:val="clear" w:color="auto" w:fill="auto"/>
            <w:noWrap w:val="0"/>
            <w:vAlign w:val="center"/>
          </w:tcPr>
          <w:p>
            <w:pPr>
              <w:pStyle w:val="25"/>
              <w:ind w:left="0" w:leftChars="0"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货物名称</w:t>
            </w:r>
          </w:p>
        </w:tc>
        <w:tc>
          <w:tcPr>
            <w:tcW w:w="968" w:type="dxa"/>
            <w:vMerge w:val="restart"/>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数量</w:t>
            </w:r>
          </w:p>
        </w:tc>
        <w:tc>
          <w:tcPr>
            <w:tcW w:w="1160" w:type="dxa"/>
            <w:vMerge w:val="restart"/>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单位</w:t>
            </w:r>
          </w:p>
        </w:tc>
        <w:tc>
          <w:tcPr>
            <w:tcW w:w="2569" w:type="dxa"/>
            <w:gridSpan w:val="2"/>
            <w:shd w:val="clear" w:color="auto" w:fill="FFFFFF"/>
            <w:noWrap w:val="0"/>
            <w:vAlign w:val="center"/>
          </w:tcPr>
          <w:p>
            <w:pPr>
              <w:spacing w:line="24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4" w:type="dxa"/>
            <w:vMerge w:val="continue"/>
            <w:shd w:val="clear" w:color="auto" w:fill="auto"/>
            <w:noWrap w:val="0"/>
            <w:vAlign w:val="center"/>
          </w:tcPr>
          <w:p>
            <w:pPr>
              <w:widowControl/>
              <w:spacing w:line="500" w:lineRule="exact"/>
              <w:jc w:val="center"/>
              <w:textAlignment w:val="center"/>
              <w:rPr>
                <w:rFonts w:hint="eastAsia" w:ascii="仿宋" w:hAnsi="仿宋" w:eastAsia="仿宋" w:cs="仿宋"/>
                <w:b w:val="0"/>
                <w:bCs w:val="0"/>
                <w:color w:val="auto"/>
                <w:sz w:val="21"/>
                <w:szCs w:val="21"/>
                <w:highlight w:val="none"/>
                <w:lang w:eastAsia="zh-CN"/>
              </w:rPr>
            </w:pPr>
          </w:p>
        </w:tc>
        <w:tc>
          <w:tcPr>
            <w:tcW w:w="4071" w:type="dxa"/>
            <w:vMerge w:val="continue"/>
            <w:shd w:val="clear" w:color="auto" w:fill="auto"/>
            <w:noWrap w:val="0"/>
            <w:vAlign w:val="center"/>
          </w:tcPr>
          <w:p>
            <w:pPr>
              <w:pStyle w:val="25"/>
              <w:ind w:left="0" w:leftChars="0" w:firstLine="0" w:firstLineChars="0"/>
              <w:jc w:val="center"/>
              <w:rPr>
                <w:rFonts w:hint="eastAsia" w:ascii="仿宋" w:hAnsi="仿宋" w:eastAsia="仿宋" w:cs="仿宋"/>
                <w:b w:val="0"/>
                <w:bCs w:val="0"/>
                <w:color w:val="auto"/>
                <w:sz w:val="21"/>
                <w:szCs w:val="21"/>
                <w:highlight w:val="none"/>
                <w:lang w:val="en-US" w:eastAsia="zh-CN"/>
              </w:rPr>
            </w:pPr>
          </w:p>
        </w:tc>
        <w:tc>
          <w:tcPr>
            <w:tcW w:w="968" w:type="dxa"/>
            <w:vMerge w:val="continue"/>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p>
        </w:tc>
        <w:tc>
          <w:tcPr>
            <w:tcW w:w="1160" w:type="dxa"/>
            <w:vMerge w:val="continue"/>
            <w:shd w:val="clear" w:color="auto" w:fill="FFFFFF"/>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p>
        </w:tc>
        <w:tc>
          <w:tcPr>
            <w:tcW w:w="1377" w:type="dxa"/>
            <w:shd w:val="clear" w:color="auto" w:fill="FFFFFF"/>
            <w:noWrap w:val="0"/>
            <w:vAlign w:val="center"/>
          </w:tcPr>
          <w:p>
            <w:pPr>
              <w:spacing w:line="5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单价（元）</w:t>
            </w:r>
          </w:p>
        </w:tc>
        <w:tc>
          <w:tcPr>
            <w:tcW w:w="1192" w:type="dxa"/>
            <w:shd w:val="clear" w:color="auto" w:fill="FFFFFF"/>
            <w:noWrap w:val="0"/>
            <w:vAlign w:val="center"/>
          </w:tcPr>
          <w:p>
            <w:pPr>
              <w:spacing w:line="500" w:lineRule="exact"/>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54"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1</w:t>
            </w:r>
          </w:p>
        </w:tc>
        <w:tc>
          <w:tcPr>
            <w:tcW w:w="4071"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2024年东洲街道黄家桥病危桥改造工程-预制空心板</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5</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块</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654"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kern w:val="0"/>
                <w:sz w:val="21"/>
                <w:szCs w:val="21"/>
                <w:highlight w:val="none"/>
                <w:lang w:val="en-US" w:eastAsia="zh-CN" w:bidi="ar"/>
              </w:rPr>
              <w:t>2</w:t>
            </w:r>
          </w:p>
        </w:tc>
        <w:tc>
          <w:tcPr>
            <w:tcW w:w="4071"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320国道余杭华坞至富阳高桥段勤乐村拆迁安置区块进出道路工程（桥梁部分）-中梁</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18</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片</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54"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w:t>
            </w:r>
          </w:p>
        </w:tc>
        <w:tc>
          <w:tcPr>
            <w:tcW w:w="4071" w:type="dxa"/>
            <w:shd w:val="clear" w:color="auto" w:fill="auto"/>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320国道余杭华坞至富阳高桥段勤乐村拆迁安置区块进出道路工程（桥梁部分）-边梁</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6</w:t>
            </w: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u w:val="none"/>
                <w:lang w:val="en-US" w:eastAsia="zh-CN" w:bidi="ar"/>
              </w:rPr>
              <w:t>片</w:t>
            </w: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54" w:type="dxa"/>
            <w:shd w:val="clear" w:color="auto" w:fill="auto"/>
            <w:noWrap w:val="0"/>
            <w:vAlign w:val="center"/>
          </w:tcPr>
          <w:p>
            <w:pPr>
              <w:widowControl/>
              <w:spacing w:line="360" w:lineRule="auto"/>
              <w:jc w:val="center"/>
              <w:textAlignment w:val="center"/>
              <w:rPr>
                <w:rFonts w:hint="eastAsia" w:ascii="仿宋" w:hAnsi="仿宋" w:eastAsia="仿宋" w:cs="仿宋"/>
                <w:b w:val="0"/>
                <w:bCs w:val="0"/>
                <w:color w:val="auto"/>
                <w:kern w:val="0"/>
                <w:sz w:val="21"/>
                <w:szCs w:val="21"/>
                <w:highlight w:val="none"/>
                <w:lang w:val="en-US" w:eastAsia="zh-CN" w:bidi="ar"/>
              </w:rPr>
            </w:pPr>
          </w:p>
        </w:tc>
        <w:tc>
          <w:tcPr>
            <w:tcW w:w="4071" w:type="dxa"/>
            <w:shd w:val="clear" w:color="auto" w:fill="auto"/>
            <w:noWrap w:val="0"/>
            <w:vAlign w:val="center"/>
          </w:tcPr>
          <w:p>
            <w:pPr>
              <w:widowControl/>
              <w:spacing w:line="240" w:lineRule="auto"/>
              <w:jc w:val="center"/>
              <w:textAlignment w:val="center"/>
              <w:rPr>
                <w:rFonts w:hint="default"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合计</w:t>
            </w:r>
          </w:p>
        </w:tc>
        <w:tc>
          <w:tcPr>
            <w:tcW w:w="968"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u w:val="none"/>
                <w:lang w:val="en-US" w:eastAsia="zh-CN" w:bidi="ar"/>
              </w:rPr>
            </w:pPr>
          </w:p>
        </w:tc>
        <w:tc>
          <w:tcPr>
            <w:tcW w:w="1160" w:type="dxa"/>
            <w:shd w:val="clear" w:color="auto" w:fill="FFFFFF"/>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u w:val="none"/>
                <w:lang w:val="en-US" w:eastAsia="zh-CN" w:bidi="ar"/>
              </w:rPr>
            </w:pPr>
          </w:p>
        </w:tc>
        <w:tc>
          <w:tcPr>
            <w:tcW w:w="1377" w:type="dxa"/>
            <w:shd w:val="clear" w:color="auto" w:fill="FFFFFF"/>
            <w:noWrap w:val="0"/>
            <w:vAlign w:val="center"/>
          </w:tcPr>
          <w:p>
            <w:pPr>
              <w:spacing w:line="240" w:lineRule="auto"/>
              <w:jc w:val="center"/>
              <w:rPr>
                <w:rFonts w:hint="eastAsia" w:ascii="仿宋" w:hAnsi="仿宋" w:eastAsia="仿宋" w:cs="仿宋"/>
                <w:b w:val="0"/>
                <w:bCs w:val="0"/>
                <w:color w:val="auto"/>
                <w:sz w:val="21"/>
                <w:szCs w:val="21"/>
                <w:highlight w:val="none"/>
                <w:lang w:val="en-US" w:eastAsia="zh-CN"/>
              </w:rPr>
            </w:pPr>
          </w:p>
        </w:tc>
        <w:tc>
          <w:tcPr>
            <w:tcW w:w="1192" w:type="dxa"/>
            <w:shd w:val="clear" w:color="auto" w:fill="FFFFFF"/>
            <w:noWrap w:val="0"/>
            <w:vAlign w:val="center"/>
          </w:tcPr>
          <w:p>
            <w:pPr>
              <w:spacing w:line="240" w:lineRule="auto"/>
              <w:jc w:val="center"/>
              <w:rPr>
                <w:rFonts w:hint="eastAsia" w:ascii="仿宋" w:hAnsi="仿宋" w:eastAsia="仿宋" w:cs="仿宋"/>
                <w:b w:val="0"/>
                <w:bCs w:val="0"/>
                <w:color w:val="auto"/>
                <w:kern w:val="2"/>
                <w:sz w:val="21"/>
                <w:szCs w:val="21"/>
                <w:highlight w:val="none"/>
                <w:lang w:val="en-US" w:eastAsia="zh-CN" w:bidi="ar-SA"/>
              </w:rPr>
            </w:pPr>
          </w:p>
        </w:tc>
      </w:tr>
    </w:tbl>
    <w:p>
      <w:pPr>
        <w:pStyle w:val="3"/>
        <w:rPr>
          <w:rFonts w:hint="eastAsia"/>
          <w:color w:val="auto"/>
          <w:highlight w:val="none"/>
          <w:lang w:eastAsia="zh-CN"/>
        </w:rPr>
      </w:pPr>
      <w:r>
        <w:rPr>
          <w:rFonts w:hint="eastAsia"/>
          <w:color w:val="auto"/>
          <w:highlight w:val="none"/>
          <w:lang w:eastAsia="zh-CN"/>
        </w:rPr>
        <w:t>项目名称：2024年东洲街道黄家桥病危桥改造工程预制空心板采购、320国道余杭华坞至富阳高桥段勤乐村拆迁安置区块进出道路工程（桥梁部分）-梁板采购</w:t>
      </w:r>
    </w:p>
    <w:p>
      <w:pPr>
        <w:keepNext w:val="0"/>
        <w:keepLines w:val="0"/>
        <w:pageBreakBefore w:val="0"/>
        <w:kinsoku/>
        <w:wordWrap/>
        <w:topLinePunct w:val="0"/>
        <w:bidi w:val="0"/>
        <w:spacing w:line="40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报</w:t>
      </w:r>
      <w:r>
        <w:rPr>
          <w:rFonts w:hint="eastAsia" w:ascii="宋体" w:hAnsi="宋体" w:eastAsia="宋体" w:cs="宋体"/>
          <w:color w:val="auto"/>
          <w:sz w:val="21"/>
          <w:szCs w:val="21"/>
          <w:highlight w:val="none"/>
          <w:lang w:val="zh-CN" w:eastAsia="zh-CN"/>
        </w:rPr>
        <w:t>价包含本项目所必须进行相关工作的所有一切费用（</w:t>
      </w:r>
      <w:r>
        <w:rPr>
          <w:rFonts w:hint="eastAsia" w:ascii="宋体" w:hAnsi="宋体" w:eastAsia="宋体" w:cs="宋体"/>
          <w:color w:val="auto"/>
          <w:sz w:val="21"/>
          <w:szCs w:val="21"/>
          <w:highlight w:val="none"/>
          <w:lang w:val="en-US" w:eastAsia="zh-CN"/>
        </w:rPr>
        <w:t>包含梁板预制、养护、预应力张拉、运输</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val="zh-CN" w:eastAsia="zh-CN"/>
        </w:rPr>
        <w:t>、技术服务、安全风险、利润、</w:t>
      </w:r>
      <w:r>
        <w:rPr>
          <w:rFonts w:hint="eastAsia" w:ascii="宋体" w:hAnsi="宋体" w:eastAsia="宋体" w:cs="宋体"/>
          <w:color w:val="auto"/>
          <w:sz w:val="21"/>
          <w:szCs w:val="21"/>
          <w:highlight w:val="none"/>
          <w:lang w:val="en-US" w:eastAsia="zh-CN"/>
        </w:rPr>
        <w:t>一般纳税人增值税专用发票13%、</w:t>
      </w:r>
      <w:r>
        <w:rPr>
          <w:rFonts w:hint="eastAsia" w:ascii="宋体" w:hAnsi="宋体" w:eastAsia="宋体" w:cs="宋体"/>
          <w:color w:val="auto"/>
          <w:sz w:val="21"/>
          <w:szCs w:val="21"/>
          <w:highlight w:val="none"/>
          <w:lang w:val="zh-CN" w:eastAsia="zh-CN"/>
        </w:rPr>
        <w:t>等</w:t>
      </w:r>
      <w:r>
        <w:rPr>
          <w:rFonts w:hint="eastAsia" w:ascii="宋体" w:hAnsi="宋体" w:eastAsia="宋体" w:cs="宋体"/>
          <w:color w:val="auto"/>
          <w:sz w:val="21"/>
          <w:szCs w:val="21"/>
          <w:highlight w:val="none"/>
          <w:lang w:val="en-US" w:eastAsia="zh-CN"/>
        </w:rPr>
        <w:t>一切费用</w:t>
      </w:r>
      <w:r>
        <w:rPr>
          <w:rFonts w:hint="eastAsia" w:ascii="宋体" w:hAnsi="宋体" w:eastAsia="宋体" w:cs="宋体"/>
          <w:color w:val="auto"/>
          <w:sz w:val="21"/>
          <w:szCs w:val="21"/>
          <w:highlight w:val="none"/>
          <w:lang w:val="zh-CN" w:eastAsia="zh-CN"/>
        </w:rPr>
        <w:t>)，采购人不再另行支付任何费用。</w:t>
      </w:r>
      <w:r>
        <w:rPr>
          <w:rFonts w:hint="eastAsia" w:ascii="宋体" w:hAnsi="宋体" w:eastAsia="宋体" w:cs="宋体"/>
          <w:color w:val="auto"/>
          <w:sz w:val="21"/>
          <w:szCs w:val="21"/>
          <w:highlight w:val="none"/>
          <w:lang w:val="en-US" w:eastAsia="zh-CN"/>
        </w:rPr>
        <w:t xml:space="preserve"> </w:t>
      </w:r>
    </w:p>
    <w:p>
      <w:pPr>
        <w:snapToGrid w:val="0"/>
        <w:spacing w:line="560" w:lineRule="exact"/>
        <w:jc w:val="center"/>
        <w:rPr>
          <w:rFonts w:hint="eastAsia" w:ascii="宋体" w:hAnsi="宋体" w:eastAsia="宋体" w:cs="宋体"/>
          <w:b/>
          <w:color w:val="auto"/>
          <w:sz w:val="32"/>
          <w:szCs w:val="32"/>
          <w:highlight w:val="none"/>
          <w:lang w:eastAsia="zh-CN"/>
        </w:rPr>
      </w:pPr>
    </w:p>
    <w:p>
      <w:pPr>
        <w:pStyle w:val="6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投标人全称（盖公章）：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法定代表人或授权代表（签名或盖章）：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pPr>
        <w:pStyle w:val="2"/>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3"/>
        <w:rPr>
          <w:rFonts w:hint="eastAsia"/>
          <w:color w:val="auto"/>
          <w:highlight w:val="none"/>
        </w:rPr>
      </w:pPr>
      <w:bookmarkStart w:id="3" w:name="_GoBack"/>
      <w:bookmarkEnd w:id="3"/>
    </w:p>
    <w:p>
      <w:pPr>
        <w:pStyle w:val="34"/>
        <w:ind w:left="0" w:leftChars="0" w:firstLine="0" w:firstLineChars="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营业执照复印件加盖公章</w:t>
      </w:r>
    </w:p>
    <w:p>
      <w:pPr>
        <w:pStyle w:val="34"/>
        <w:ind w:left="0" w:leftChars="0" w:firstLine="0" w:firstLineChars="0"/>
        <w:rPr>
          <w:rFonts w:hint="eastAsia" w:ascii="宋体" w:hAnsi="宋体" w:eastAsia="宋体" w:cs="宋体"/>
          <w:b/>
          <w:bCs/>
          <w:color w:val="auto"/>
          <w:sz w:val="21"/>
          <w:szCs w:val="21"/>
          <w:highlight w:val="none"/>
          <w:lang w:val="en-US" w:eastAsia="zh-CN"/>
        </w:rPr>
      </w:pPr>
    </w:p>
    <w:sectPr>
      <w:pgSz w:w="11906" w:h="16838"/>
      <w:pgMar w:top="1020" w:right="1191" w:bottom="1134"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_x0004_falt">
    <w:altName w:val="PMingLiU-ExtB"/>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87BA"/>
    <w:multiLevelType w:val="singleLevel"/>
    <w:tmpl w:val="9C5287BA"/>
    <w:lvl w:ilvl="0" w:tentative="0">
      <w:start w:val="1"/>
      <w:numFmt w:val="chineseCounting"/>
      <w:suff w:val="nothing"/>
      <w:lvlText w:val="%1、"/>
      <w:lvlJc w:val="left"/>
      <w:rPr>
        <w:rFonts w:hint="eastAsia"/>
      </w:rPr>
    </w:lvl>
  </w:abstractNum>
  <w:abstractNum w:abstractNumId="1">
    <w:nsid w:val="3361593E"/>
    <w:multiLevelType w:val="multilevel"/>
    <w:tmpl w:val="3361593E"/>
    <w:lvl w:ilvl="0" w:tentative="0">
      <w:start w:val="1"/>
      <w:numFmt w:val="decimal"/>
      <w:isLgl/>
      <w:suff w:val="space"/>
      <w:lvlText w:val="%1"/>
      <w:lvlJc w:val="left"/>
      <w:pPr>
        <w:ind w:left="425" w:hanging="425"/>
      </w:pPr>
      <w:rPr>
        <w:rFonts w:hint="eastAsia" w:eastAsia="宋体"/>
        <w:b/>
        <w:i w:val="0"/>
        <w:sz w:val="48"/>
      </w:rPr>
    </w:lvl>
    <w:lvl w:ilvl="1" w:tentative="0">
      <w:start w:val="1"/>
      <w:numFmt w:val="decimal"/>
      <w:isLgl/>
      <w:suff w:val="space"/>
      <w:lvlText w:val="%1.%2"/>
      <w:lvlJc w:val="left"/>
      <w:pPr>
        <w:ind w:left="992" w:hanging="879"/>
      </w:pPr>
      <w:rPr>
        <w:rFonts w:hint="eastAsia" w:eastAsia="黑体"/>
        <w:b/>
        <w:i w:val="0"/>
        <w:sz w:val="36"/>
      </w:rPr>
    </w:lvl>
    <w:lvl w:ilvl="2" w:tentative="0">
      <w:start w:val="1"/>
      <w:numFmt w:val="decimal"/>
      <w:isLgl/>
      <w:suff w:val="space"/>
      <w:lvlText w:val="%1.%2.%3"/>
      <w:lvlJc w:val="left"/>
      <w:pPr>
        <w:ind w:left="1418" w:hanging="1191"/>
      </w:pPr>
      <w:rPr>
        <w:rFonts w:hint="eastAsia" w:eastAsia="宋体"/>
        <w:b/>
        <w:i w:val="0"/>
        <w:sz w:val="32"/>
      </w:rPr>
    </w:lvl>
    <w:lvl w:ilvl="3" w:tentative="0">
      <w:start w:val="1"/>
      <w:numFmt w:val="decimal"/>
      <w:pStyle w:val="7"/>
      <w:lvlText w:val="%4."/>
      <w:lvlJc w:val="left"/>
      <w:pPr>
        <w:ind w:left="5046" w:hanging="1644"/>
      </w:pPr>
      <w:rPr>
        <w:rFonts w:hint="default"/>
        <w:b/>
        <w:i w:val="0"/>
        <w:sz w:val="28"/>
        <w:szCs w:val="30"/>
      </w:rPr>
    </w:lvl>
    <w:lvl w:ilvl="4" w:tentative="0">
      <w:start w:val="1"/>
      <w:numFmt w:val="decimal"/>
      <w:suff w:val="space"/>
      <w:lvlText w:val="%1.%2.%3.%4.%5"/>
      <w:lvlJc w:val="left"/>
      <w:pPr>
        <w:ind w:left="2551" w:hanging="2097"/>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3260" w:hanging="2693"/>
      </w:pPr>
      <w:rPr>
        <w:rFonts w:hint="default" w:ascii="宋体" w:hAnsi="宋体" w:eastAsia="宋体"/>
        <w:b/>
        <w:i w:val="0"/>
        <w:szCs w:val="24"/>
      </w:rPr>
    </w:lvl>
    <w:lvl w:ilvl="6" w:tentative="0">
      <w:start w:val="1"/>
      <w:numFmt w:val="decimal"/>
      <w:suff w:val="space"/>
      <w:lvlText w:val="%1.%2.%3.%4.%5.%6.%7"/>
      <w:lvlJc w:val="left"/>
      <w:pPr>
        <w:ind w:left="3827" w:hanging="3147"/>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space"/>
      <w:lvlText w:val="%1.%2.%3.%4.%5.%6.%7.%8"/>
      <w:lvlJc w:val="left"/>
      <w:pPr>
        <w:ind w:left="4394" w:hanging="3600"/>
      </w:pPr>
      <w:rPr>
        <w:rFonts w:hint="eastAsia" w:eastAsia="黑体"/>
        <w:b/>
        <w:i w:val="0"/>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3MDNhY2I0MGY2ZDRmMTY4OTZhMjIzMWYxZjU1OTcifQ=="/>
  </w:docVars>
  <w:rsids>
    <w:rsidRoot w:val="00BE2108"/>
    <w:rsid w:val="00017031"/>
    <w:rsid w:val="00033042"/>
    <w:rsid w:val="00042845"/>
    <w:rsid w:val="00074150"/>
    <w:rsid w:val="0009536D"/>
    <w:rsid w:val="000A5B1E"/>
    <w:rsid w:val="000B2006"/>
    <w:rsid w:val="000D55A6"/>
    <w:rsid w:val="000E0C1A"/>
    <w:rsid w:val="000E6B71"/>
    <w:rsid w:val="000E7EA6"/>
    <w:rsid w:val="00102FD4"/>
    <w:rsid w:val="0010334F"/>
    <w:rsid w:val="0011771D"/>
    <w:rsid w:val="00120FA8"/>
    <w:rsid w:val="0012697D"/>
    <w:rsid w:val="00134ED0"/>
    <w:rsid w:val="00144B78"/>
    <w:rsid w:val="00150FBC"/>
    <w:rsid w:val="00176DE8"/>
    <w:rsid w:val="001B41F3"/>
    <w:rsid w:val="001C3A0D"/>
    <w:rsid w:val="001C723E"/>
    <w:rsid w:val="001E46D3"/>
    <w:rsid w:val="002141B9"/>
    <w:rsid w:val="0022084E"/>
    <w:rsid w:val="00281E35"/>
    <w:rsid w:val="00292A2C"/>
    <w:rsid w:val="00295D02"/>
    <w:rsid w:val="002A6FAD"/>
    <w:rsid w:val="002C29B3"/>
    <w:rsid w:val="002F593A"/>
    <w:rsid w:val="002F5B98"/>
    <w:rsid w:val="00322A50"/>
    <w:rsid w:val="00331450"/>
    <w:rsid w:val="0033471E"/>
    <w:rsid w:val="003526B8"/>
    <w:rsid w:val="003665E0"/>
    <w:rsid w:val="00377F98"/>
    <w:rsid w:val="003944DE"/>
    <w:rsid w:val="003958A3"/>
    <w:rsid w:val="003968B8"/>
    <w:rsid w:val="003A17EA"/>
    <w:rsid w:val="003A7FC5"/>
    <w:rsid w:val="003C04CE"/>
    <w:rsid w:val="003C2218"/>
    <w:rsid w:val="003E20D0"/>
    <w:rsid w:val="003E5276"/>
    <w:rsid w:val="003F2965"/>
    <w:rsid w:val="00400286"/>
    <w:rsid w:val="00403465"/>
    <w:rsid w:val="00404EDF"/>
    <w:rsid w:val="0041160F"/>
    <w:rsid w:val="00416225"/>
    <w:rsid w:val="00424176"/>
    <w:rsid w:val="004A2166"/>
    <w:rsid w:val="004C26BC"/>
    <w:rsid w:val="004D74AE"/>
    <w:rsid w:val="004D7822"/>
    <w:rsid w:val="004E4E85"/>
    <w:rsid w:val="004E61BE"/>
    <w:rsid w:val="004F7AB4"/>
    <w:rsid w:val="00527846"/>
    <w:rsid w:val="005338E8"/>
    <w:rsid w:val="005365A4"/>
    <w:rsid w:val="00554463"/>
    <w:rsid w:val="005B6728"/>
    <w:rsid w:val="005D741A"/>
    <w:rsid w:val="005D769D"/>
    <w:rsid w:val="005F251D"/>
    <w:rsid w:val="005F2E25"/>
    <w:rsid w:val="00615743"/>
    <w:rsid w:val="006516E0"/>
    <w:rsid w:val="006927EC"/>
    <w:rsid w:val="006A3484"/>
    <w:rsid w:val="006D36E3"/>
    <w:rsid w:val="006D710F"/>
    <w:rsid w:val="006E2691"/>
    <w:rsid w:val="00704858"/>
    <w:rsid w:val="00716E03"/>
    <w:rsid w:val="007252CA"/>
    <w:rsid w:val="00740AF2"/>
    <w:rsid w:val="007477DA"/>
    <w:rsid w:val="00754656"/>
    <w:rsid w:val="00755522"/>
    <w:rsid w:val="00763D47"/>
    <w:rsid w:val="00764C6A"/>
    <w:rsid w:val="00767CEB"/>
    <w:rsid w:val="007711C6"/>
    <w:rsid w:val="007765CC"/>
    <w:rsid w:val="007923B9"/>
    <w:rsid w:val="007D010D"/>
    <w:rsid w:val="007D4831"/>
    <w:rsid w:val="007E2CD6"/>
    <w:rsid w:val="007E3E27"/>
    <w:rsid w:val="007F0086"/>
    <w:rsid w:val="008046AC"/>
    <w:rsid w:val="00811F0E"/>
    <w:rsid w:val="00812717"/>
    <w:rsid w:val="00812A22"/>
    <w:rsid w:val="00815D9A"/>
    <w:rsid w:val="00816541"/>
    <w:rsid w:val="00826626"/>
    <w:rsid w:val="008335A6"/>
    <w:rsid w:val="00896050"/>
    <w:rsid w:val="008A1785"/>
    <w:rsid w:val="008A2C07"/>
    <w:rsid w:val="008E0EEE"/>
    <w:rsid w:val="008F40C8"/>
    <w:rsid w:val="00900DC5"/>
    <w:rsid w:val="0091433A"/>
    <w:rsid w:val="00924693"/>
    <w:rsid w:val="00937417"/>
    <w:rsid w:val="009412B7"/>
    <w:rsid w:val="00944959"/>
    <w:rsid w:val="0095103E"/>
    <w:rsid w:val="009633D0"/>
    <w:rsid w:val="00990D78"/>
    <w:rsid w:val="00992309"/>
    <w:rsid w:val="009B2F83"/>
    <w:rsid w:val="009E3F67"/>
    <w:rsid w:val="00A712E7"/>
    <w:rsid w:val="00A97805"/>
    <w:rsid w:val="00AA5E8B"/>
    <w:rsid w:val="00AB6B00"/>
    <w:rsid w:val="00AC1835"/>
    <w:rsid w:val="00AF5644"/>
    <w:rsid w:val="00B14CC5"/>
    <w:rsid w:val="00B343A0"/>
    <w:rsid w:val="00B347ED"/>
    <w:rsid w:val="00B417F1"/>
    <w:rsid w:val="00B46558"/>
    <w:rsid w:val="00BC5D68"/>
    <w:rsid w:val="00BE2108"/>
    <w:rsid w:val="00C22B8E"/>
    <w:rsid w:val="00C568EC"/>
    <w:rsid w:val="00C833DE"/>
    <w:rsid w:val="00C873AD"/>
    <w:rsid w:val="00CA56F8"/>
    <w:rsid w:val="00CE4B71"/>
    <w:rsid w:val="00D1499E"/>
    <w:rsid w:val="00D21296"/>
    <w:rsid w:val="00D30E2B"/>
    <w:rsid w:val="00D33958"/>
    <w:rsid w:val="00D40032"/>
    <w:rsid w:val="00D70303"/>
    <w:rsid w:val="00D71EF6"/>
    <w:rsid w:val="00D75D96"/>
    <w:rsid w:val="00D84392"/>
    <w:rsid w:val="00D90C7D"/>
    <w:rsid w:val="00D9396F"/>
    <w:rsid w:val="00DC19A1"/>
    <w:rsid w:val="00DE175A"/>
    <w:rsid w:val="00DE1FAB"/>
    <w:rsid w:val="00DE4C14"/>
    <w:rsid w:val="00DF44D5"/>
    <w:rsid w:val="00DF7871"/>
    <w:rsid w:val="00E10CB3"/>
    <w:rsid w:val="00E1516E"/>
    <w:rsid w:val="00E26E8D"/>
    <w:rsid w:val="00E36E32"/>
    <w:rsid w:val="00E37C75"/>
    <w:rsid w:val="00E83819"/>
    <w:rsid w:val="00E86D3D"/>
    <w:rsid w:val="00E91600"/>
    <w:rsid w:val="00E91F90"/>
    <w:rsid w:val="00E95471"/>
    <w:rsid w:val="00E9551F"/>
    <w:rsid w:val="00EA25CA"/>
    <w:rsid w:val="00EA6631"/>
    <w:rsid w:val="00EC5A47"/>
    <w:rsid w:val="00ED0F63"/>
    <w:rsid w:val="00ED628E"/>
    <w:rsid w:val="00F01F77"/>
    <w:rsid w:val="00F13C16"/>
    <w:rsid w:val="00F22814"/>
    <w:rsid w:val="00F465D7"/>
    <w:rsid w:val="00FB08B1"/>
    <w:rsid w:val="00FB431E"/>
    <w:rsid w:val="00FB52E8"/>
    <w:rsid w:val="00FC695F"/>
    <w:rsid w:val="00FD3688"/>
    <w:rsid w:val="00FD7145"/>
    <w:rsid w:val="01253372"/>
    <w:rsid w:val="017B1EF6"/>
    <w:rsid w:val="019473FC"/>
    <w:rsid w:val="0209479C"/>
    <w:rsid w:val="0281665B"/>
    <w:rsid w:val="02CE54DF"/>
    <w:rsid w:val="02D72F56"/>
    <w:rsid w:val="032B3208"/>
    <w:rsid w:val="043560BB"/>
    <w:rsid w:val="0492290C"/>
    <w:rsid w:val="04E377CC"/>
    <w:rsid w:val="050463C4"/>
    <w:rsid w:val="056974FD"/>
    <w:rsid w:val="056A1C9B"/>
    <w:rsid w:val="064F10F9"/>
    <w:rsid w:val="08A8499F"/>
    <w:rsid w:val="08EC29C7"/>
    <w:rsid w:val="09382619"/>
    <w:rsid w:val="09F61C94"/>
    <w:rsid w:val="0A5627EE"/>
    <w:rsid w:val="0A7669ED"/>
    <w:rsid w:val="0AC62B38"/>
    <w:rsid w:val="0AC94BF5"/>
    <w:rsid w:val="0ACE0DDF"/>
    <w:rsid w:val="0B534F80"/>
    <w:rsid w:val="0B7838E0"/>
    <w:rsid w:val="0BD02715"/>
    <w:rsid w:val="0BEB340A"/>
    <w:rsid w:val="0C6738B8"/>
    <w:rsid w:val="0C922E8C"/>
    <w:rsid w:val="0CA452C0"/>
    <w:rsid w:val="0CC96C9C"/>
    <w:rsid w:val="0D5154EF"/>
    <w:rsid w:val="0D662D48"/>
    <w:rsid w:val="0D813912"/>
    <w:rsid w:val="0DCE562B"/>
    <w:rsid w:val="0DDD048E"/>
    <w:rsid w:val="0E080602"/>
    <w:rsid w:val="0E26697C"/>
    <w:rsid w:val="0E8652B6"/>
    <w:rsid w:val="0E93058D"/>
    <w:rsid w:val="0EBC26D6"/>
    <w:rsid w:val="10C4229A"/>
    <w:rsid w:val="11243F65"/>
    <w:rsid w:val="118B0CF5"/>
    <w:rsid w:val="12706417"/>
    <w:rsid w:val="12BB273C"/>
    <w:rsid w:val="136E0BA9"/>
    <w:rsid w:val="1382238D"/>
    <w:rsid w:val="13B577E8"/>
    <w:rsid w:val="13CF0812"/>
    <w:rsid w:val="13EC5F71"/>
    <w:rsid w:val="14215C1B"/>
    <w:rsid w:val="144A2F2A"/>
    <w:rsid w:val="150264CE"/>
    <w:rsid w:val="1664773D"/>
    <w:rsid w:val="17795D6E"/>
    <w:rsid w:val="17DB1E51"/>
    <w:rsid w:val="180454F6"/>
    <w:rsid w:val="180A105E"/>
    <w:rsid w:val="19745738"/>
    <w:rsid w:val="19B117EF"/>
    <w:rsid w:val="19E5175F"/>
    <w:rsid w:val="1A151A88"/>
    <w:rsid w:val="1A184C2C"/>
    <w:rsid w:val="1C1B0443"/>
    <w:rsid w:val="1C4E71BE"/>
    <w:rsid w:val="1CFA34AD"/>
    <w:rsid w:val="1CFC5477"/>
    <w:rsid w:val="1E461FF1"/>
    <w:rsid w:val="1F1176EA"/>
    <w:rsid w:val="1F136AA8"/>
    <w:rsid w:val="1F3B76DF"/>
    <w:rsid w:val="1F7C7944"/>
    <w:rsid w:val="20001123"/>
    <w:rsid w:val="20DB23CB"/>
    <w:rsid w:val="21894E00"/>
    <w:rsid w:val="21F20BF7"/>
    <w:rsid w:val="22631AF5"/>
    <w:rsid w:val="229F0447"/>
    <w:rsid w:val="232055C2"/>
    <w:rsid w:val="23EF56BB"/>
    <w:rsid w:val="244D0A9B"/>
    <w:rsid w:val="245060A9"/>
    <w:rsid w:val="24CD5568"/>
    <w:rsid w:val="250E4BA7"/>
    <w:rsid w:val="25331969"/>
    <w:rsid w:val="253D74B2"/>
    <w:rsid w:val="25B75F7D"/>
    <w:rsid w:val="26232E48"/>
    <w:rsid w:val="266B541C"/>
    <w:rsid w:val="2729283D"/>
    <w:rsid w:val="279E3FA3"/>
    <w:rsid w:val="27A110F5"/>
    <w:rsid w:val="27A57B80"/>
    <w:rsid w:val="287C56BE"/>
    <w:rsid w:val="288E0609"/>
    <w:rsid w:val="28AA222B"/>
    <w:rsid w:val="2938573F"/>
    <w:rsid w:val="2A570191"/>
    <w:rsid w:val="2AD83E36"/>
    <w:rsid w:val="2B6B0791"/>
    <w:rsid w:val="2BC31225"/>
    <w:rsid w:val="2BD521D1"/>
    <w:rsid w:val="2C532BDA"/>
    <w:rsid w:val="2C7D1A05"/>
    <w:rsid w:val="2CA90664"/>
    <w:rsid w:val="2CD6204B"/>
    <w:rsid w:val="2CFE4D8F"/>
    <w:rsid w:val="2D2F5C1C"/>
    <w:rsid w:val="2D436C42"/>
    <w:rsid w:val="2D7B53AD"/>
    <w:rsid w:val="2DC20623"/>
    <w:rsid w:val="2DE36082"/>
    <w:rsid w:val="2E1B14D5"/>
    <w:rsid w:val="2F9E23BE"/>
    <w:rsid w:val="30077F63"/>
    <w:rsid w:val="303B22FD"/>
    <w:rsid w:val="305C2FC6"/>
    <w:rsid w:val="30CB71E3"/>
    <w:rsid w:val="31A8028A"/>
    <w:rsid w:val="31DF2B3A"/>
    <w:rsid w:val="32046FD4"/>
    <w:rsid w:val="321D26A2"/>
    <w:rsid w:val="322851EE"/>
    <w:rsid w:val="32461C5A"/>
    <w:rsid w:val="328F56E5"/>
    <w:rsid w:val="34BB3654"/>
    <w:rsid w:val="34D754C5"/>
    <w:rsid w:val="34DF2BCF"/>
    <w:rsid w:val="35170C48"/>
    <w:rsid w:val="35AE08A1"/>
    <w:rsid w:val="35BF6BEA"/>
    <w:rsid w:val="35C8545A"/>
    <w:rsid w:val="36162CAE"/>
    <w:rsid w:val="362178A5"/>
    <w:rsid w:val="366234EE"/>
    <w:rsid w:val="36FC6348"/>
    <w:rsid w:val="37CD3932"/>
    <w:rsid w:val="380D523C"/>
    <w:rsid w:val="38481119"/>
    <w:rsid w:val="387A6840"/>
    <w:rsid w:val="388D77A1"/>
    <w:rsid w:val="38E76B84"/>
    <w:rsid w:val="38F60B75"/>
    <w:rsid w:val="39091A30"/>
    <w:rsid w:val="39B27DD7"/>
    <w:rsid w:val="39D07CED"/>
    <w:rsid w:val="3AB422ED"/>
    <w:rsid w:val="3B102E3D"/>
    <w:rsid w:val="3B2377EF"/>
    <w:rsid w:val="3B4B321F"/>
    <w:rsid w:val="3B5B21C8"/>
    <w:rsid w:val="3BA50630"/>
    <w:rsid w:val="3BF048DF"/>
    <w:rsid w:val="3D2462F1"/>
    <w:rsid w:val="3D6C7FC5"/>
    <w:rsid w:val="3DA60189"/>
    <w:rsid w:val="3DC14B05"/>
    <w:rsid w:val="3DE52B1C"/>
    <w:rsid w:val="3E1B5A56"/>
    <w:rsid w:val="3E784859"/>
    <w:rsid w:val="3EF106D7"/>
    <w:rsid w:val="3EF7064B"/>
    <w:rsid w:val="3F4A7F61"/>
    <w:rsid w:val="3FF3513F"/>
    <w:rsid w:val="41EE2D31"/>
    <w:rsid w:val="426976B5"/>
    <w:rsid w:val="42B073CA"/>
    <w:rsid w:val="42BF022A"/>
    <w:rsid w:val="42DE4B54"/>
    <w:rsid w:val="42F9198D"/>
    <w:rsid w:val="4468619B"/>
    <w:rsid w:val="44844807"/>
    <w:rsid w:val="44DA55D4"/>
    <w:rsid w:val="456C1406"/>
    <w:rsid w:val="45D54DC1"/>
    <w:rsid w:val="467E0D5D"/>
    <w:rsid w:val="47E14962"/>
    <w:rsid w:val="48117B48"/>
    <w:rsid w:val="484631FF"/>
    <w:rsid w:val="48D6451F"/>
    <w:rsid w:val="49E218A3"/>
    <w:rsid w:val="4AF3022E"/>
    <w:rsid w:val="4B8E1B30"/>
    <w:rsid w:val="4BCD39B7"/>
    <w:rsid w:val="4CC27294"/>
    <w:rsid w:val="4D5F01AF"/>
    <w:rsid w:val="4D7B4D5B"/>
    <w:rsid w:val="4D994273"/>
    <w:rsid w:val="4E61488B"/>
    <w:rsid w:val="4E7F694F"/>
    <w:rsid w:val="4F3D6B35"/>
    <w:rsid w:val="51513130"/>
    <w:rsid w:val="519549F8"/>
    <w:rsid w:val="51A4340C"/>
    <w:rsid w:val="5247300E"/>
    <w:rsid w:val="52706D8F"/>
    <w:rsid w:val="54033B6F"/>
    <w:rsid w:val="54C12C6E"/>
    <w:rsid w:val="54D264E2"/>
    <w:rsid w:val="55A9139B"/>
    <w:rsid w:val="56334D5F"/>
    <w:rsid w:val="57276F71"/>
    <w:rsid w:val="578B73E4"/>
    <w:rsid w:val="57AE5F14"/>
    <w:rsid w:val="58810003"/>
    <w:rsid w:val="58C064AB"/>
    <w:rsid w:val="5919023C"/>
    <w:rsid w:val="591F08DA"/>
    <w:rsid w:val="59914484"/>
    <w:rsid w:val="59934492"/>
    <w:rsid w:val="59E074F3"/>
    <w:rsid w:val="5A975FA5"/>
    <w:rsid w:val="5AD76600"/>
    <w:rsid w:val="5C1967A5"/>
    <w:rsid w:val="5C7948DE"/>
    <w:rsid w:val="5CFC0A08"/>
    <w:rsid w:val="5D430F4D"/>
    <w:rsid w:val="5E6A778C"/>
    <w:rsid w:val="5F7951EA"/>
    <w:rsid w:val="5F7A625B"/>
    <w:rsid w:val="5FF612D7"/>
    <w:rsid w:val="60563B24"/>
    <w:rsid w:val="605E6E7C"/>
    <w:rsid w:val="6065307F"/>
    <w:rsid w:val="613C71BD"/>
    <w:rsid w:val="61882403"/>
    <w:rsid w:val="618E54C4"/>
    <w:rsid w:val="61EB2991"/>
    <w:rsid w:val="61FE0917"/>
    <w:rsid w:val="62125FCA"/>
    <w:rsid w:val="62562501"/>
    <w:rsid w:val="62D53EBD"/>
    <w:rsid w:val="63B943A1"/>
    <w:rsid w:val="644B1C11"/>
    <w:rsid w:val="648669A1"/>
    <w:rsid w:val="64946810"/>
    <w:rsid w:val="64EF13DA"/>
    <w:rsid w:val="656E4DE0"/>
    <w:rsid w:val="657333CA"/>
    <w:rsid w:val="659547A6"/>
    <w:rsid w:val="65B8702E"/>
    <w:rsid w:val="6690671B"/>
    <w:rsid w:val="66A361A8"/>
    <w:rsid w:val="66F25116"/>
    <w:rsid w:val="67031FB0"/>
    <w:rsid w:val="672A67D0"/>
    <w:rsid w:val="673D362F"/>
    <w:rsid w:val="67A00003"/>
    <w:rsid w:val="67EA7341"/>
    <w:rsid w:val="68142C42"/>
    <w:rsid w:val="68352BB8"/>
    <w:rsid w:val="698B3DCA"/>
    <w:rsid w:val="69C8178D"/>
    <w:rsid w:val="6A136D64"/>
    <w:rsid w:val="6A274A6C"/>
    <w:rsid w:val="6A3E32CA"/>
    <w:rsid w:val="6AB573E8"/>
    <w:rsid w:val="6B146AB5"/>
    <w:rsid w:val="6B317E61"/>
    <w:rsid w:val="6B376C47"/>
    <w:rsid w:val="6B9876E6"/>
    <w:rsid w:val="6BAD2A66"/>
    <w:rsid w:val="6BE03803"/>
    <w:rsid w:val="6C130940"/>
    <w:rsid w:val="6C8A62F2"/>
    <w:rsid w:val="6CC42272"/>
    <w:rsid w:val="6D260503"/>
    <w:rsid w:val="6D502DE2"/>
    <w:rsid w:val="6DA73C10"/>
    <w:rsid w:val="6E2039C3"/>
    <w:rsid w:val="6E2C05BA"/>
    <w:rsid w:val="6E5D69C5"/>
    <w:rsid w:val="6E6D0C30"/>
    <w:rsid w:val="6E8E3403"/>
    <w:rsid w:val="6ECE03F8"/>
    <w:rsid w:val="6ED547AD"/>
    <w:rsid w:val="703A6FBE"/>
    <w:rsid w:val="715C274E"/>
    <w:rsid w:val="71762034"/>
    <w:rsid w:val="71FD66AC"/>
    <w:rsid w:val="723879C9"/>
    <w:rsid w:val="7289097D"/>
    <w:rsid w:val="72D36754"/>
    <w:rsid w:val="72DF5BFA"/>
    <w:rsid w:val="72F30CEF"/>
    <w:rsid w:val="73010267"/>
    <w:rsid w:val="730218E9"/>
    <w:rsid w:val="73155AC0"/>
    <w:rsid w:val="7320374B"/>
    <w:rsid w:val="741915E0"/>
    <w:rsid w:val="75BC37EB"/>
    <w:rsid w:val="76816FC9"/>
    <w:rsid w:val="76E825BF"/>
    <w:rsid w:val="772B58B2"/>
    <w:rsid w:val="777C0999"/>
    <w:rsid w:val="77E141C3"/>
    <w:rsid w:val="785E5813"/>
    <w:rsid w:val="787F570F"/>
    <w:rsid w:val="789E697D"/>
    <w:rsid w:val="791925D4"/>
    <w:rsid w:val="79490272"/>
    <w:rsid w:val="7A3B7BDB"/>
    <w:rsid w:val="7B1B5C3E"/>
    <w:rsid w:val="7B246416"/>
    <w:rsid w:val="7C19705A"/>
    <w:rsid w:val="7D3470D8"/>
    <w:rsid w:val="7DB22DA3"/>
    <w:rsid w:val="7E88727F"/>
    <w:rsid w:val="7F5811CD"/>
    <w:rsid w:val="7FD24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autoRedefine/>
    <w:qFormat/>
    <w:uiPriority w:val="0"/>
    <w:pPr>
      <w:ind w:left="1020"/>
      <w:outlineLvl w:val="1"/>
    </w:pPr>
    <w:rPr>
      <w:rFonts w:ascii="PMingLiU_x0004_falt" w:hAnsi="PMingLiU_x0004_falt" w:eastAsia="PMingLiU_x0004_falt" w:cs="PMingLiU_x0004_falt"/>
      <w:sz w:val="24"/>
      <w:lang w:val="zh-CN"/>
    </w:rPr>
  </w:style>
  <w:style w:type="paragraph" w:styleId="6">
    <w:name w:val="heading 3"/>
    <w:basedOn w:val="1"/>
    <w:next w:val="1"/>
    <w:link w:val="45"/>
    <w:qFormat/>
    <w:uiPriority w:val="0"/>
    <w:pPr>
      <w:keepNext/>
      <w:keepLines/>
      <w:spacing w:before="260" w:after="260" w:line="415" w:lineRule="auto"/>
      <w:outlineLvl w:val="2"/>
    </w:pPr>
    <w:rPr>
      <w:rFonts w:ascii="Times New Roman" w:hAnsi="Times New Roman" w:eastAsia="宋体" w:cs="Times New Roman"/>
      <w:b/>
      <w:sz w:val="32"/>
    </w:rPr>
  </w:style>
  <w:style w:type="paragraph" w:styleId="7">
    <w:name w:val="heading 4"/>
    <w:basedOn w:val="1"/>
    <w:next w:val="1"/>
    <w:qFormat/>
    <w:uiPriority w:val="9"/>
    <w:pPr>
      <w:keepNext/>
      <w:keepLines/>
      <w:numPr>
        <w:ilvl w:val="3"/>
        <w:numId w:val="1"/>
      </w:numPr>
      <w:spacing w:before="280" w:after="290" w:line="377" w:lineRule="auto"/>
      <w:jc w:val="left"/>
      <w:outlineLvl w:val="3"/>
    </w:pPr>
    <w:rPr>
      <w:rFonts w:ascii="Cambria" w:hAnsi="Cambria"/>
      <w:b/>
      <w:bCs/>
      <w:sz w:val="28"/>
      <w:szCs w:val="28"/>
    </w:rPr>
  </w:style>
  <w:style w:type="paragraph" w:styleId="8">
    <w:name w:val="heading 5"/>
    <w:basedOn w:val="1"/>
    <w:next w:val="1"/>
    <w:qFormat/>
    <w:uiPriority w:val="0"/>
    <w:pPr>
      <w:keepNext/>
      <w:keepLines/>
      <w:spacing w:after="120" w:line="360" w:lineRule="auto"/>
      <w:outlineLvl w:val="4"/>
    </w:pPr>
    <w:rPr>
      <w:rFonts w:eastAsia="微软雅黑"/>
      <w:b/>
      <w:bCs/>
      <w:kern w:val="0"/>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qFormat/>
    <w:uiPriority w:val="0"/>
    <w:pPr>
      <w:spacing w:beforeLines="0" w:line="360" w:lineRule="auto"/>
      <w:ind w:firstLine="420" w:firstLineChars="200"/>
    </w:pPr>
    <w:rPr>
      <w:rFonts w:ascii="宋体" w:hAnsi="宋体"/>
      <w:szCs w:val="24"/>
    </w:rPr>
  </w:style>
  <w:style w:type="paragraph" w:styleId="3">
    <w:name w:val="Body Text"/>
    <w:basedOn w:val="1"/>
    <w:next w:val="1"/>
    <w:semiHidden/>
    <w:unhideWhenUsed/>
    <w:qFormat/>
    <w:uiPriority w:val="99"/>
    <w:pPr>
      <w:spacing w:after="120"/>
    </w:pPr>
  </w:style>
  <w:style w:type="paragraph" w:styleId="9">
    <w:name w:val="Normal Indent"/>
    <w:basedOn w:val="1"/>
    <w:link w:val="4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0">
    <w:name w:val="annotation text"/>
    <w:basedOn w:val="1"/>
    <w:link w:val="62"/>
    <w:autoRedefine/>
    <w:qFormat/>
    <w:uiPriority w:val="0"/>
    <w:pPr>
      <w:jc w:val="left"/>
    </w:pPr>
  </w:style>
  <w:style w:type="paragraph" w:styleId="11">
    <w:name w:val="Body Text Indent"/>
    <w:basedOn w:val="1"/>
    <w:next w:val="1"/>
    <w:link w:val="65"/>
    <w:qFormat/>
    <w:uiPriority w:val="0"/>
    <w:pPr>
      <w:ind w:firstLine="645"/>
    </w:pPr>
    <w:rPr>
      <w:rFonts w:ascii="Times New Roman" w:hAnsi="Times New Roman" w:eastAsia="宋体" w:cs="Times New Roman"/>
      <w:sz w:val="28"/>
    </w:rPr>
  </w:style>
  <w:style w:type="paragraph" w:styleId="12">
    <w:name w:val="Plain Text"/>
    <w:basedOn w:val="1"/>
    <w:link w:val="41"/>
    <w:qFormat/>
    <w:uiPriority w:val="0"/>
    <w:rPr>
      <w:rFonts w:ascii="宋体" w:hAnsi="Courier New" w:eastAsia="宋体"/>
    </w:rPr>
  </w:style>
  <w:style w:type="paragraph" w:styleId="13">
    <w:name w:val="Date"/>
    <w:basedOn w:val="1"/>
    <w:next w:val="1"/>
    <w:link w:val="63"/>
    <w:qFormat/>
    <w:uiPriority w:val="0"/>
    <w:pPr>
      <w:ind w:left="100" w:leftChars="2500"/>
    </w:pPr>
    <w:rPr>
      <w:rFonts w:ascii="Times New Roman" w:hAnsi="Times New Roman" w:eastAsia="宋体" w:cs="Times New Roman"/>
    </w:rPr>
  </w:style>
  <w:style w:type="paragraph" w:styleId="14">
    <w:name w:val="Body Text Indent 2"/>
    <w:basedOn w:val="1"/>
    <w:link w:val="61"/>
    <w:qFormat/>
    <w:uiPriority w:val="0"/>
    <w:pPr>
      <w:spacing w:after="120" w:line="480" w:lineRule="auto"/>
      <w:ind w:left="420" w:leftChars="200"/>
    </w:pPr>
    <w:rPr>
      <w:szCs w:val="20"/>
    </w:rPr>
  </w:style>
  <w:style w:type="paragraph" w:styleId="15">
    <w:name w:val="Balloon Text"/>
    <w:basedOn w:val="1"/>
    <w:link w:val="43"/>
    <w:autoRedefine/>
    <w:unhideWhenUsed/>
    <w:qFormat/>
    <w:uiPriority w:val="0"/>
    <w:rPr>
      <w:sz w:val="18"/>
      <w:szCs w:val="18"/>
    </w:rPr>
  </w:style>
  <w:style w:type="paragraph" w:styleId="16">
    <w:name w:val="footer"/>
    <w:basedOn w:val="1"/>
    <w:link w:val="37"/>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0"/>
    <w:pPr>
      <w:widowControl/>
      <w:adjustRightInd w:val="0"/>
      <w:spacing w:beforeLines="0" w:after="0" w:line="220" w:lineRule="atLeast"/>
      <w:ind w:firstLine="181"/>
      <w:jc w:val="left"/>
      <w:textAlignment w:val="baseline"/>
    </w:pPr>
    <w:rPr>
      <w:rFonts w:ascii="Arial" w:hAnsi="Arial"/>
      <w:sz w:val="18"/>
      <w:szCs w:val="20"/>
      <w:lang w:val="en-US" w:eastAsia="zh-CN"/>
    </w:rPr>
  </w:style>
  <w:style w:type="paragraph" w:styleId="18">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right" w:leader="dot" w:pos="9231"/>
      </w:tabs>
      <w:spacing w:after="100" w:line="276" w:lineRule="auto"/>
      <w:jc w:val="center"/>
    </w:pPr>
    <w:rPr>
      <w:rFonts w:ascii="Times New Roman" w:hAnsi="Times New Roman" w:eastAsia="仿宋_GB2312" w:cs="Times New Roman"/>
      <w:kern w:val="0"/>
      <w:sz w:val="28"/>
    </w:rPr>
  </w:style>
  <w:style w:type="paragraph" w:styleId="20">
    <w:name w:val="Subtitle"/>
    <w:basedOn w:val="1"/>
    <w:next w:val="1"/>
    <w:qFormat/>
    <w:uiPriority w:val="11"/>
    <w:pPr>
      <w:spacing w:before="240" w:after="60" w:line="312" w:lineRule="auto"/>
      <w:jc w:val="center"/>
      <w:outlineLvl w:val="1"/>
    </w:pPr>
    <w:rPr>
      <w:rFonts w:ascii="Cambria" w:hAnsi="Cambria" w:eastAsia="宋体" w:cs="Times New Roman"/>
      <w:b/>
      <w:bCs/>
      <w:kern w:val="28"/>
    </w:rPr>
  </w:style>
  <w:style w:type="paragraph" w:styleId="21">
    <w:name w:val="toc 2"/>
    <w:basedOn w:val="1"/>
    <w:next w:val="1"/>
    <w:qFormat/>
    <w:uiPriority w:val="0"/>
    <w:pPr>
      <w:tabs>
        <w:tab w:val="right" w:leader="dot" w:pos="8296"/>
      </w:tabs>
      <w:ind w:left="210"/>
      <w:jc w:val="left"/>
    </w:pPr>
    <w:rPr>
      <w:b/>
      <w:smallCaps/>
      <w:szCs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10"/>
    <w:next w:val="10"/>
    <w:link w:val="64"/>
    <w:qFormat/>
    <w:uiPriority w:val="0"/>
    <w:rPr>
      <w:b/>
      <w:bCs/>
    </w:rPr>
  </w:style>
  <w:style w:type="paragraph" w:styleId="24">
    <w:name w:val="Body Text First Indent"/>
    <w:basedOn w:val="3"/>
    <w:next w:val="25"/>
    <w:unhideWhenUsed/>
    <w:qFormat/>
    <w:uiPriority w:val="99"/>
    <w:pPr>
      <w:ind w:firstLine="420" w:firstLineChars="100"/>
    </w:pPr>
  </w:style>
  <w:style w:type="paragraph" w:styleId="25">
    <w:name w:val="Body Text First Indent 2"/>
    <w:basedOn w:val="11"/>
    <w:qFormat/>
    <w:uiPriority w:val="0"/>
    <w:pPr>
      <w:ind w:firstLine="420" w:firstLineChars="200"/>
    </w:pPr>
    <w:rPr>
      <w:rFonts w:ascii="宋体" w:hAnsi="Courier New"/>
      <w:spacing w:val="-4"/>
      <w:kern w:val="0"/>
      <w:sz w:val="20"/>
      <w:szCs w:val="24"/>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表格文字"/>
    <w:basedOn w:val="15"/>
    <w:next w:val="3"/>
    <w:qFormat/>
    <w:uiPriority w:val="0"/>
    <w:pPr>
      <w:jc w:val="left"/>
      <w:textAlignment w:val="top"/>
    </w:pPr>
    <w:rPr>
      <w:sz w:val="18"/>
      <w:szCs w:val="24"/>
    </w:rPr>
  </w:style>
  <w:style w:type="paragraph" w:customStyle="1" w:styleId="34">
    <w:name w:val="列出段落1"/>
    <w:basedOn w:val="1"/>
    <w:qFormat/>
    <w:uiPriority w:val="1"/>
    <w:pPr>
      <w:ind w:firstLine="420" w:firstLineChars="200"/>
    </w:pPr>
    <w:rPr>
      <w:rFonts w:ascii="Calibri" w:hAnsi="Calibri"/>
    </w:rPr>
  </w:style>
  <w:style w:type="paragraph" w:customStyle="1" w:styleId="3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页眉 字符"/>
    <w:basedOn w:val="28"/>
    <w:link w:val="18"/>
    <w:autoRedefine/>
    <w:qFormat/>
    <w:uiPriority w:val="99"/>
    <w:rPr>
      <w:sz w:val="18"/>
      <w:szCs w:val="18"/>
    </w:rPr>
  </w:style>
  <w:style w:type="character" w:customStyle="1" w:styleId="37">
    <w:name w:val="页脚 字符"/>
    <w:basedOn w:val="28"/>
    <w:link w:val="16"/>
    <w:semiHidden/>
    <w:qFormat/>
    <w:uiPriority w:val="99"/>
    <w:rPr>
      <w:sz w:val="18"/>
      <w:szCs w:val="18"/>
    </w:rPr>
  </w:style>
  <w:style w:type="character" w:customStyle="1" w:styleId="38">
    <w:name w:val="可研正文 Char"/>
    <w:basedOn w:val="28"/>
    <w:link w:val="39"/>
    <w:qFormat/>
    <w:locked/>
    <w:uiPriority w:val="99"/>
    <w:rPr>
      <w:rFonts w:ascii="Calibri" w:hAnsi="Calibri" w:cs="Times New Roman"/>
      <w:sz w:val="28"/>
      <w:szCs w:val="28"/>
    </w:rPr>
  </w:style>
  <w:style w:type="paragraph" w:customStyle="1" w:styleId="39">
    <w:name w:val="可研正文"/>
    <w:basedOn w:val="1"/>
    <w:link w:val="38"/>
    <w:qFormat/>
    <w:uiPriority w:val="99"/>
    <w:pPr>
      <w:adjustRightInd w:val="0"/>
      <w:spacing w:line="360" w:lineRule="auto"/>
      <w:ind w:firstLine="200" w:firstLineChars="200"/>
    </w:pPr>
    <w:rPr>
      <w:rFonts w:ascii="Calibri" w:hAnsi="Calibri" w:cs="Times New Roman"/>
      <w:sz w:val="28"/>
      <w:szCs w:val="28"/>
    </w:rPr>
  </w:style>
  <w:style w:type="character" w:customStyle="1" w:styleId="40">
    <w:name w:val="纯文本 Char"/>
    <w:basedOn w:val="28"/>
    <w:qFormat/>
    <w:locked/>
    <w:uiPriority w:val="0"/>
    <w:rPr>
      <w:rFonts w:ascii="宋体" w:hAnsi="Courier New" w:eastAsia="宋体"/>
    </w:rPr>
  </w:style>
  <w:style w:type="character" w:customStyle="1" w:styleId="41">
    <w:name w:val="纯文本 字符"/>
    <w:basedOn w:val="28"/>
    <w:link w:val="12"/>
    <w:semiHidden/>
    <w:qFormat/>
    <w:uiPriority w:val="99"/>
    <w:rPr>
      <w:rFonts w:ascii="宋体" w:hAnsi="Courier New" w:eastAsia="宋体" w:cs="Courier New"/>
      <w:szCs w:val="21"/>
    </w:rPr>
  </w:style>
  <w:style w:type="character" w:customStyle="1" w:styleId="42">
    <w:name w:val="样式 仿宋"/>
    <w:qFormat/>
    <w:uiPriority w:val="0"/>
    <w:rPr>
      <w:rFonts w:ascii="仿宋" w:eastAsia="仿宋"/>
      <w:kern w:val="2"/>
      <w:sz w:val="21"/>
      <w:szCs w:val="21"/>
    </w:rPr>
  </w:style>
  <w:style w:type="character" w:customStyle="1" w:styleId="43">
    <w:name w:val="批注框文本 字符"/>
    <w:basedOn w:val="28"/>
    <w:link w:val="15"/>
    <w:autoRedefine/>
    <w:qFormat/>
    <w:uiPriority w:val="0"/>
    <w:rPr>
      <w:sz w:val="18"/>
      <w:szCs w:val="18"/>
    </w:rPr>
  </w:style>
  <w:style w:type="character" w:customStyle="1" w:styleId="44">
    <w:name w:val="标题 1 字符"/>
    <w:basedOn w:val="28"/>
    <w:link w:val="4"/>
    <w:qFormat/>
    <w:uiPriority w:val="0"/>
    <w:rPr>
      <w:rFonts w:ascii="Times New Roman" w:hAnsi="Times New Roman" w:eastAsia="宋体" w:cs="Times New Roman"/>
      <w:b/>
      <w:bCs/>
      <w:kern w:val="44"/>
      <w:sz w:val="44"/>
      <w:szCs w:val="44"/>
    </w:rPr>
  </w:style>
  <w:style w:type="character" w:customStyle="1" w:styleId="45">
    <w:name w:val="标题 3 字符"/>
    <w:basedOn w:val="28"/>
    <w:link w:val="6"/>
    <w:autoRedefine/>
    <w:qFormat/>
    <w:uiPriority w:val="0"/>
    <w:rPr>
      <w:rFonts w:ascii="Times New Roman" w:hAnsi="Times New Roman" w:eastAsia="宋体" w:cs="Times New Roman"/>
      <w:b/>
      <w:kern w:val="2"/>
      <w:sz w:val="32"/>
      <w:szCs w:val="22"/>
    </w:rPr>
  </w:style>
  <w:style w:type="character" w:customStyle="1" w:styleId="46">
    <w:name w:val="正文缩进 字符"/>
    <w:link w:val="9"/>
    <w:qFormat/>
    <w:uiPriority w:val="0"/>
    <w:rPr>
      <w:rFonts w:ascii="宋体" w:hAnsi="Times New Roman" w:eastAsia="宋体" w:cs="Times New Roman"/>
      <w:snapToGrid w:val="0"/>
      <w:color w:val="000000"/>
      <w:kern w:val="28"/>
      <w:sz w:val="28"/>
    </w:rPr>
  </w:style>
  <w:style w:type="character" w:customStyle="1" w:styleId="47">
    <w:name w:val="zbggmain style9"/>
    <w:basedOn w:val="28"/>
    <w:qFormat/>
    <w:uiPriority w:val="0"/>
  </w:style>
  <w:style w:type="character" w:customStyle="1" w:styleId="48">
    <w:name w:val="批注文字 Char"/>
    <w:qFormat/>
    <w:uiPriority w:val="0"/>
    <w:rPr>
      <w:kern w:val="2"/>
      <w:sz w:val="21"/>
      <w:szCs w:val="22"/>
    </w:rPr>
  </w:style>
  <w:style w:type="character" w:customStyle="1" w:styleId="49">
    <w:name w:val="无间隔 字符"/>
    <w:link w:val="50"/>
    <w:qFormat/>
    <w:uiPriority w:val="0"/>
    <w:rPr>
      <w:rFonts w:eastAsia="Times New Roman"/>
      <w:sz w:val="22"/>
      <w:szCs w:val="22"/>
    </w:rPr>
  </w:style>
  <w:style w:type="paragraph" w:styleId="50">
    <w:name w:val="No Spacing"/>
    <w:link w:val="49"/>
    <w:qFormat/>
    <w:uiPriority w:val="0"/>
    <w:rPr>
      <w:rFonts w:eastAsia="Times New Roman" w:asciiTheme="minorHAnsi" w:hAnsiTheme="minorHAnsi" w:cstheme="minorBidi"/>
      <w:sz w:val="22"/>
      <w:szCs w:val="22"/>
      <w:lang w:val="en-US" w:eastAsia="zh-CN" w:bidi="ar-SA"/>
    </w:rPr>
  </w:style>
  <w:style w:type="character" w:customStyle="1" w:styleId="51">
    <w:name w:val="样式 黑色"/>
    <w:qFormat/>
    <w:uiPriority w:val="0"/>
    <w:rPr>
      <w:color w:val="000000"/>
      <w:spacing w:val="4"/>
    </w:rPr>
  </w:style>
  <w:style w:type="character" w:customStyle="1" w:styleId="52">
    <w:name w:val="正文文本缩进 2 Char"/>
    <w:qFormat/>
    <w:uiPriority w:val="0"/>
    <w:rPr>
      <w:kern w:val="2"/>
      <w:sz w:val="21"/>
    </w:rPr>
  </w:style>
  <w:style w:type="character" w:customStyle="1" w:styleId="53">
    <w:name w:val="批注主题 Char"/>
    <w:qFormat/>
    <w:uiPriority w:val="0"/>
    <w:rPr>
      <w:b/>
      <w:bCs/>
      <w:kern w:val="2"/>
      <w:sz w:val="21"/>
      <w:szCs w:val="22"/>
    </w:rPr>
  </w:style>
  <w:style w:type="character" w:customStyle="1" w:styleId="54">
    <w:name w:val="纯文本 Char Char Char Char Char Char Char Char Char Char Char Char Char Char3"/>
    <w:autoRedefine/>
    <w:qFormat/>
    <w:locked/>
    <w:uiPriority w:val="0"/>
    <w:rPr>
      <w:rFonts w:ascii="宋体" w:hAnsi="Courier New" w:eastAsia="宋体" w:cs="Courier New"/>
      <w:kern w:val="2"/>
      <w:sz w:val="21"/>
      <w:szCs w:val="21"/>
      <w:lang w:val="en-US" w:eastAsia="zh-CN" w:bidi="ar-SA"/>
    </w:rPr>
  </w:style>
  <w:style w:type="character" w:customStyle="1" w:styleId="55">
    <w:name w:val="引用 Char"/>
    <w:qFormat/>
    <w:uiPriority w:val="29"/>
    <w:rPr>
      <w:i/>
      <w:iCs/>
      <w:color w:val="000000"/>
      <w:kern w:val="2"/>
      <w:sz w:val="21"/>
      <w:szCs w:val="22"/>
    </w:rPr>
  </w:style>
  <w:style w:type="paragraph" w:styleId="56">
    <w:name w:val="Quote"/>
    <w:basedOn w:val="1"/>
    <w:next w:val="1"/>
    <w:link w:val="73"/>
    <w:qFormat/>
    <w:uiPriority w:val="29"/>
    <w:rPr>
      <w:i/>
      <w:iCs/>
      <w:color w:val="000000"/>
    </w:rPr>
  </w:style>
  <w:style w:type="character" w:customStyle="1" w:styleId="57">
    <w:name w:val="textcontents1"/>
    <w:qFormat/>
    <w:uiPriority w:val="0"/>
    <w:rPr>
      <w:color w:val="000000"/>
      <w:sz w:val="30"/>
      <w:szCs w:val="30"/>
    </w:rPr>
  </w:style>
  <w:style w:type="character" w:customStyle="1" w:styleId="58">
    <w:name w:val="td21"/>
    <w:qFormat/>
    <w:uiPriority w:val="0"/>
    <w:rPr>
      <w:sz w:val="21"/>
      <w:szCs w:val="21"/>
      <w:u w:val="none"/>
    </w:rPr>
  </w:style>
  <w:style w:type="character" w:customStyle="1" w:styleId="59">
    <w:name w:val="标题 41"/>
    <w:qFormat/>
    <w:uiPriority w:val="0"/>
    <w:rPr>
      <w:rFonts w:ascii="Arial" w:hAnsi="Arial" w:eastAsia="宋体"/>
      <w:b/>
      <w:spacing w:val="10"/>
      <w:kern w:val="24"/>
      <w:sz w:val="24"/>
      <w:lang w:val="en-US" w:eastAsia="zh-CN" w:bidi="ar-SA"/>
    </w:rPr>
  </w:style>
  <w:style w:type="paragraph" w:customStyle="1" w:styleId="60">
    <w:name w:val="肖正"/>
    <w:basedOn w:val="1"/>
    <w:autoRedefine/>
    <w:qFormat/>
    <w:uiPriority w:val="0"/>
    <w:pPr>
      <w:ind w:firstLine="567"/>
    </w:pPr>
    <w:rPr>
      <w:rFonts w:ascii="Times New Roman" w:hAnsi="Times New Roman" w:eastAsia="宋体" w:cs="Times New Roman"/>
      <w:sz w:val="24"/>
      <w:szCs w:val="18"/>
    </w:rPr>
  </w:style>
  <w:style w:type="character" w:customStyle="1" w:styleId="61">
    <w:name w:val="正文文本缩进 2 字符"/>
    <w:basedOn w:val="28"/>
    <w:link w:val="14"/>
    <w:semiHidden/>
    <w:qFormat/>
    <w:uiPriority w:val="99"/>
    <w:rPr>
      <w:kern w:val="2"/>
      <w:sz w:val="21"/>
      <w:szCs w:val="22"/>
    </w:rPr>
  </w:style>
  <w:style w:type="character" w:customStyle="1" w:styleId="62">
    <w:name w:val="批注文字 字符"/>
    <w:basedOn w:val="28"/>
    <w:link w:val="10"/>
    <w:semiHidden/>
    <w:qFormat/>
    <w:uiPriority w:val="99"/>
    <w:rPr>
      <w:kern w:val="2"/>
      <w:sz w:val="21"/>
      <w:szCs w:val="22"/>
    </w:rPr>
  </w:style>
  <w:style w:type="character" w:customStyle="1" w:styleId="63">
    <w:name w:val="日期 字符"/>
    <w:basedOn w:val="28"/>
    <w:link w:val="13"/>
    <w:autoRedefine/>
    <w:qFormat/>
    <w:uiPriority w:val="0"/>
    <w:rPr>
      <w:rFonts w:ascii="Times New Roman" w:hAnsi="Times New Roman" w:eastAsia="宋体" w:cs="Times New Roman"/>
      <w:kern w:val="2"/>
      <w:sz w:val="21"/>
      <w:szCs w:val="22"/>
    </w:rPr>
  </w:style>
  <w:style w:type="character" w:customStyle="1" w:styleId="64">
    <w:name w:val="批注主题 字符"/>
    <w:basedOn w:val="62"/>
    <w:link w:val="23"/>
    <w:semiHidden/>
    <w:qFormat/>
    <w:uiPriority w:val="99"/>
    <w:rPr>
      <w:b/>
      <w:bCs/>
      <w:kern w:val="2"/>
      <w:sz w:val="21"/>
      <w:szCs w:val="22"/>
    </w:rPr>
  </w:style>
  <w:style w:type="character" w:customStyle="1" w:styleId="65">
    <w:name w:val="正文文本缩进 字符"/>
    <w:basedOn w:val="28"/>
    <w:link w:val="11"/>
    <w:qFormat/>
    <w:uiPriority w:val="0"/>
    <w:rPr>
      <w:rFonts w:ascii="Times New Roman" w:hAnsi="Times New Roman" w:eastAsia="宋体" w:cs="Times New Roman"/>
      <w:kern w:val="2"/>
      <w:sz w:val="28"/>
      <w:szCs w:val="22"/>
    </w:rPr>
  </w:style>
  <w:style w:type="paragraph" w:customStyle="1" w:styleId="66">
    <w:name w:val="03"/>
    <w:basedOn w:val="1"/>
    <w:autoRedefine/>
    <w:qFormat/>
    <w:uiPriority w:val="0"/>
    <w:pPr>
      <w:spacing w:line="500" w:lineRule="exact"/>
      <w:ind w:firstLine="567"/>
    </w:pPr>
    <w:rPr>
      <w:rFonts w:ascii="Times New Roman" w:hAnsi="Times New Roman" w:eastAsia="宋体" w:cs="Times New Roman"/>
      <w:spacing w:val="20"/>
      <w:sz w:val="28"/>
      <w:szCs w:val="20"/>
    </w:rPr>
  </w:style>
  <w:style w:type="paragraph" w:customStyle="1" w:styleId="67">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styleId="68">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69">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70">
    <w:name w:val="_正文"/>
    <w:basedOn w:val="1"/>
    <w:qFormat/>
    <w:uiPriority w:val="0"/>
    <w:pPr>
      <w:tabs>
        <w:tab w:val="left" w:pos="540"/>
      </w:tabs>
      <w:spacing w:line="360" w:lineRule="auto"/>
      <w:ind w:firstLine="200" w:firstLineChars="200"/>
    </w:pPr>
    <w:rPr>
      <w:rFonts w:ascii="Times New Roman" w:hAnsi="Times New Roman" w:eastAsia="宋体" w:cs="Arial"/>
      <w:sz w:val="24"/>
    </w:rPr>
  </w:style>
  <w:style w:type="paragraph" w:customStyle="1" w:styleId="71">
    <w:name w:val="2"/>
    <w:basedOn w:val="1"/>
    <w:next w:val="1"/>
    <w:qFormat/>
    <w:uiPriority w:val="0"/>
    <w:rPr>
      <w:rFonts w:ascii="Times New Roman" w:hAnsi="Times New Roman" w:eastAsia="仿宋_GB2312" w:cs="Times New Roman"/>
      <w:sz w:val="18"/>
      <w:szCs w:val="20"/>
    </w:rPr>
  </w:style>
  <w:style w:type="paragraph" w:customStyle="1" w:styleId="72">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73">
    <w:name w:val="引用 字符"/>
    <w:basedOn w:val="28"/>
    <w:link w:val="56"/>
    <w:semiHidden/>
    <w:qFormat/>
    <w:uiPriority w:val="99"/>
    <w:rPr>
      <w:i/>
      <w:iCs/>
      <w:color w:val="000000" w:themeColor="text1"/>
      <w:kern w:val="2"/>
      <w:sz w:val="21"/>
      <w:szCs w:val="22"/>
      <w14:textFill>
        <w14:solidFill>
          <w14:schemeClr w14:val="tx1"/>
        </w14:solidFill>
      </w14:textFill>
    </w:rPr>
  </w:style>
  <w:style w:type="paragraph" w:customStyle="1" w:styleId="74">
    <w:name w:val="标题4"/>
    <w:basedOn w:val="1"/>
    <w:qFormat/>
    <w:uiPriority w:val="0"/>
    <w:rPr>
      <w:rFonts w:ascii="Times New Roman" w:hAnsi="Times New Roman" w:eastAsia="仿宋_GB2312" w:cs="Times New Roman"/>
      <w:sz w:val="32"/>
    </w:rPr>
  </w:style>
  <w:style w:type="paragraph" w:customStyle="1" w:styleId="75">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szCs w:val="24"/>
    </w:rPr>
  </w:style>
  <w:style w:type="paragraph" w:customStyle="1" w:styleId="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77">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78">
    <w:name w:val="Heading #2|1"/>
    <w:basedOn w:val="1"/>
    <w:autoRedefine/>
    <w:qFormat/>
    <w:uiPriority w:val="0"/>
    <w:pPr>
      <w:widowControl w:val="0"/>
      <w:shd w:val="clear" w:color="auto" w:fill="auto"/>
      <w:spacing w:line="619" w:lineRule="exact"/>
      <w:outlineLvl w:val="1"/>
    </w:pPr>
    <w:rPr>
      <w:rFonts w:ascii="宋体" w:hAnsi="宋体" w:eastAsia="宋体" w:cs="宋体"/>
      <w:b/>
      <w:bCs/>
      <w:sz w:val="26"/>
      <w:szCs w:val="26"/>
      <w:u w:val="none"/>
      <w:shd w:val="clear" w:color="auto" w:fill="auto"/>
      <w:lang w:val="zh-TW" w:eastAsia="zh-TW" w:bidi="zh-TW"/>
    </w:rPr>
  </w:style>
  <w:style w:type="paragraph" w:customStyle="1" w:styleId="79">
    <w:name w:val="0表名"/>
    <w:basedOn w:val="1"/>
    <w:autoRedefine/>
    <w:qFormat/>
    <w:uiPriority w:val="0"/>
    <w:pPr>
      <w:spacing w:line="300" w:lineRule="auto"/>
      <w:ind w:firstLine="0" w:firstLineChars="0"/>
      <w:jc w:val="center"/>
    </w:pPr>
    <w:rPr>
      <w:rFonts w:eastAsia="黑体" w:asciiTheme="minorHAnsi" w:hAnsiTheme="minorHAnsi" w:cstheme="minorBidi"/>
      <w:sz w:val="24"/>
      <w:szCs w:val="24"/>
    </w:rPr>
  </w:style>
  <w:style w:type="paragraph" w:customStyle="1" w:styleId="80">
    <w:name w:val="章正文"/>
    <w:basedOn w:val="1"/>
    <w:qFormat/>
    <w:uiPriority w:val="0"/>
    <w:pPr>
      <w:spacing w:before="156" w:after="120" w:line="300" w:lineRule="auto"/>
      <w:ind w:firstLine="480"/>
    </w:pPr>
    <w:rPr>
      <w:rFonts w:ascii="Helvetica" w:hAnsi="Helvetica"/>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3833</Words>
  <Characters>4043</Characters>
  <Lines>32</Lines>
  <Paragraphs>9</Paragraphs>
  <TotalTime>10</TotalTime>
  <ScaleCrop>false</ScaleCrop>
  <LinksUpToDate>false</LinksUpToDate>
  <CharactersWithSpaces>4559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2022-10-14T01:44:00Z</dcterms:created>
  <dc:creator>lenovo</dc:creator>
  <cp:lastModifiedBy>吴思豪</cp:lastModifiedBy>
  <cp:lastPrinted>2024-05-31T07:08:00Z</cp:lastPrinted>
  <dcterms:modified xsi:type="dcterms:W3CDTF">2024-11-21T07:28:40Z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412FEBB375AD45AD9E839036FF250F4A_13</vt:lpwstr>
  </property>
</Properties>
</file>