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华文中宋" w:hAnsi="华文中宋" w:eastAsia="华文中宋" w:cs="华文中宋"/>
          <w:b/>
          <w:bCs/>
          <w:i w:val="0"/>
          <w:caps w:val="0"/>
          <w:color w:val="000000"/>
          <w:spacing w:val="0"/>
          <w:kern w:val="0"/>
          <w:sz w:val="30"/>
          <w:szCs w:val="30"/>
          <w:lang w:val="en-US" w:eastAsia="zh-CN" w:bidi="ar"/>
        </w:rPr>
      </w:pPr>
      <w:r>
        <w:rPr>
          <w:rFonts w:hint="eastAsia" w:ascii="华文中宋" w:hAnsi="华文中宋" w:eastAsia="华文中宋" w:cs="华文中宋"/>
          <w:b/>
          <w:bCs/>
          <w:i w:val="0"/>
          <w:caps w:val="0"/>
          <w:color w:val="000000"/>
          <w:spacing w:val="0"/>
          <w:kern w:val="0"/>
          <w:sz w:val="30"/>
          <w:szCs w:val="30"/>
          <w:lang w:val="en-US" w:eastAsia="zh-CN" w:bidi="ar"/>
        </w:rPr>
        <w:t>编号：20250304</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华文中宋" w:hAnsi="华文中宋" w:eastAsia="华文中宋" w:cs="华文中宋"/>
          <w:b/>
          <w:bCs/>
          <w:i w:val="0"/>
          <w:caps w:val="0"/>
          <w:color w:val="000000"/>
          <w:spacing w:val="0"/>
          <w:kern w:val="0"/>
          <w:sz w:val="30"/>
          <w:szCs w:val="30"/>
          <w:lang w:val="en-US" w:eastAsia="zh-CN" w:bidi="ar"/>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华文中宋" w:hAnsi="华文中宋" w:eastAsia="华文中宋" w:cs="华文中宋"/>
          <w:b/>
          <w:bCs/>
          <w:i w:val="0"/>
          <w:caps w:val="0"/>
          <w:color w:val="000000"/>
          <w:spacing w:val="0"/>
          <w:kern w:val="0"/>
          <w:sz w:val="30"/>
          <w:szCs w:val="30"/>
          <w:lang w:val="en-US" w:eastAsia="zh-CN" w:bidi="ar"/>
        </w:rPr>
      </w:pPr>
      <w:r>
        <w:rPr>
          <w:rFonts w:hint="eastAsia" w:ascii="华文中宋" w:hAnsi="华文中宋" w:eastAsia="华文中宋" w:cs="华文中宋"/>
          <w:b/>
          <w:bCs/>
          <w:i w:val="0"/>
          <w:caps w:val="0"/>
          <w:color w:val="000000"/>
          <w:spacing w:val="0"/>
          <w:kern w:val="0"/>
          <w:sz w:val="30"/>
          <w:szCs w:val="30"/>
          <w:lang w:val="en-US" w:eastAsia="zh-CN" w:bidi="ar"/>
        </w:rPr>
        <w:t>2025年长三角检修人员电影券采购 询价文件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华文中宋" w:hAnsi="华文中宋" w:eastAsia="华文中宋" w:cs="华文中宋"/>
          <w:b/>
          <w:bCs/>
          <w:i w:val="0"/>
          <w:caps w:val="0"/>
          <w:color w:val="FF0000"/>
          <w:spacing w:val="0"/>
          <w:kern w:val="0"/>
          <w:sz w:val="28"/>
          <w:szCs w:val="28"/>
          <w:lang w:val="en-US" w:eastAsia="zh-CN" w:bidi="ar"/>
        </w:rPr>
      </w:pPr>
      <w:r>
        <w:rPr>
          <w:rFonts w:hint="eastAsia" w:ascii="华文中宋" w:hAnsi="华文中宋" w:eastAsia="华文中宋" w:cs="华文中宋"/>
          <w:b/>
          <w:bCs/>
          <w:i w:val="0"/>
          <w:caps w:val="0"/>
          <w:color w:val="FF0000"/>
          <w:spacing w:val="0"/>
          <w:kern w:val="0"/>
          <w:sz w:val="28"/>
          <w:szCs w:val="28"/>
          <w:lang w:val="en-US" w:eastAsia="zh-CN" w:bidi="ar"/>
        </w:rPr>
        <w:t>请各报价单位仔细阅读以下条款，若在报价或者中标后出现商务或技术上所带来的损失自行承担。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8"/>
          <w:szCs w:val="28"/>
          <w:lang w:val="en-US" w:eastAsia="zh-CN" w:bidi="ar"/>
        </w:rPr>
      </w:pPr>
      <w:r>
        <w:rPr>
          <w:rFonts w:hint="eastAsia" w:ascii="华文中宋" w:hAnsi="华文中宋" w:eastAsia="华文中宋" w:cs="华文中宋"/>
          <w:i w:val="0"/>
          <w:caps w:val="0"/>
          <w:color w:val="000000"/>
          <w:spacing w:val="0"/>
          <w:kern w:val="0"/>
          <w:sz w:val="28"/>
          <w:szCs w:val="28"/>
          <w:lang w:val="en-US" w:eastAsia="zh-CN" w:bidi="ar"/>
        </w:rPr>
        <w:t>一、项目说明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1.项目名称:2025年长三角检修人员电影券采购询价文件；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2.项目地点:浙江省宁海县强蛟镇；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3.项目法人:浙江宁波长三角电力工程有限公司工会委员会；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4.地址:浙江省宁波市宁海县强蛟镇；</w:t>
      </w:r>
      <w:r>
        <w:rPr>
          <w:rFonts w:hint="eastAsia" w:ascii="华文中宋" w:hAnsi="华文中宋" w:eastAsia="华文中宋" w:cs="华文中宋"/>
          <w:i w:val="0"/>
          <w:caps w:val="0"/>
          <w:color w:val="000000"/>
          <w:spacing w:val="0"/>
          <w:kern w:val="0"/>
          <w:sz w:val="24"/>
          <w:szCs w:val="24"/>
          <w:lang w:val="en-US" w:eastAsia="zh-CN" w:bidi="ar"/>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5.邮编: 315612</w:t>
      </w:r>
      <w:r>
        <w:rPr>
          <w:rFonts w:hint="eastAsia" w:ascii="华文中宋" w:hAnsi="华文中宋" w:eastAsia="华文中宋" w:cs="华文中宋"/>
          <w:i w:val="0"/>
          <w:caps w:val="0"/>
          <w:color w:val="000000"/>
          <w:spacing w:val="0"/>
          <w:kern w:val="0"/>
          <w:sz w:val="24"/>
          <w:szCs w:val="24"/>
          <w:lang w:val="en-US" w:eastAsia="zh-CN" w:bidi="ar"/>
        </w:rPr>
        <w:tab/>
      </w:r>
      <w:r>
        <w:rPr>
          <w:rFonts w:hint="eastAsia" w:ascii="华文中宋" w:hAnsi="华文中宋" w:eastAsia="华文中宋" w:cs="华文中宋"/>
          <w:i w:val="0"/>
          <w:caps w:val="0"/>
          <w:color w:val="000000"/>
          <w:spacing w:val="0"/>
          <w:kern w:val="0"/>
          <w:sz w:val="24"/>
          <w:szCs w:val="24"/>
          <w:lang w:val="en-US" w:eastAsia="zh-CN" w:bidi="ar"/>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6.联系人:邬海芬</w:t>
      </w:r>
      <w:r>
        <w:rPr>
          <w:rFonts w:hint="eastAsia" w:ascii="华文中宋" w:hAnsi="华文中宋" w:eastAsia="华文中宋" w:cs="华文中宋"/>
          <w:i w:val="0"/>
          <w:caps w:val="0"/>
          <w:color w:val="000000"/>
          <w:spacing w:val="0"/>
          <w:kern w:val="0"/>
          <w:sz w:val="24"/>
          <w:szCs w:val="24"/>
          <w:lang w:val="en-US" w:eastAsia="zh-CN" w:bidi="ar"/>
        </w:rPr>
        <w:tab/>
      </w:r>
      <w:r>
        <w:rPr>
          <w:rFonts w:hint="eastAsia" w:ascii="华文中宋" w:hAnsi="华文中宋" w:eastAsia="华文中宋" w:cs="华文中宋"/>
          <w:i w:val="0"/>
          <w:caps w:val="0"/>
          <w:color w:val="000000"/>
          <w:spacing w:val="0"/>
          <w:kern w:val="0"/>
          <w:sz w:val="24"/>
          <w:szCs w:val="24"/>
          <w:lang w:val="en-US" w:eastAsia="zh-CN" w:bidi="ar"/>
        </w:rPr>
        <w:t>电话:0574-65062098</w:t>
      </w:r>
      <w:r>
        <w:rPr>
          <w:rFonts w:hint="eastAsia" w:ascii="华文中宋" w:hAnsi="华文中宋" w:eastAsia="华文中宋" w:cs="华文中宋"/>
          <w:i w:val="0"/>
          <w:caps w:val="0"/>
          <w:color w:val="000000"/>
          <w:spacing w:val="0"/>
          <w:kern w:val="0"/>
          <w:sz w:val="24"/>
          <w:szCs w:val="24"/>
          <w:lang w:val="en-US" w:eastAsia="zh-CN" w:bidi="ar"/>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二、询价须知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1.本询价书表述了业主的询价要求，报价单位应认真地研究本询价书的要求及各项内容，做出报价响应，向询价单位(浙江宁波长三角电力工程有限公司工会委员会)报送《报价表》。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2.询价单位将根据《报价表》中最低报价单位签订该询价项目合同。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3.电影券报价不得超过:人民币200元/份，投标报价高于限价的做无效投标处理。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4.供应商根据自身实际情况进行报价，报价包含完成本项目服务的全部费用。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5.不论结果如何，供应商均应自行承担所有与投标有关的全部费用。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三、询价项目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1.服务期限: 2025年03月14日-2025年12月31日。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2.服务地点:采购人指定地点。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3.付款方式:根据实际份数，按实际结算，由成交供应商出具确认单经采购人核实后，成交供应商按采购人要求开具增值税普通发票进行结算。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四、资质和资格要求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1.职工凭券可以在宁波大市区域（</w:t>
      </w:r>
      <w:r>
        <w:rPr>
          <w:rFonts w:hint="eastAsia" w:ascii="华文中宋" w:hAnsi="华文中宋" w:eastAsia="华文中宋" w:cs="华文中宋"/>
          <w:strike w:val="0"/>
          <w:dstrike w:val="0"/>
          <w:color w:val="auto"/>
          <w:kern w:val="0"/>
          <w:sz w:val="24"/>
          <w:szCs w:val="24"/>
          <w:lang w:val="en-US" w:eastAsia="zh-CN" w:bidi="ar"/>
        </w:rPr>
        <w:t>鄞州区、海曙区、江北区</w:t>
      </w:r>
      <w:r>
        <w:rPr>
          <w:rFonts w:hint="eastAsia" w:ascii="华文中宋" w:hAnsi="华文中宋" w:eastAsia="华文中宋" w:cs="华文中宋"/>
          <w:i w:val="0"/>
          <w:caps w:val="0"/>
          <w:color w:val="000000"/>
          <w:spacing w:val="0"/>
          <w:kern w:val="0"/>
          <w:sz w:val="24"/>
          <w:szCs w:val="24"/>
          <w:lang w:val="en-US" w:eastAsia="zh-CN" w:bidi="ar"/>
        </w:rPr>
        <w:t>）或宁海县城所辖区域的影院观影。</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1</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kern w:val="0"/>
          <w:sz w:val="24"/>
          <w:szCs w:val="24"/>
          <w:lang w:val="en-US" w:eastAsia="zh-CN" w:bidi="ar"/>
        </w:rPr>
        <w:t>应有合法企业营业执照，电影放映许可证、食品经营许可证；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2</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kern w:val="0"/>
          <w:sz w:val="24"/>
          <w:szCs w:val="24"/>
          <w:lang w:val="en-US" w:eastAsia="zh-CN" w:bidi="ar"/>
        </w:rPr>
        <w:t>由依法缴纳税收的良好记录；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3</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kern w:val="0"/>
          <w:sz w:val="24"/>
          <w:szCs w:val="24"/>
          <w:lang w:val="en-US" w:eastAsia="zh-CN" w:bidi="ar"/>
        </w:rPr>
        <w:t>具有履行合同所必需的货物和专业技术能力，并保证服务流程的规范，确保服务质量。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4</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kern w:val="0"/>
          <w:sz w:val="24"/>
          <w:szCs w:val="24"/>
          <w:lang w:val="en-US" w:eastAsia="zh-CN" w:bidi="ar"/>
        </w:rPr>
        <w:t>具有良好的商业信誉和健全的财务会计制度；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5</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kern w:val="0"/>
          <w:sz w:val="24"/>
          <w:szCs w:val="24"/>
          <w:lang w:val="en-US" w:eastAsia="zh-CN" w:bidi="ar"/>
        </w:rPr>
        <w:t>供应商须未处于被责令停业、资产重组或破产状态，财产未被接管、冻结；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sz w:val="24"/>
          <w:szCs w:val="24"/>
          <w:highlight w:val="none"/>
          <w:lang w:eastAsia="zh-CN"/>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6</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sz w:val="24"/>
          <w:szCs w:val="24"/>
          <w:highlight w:val="none"/>
        </w:rPr>
        <w:t>投标人应是中华人民共和国注册的独立法人</w:t>
      </w:r>
      <w:r>
        <w:rPr>
          <w:rFonts w:hint="eastAsia" w:ascii="华文中宋" w:hAnsi="华文中宋" w:eastAsia="华文中宋" w:cs="华文中宋"/>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sz w:val="24"/>
          <w:szCs w:val="24"/>
          <w:highlight w:val="none"/>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7</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sz w:val="24"/>
          <w:szCs w:val="24"/>
          <w:highlight w:val="none"/>
        </w:rPr>
        <w:t>本项目不允许分包、转包，不接受联合体。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sz w:val="24"/>
          <w:szCs w:val="24"/>
          <w:highlight w:val="none"/>
          <w:lang w:val="en-US" w:eastAsia="zh-CN"/>
        </w:rPr>
      </w:pPr>
      <w:r>
        <w:rPr>
          <w:rFonts w:hint="eastAsia" w:ascii="华文中宋" w:hAnsi="华文中宋" w:eastAsia="华文中宋" w:cs="华文中宋"/>
          <w:sz w:val="24"/>
          <w:szCs w:val="24"/>
          <w:highlight w:val="none"/>
          <w:lang w:val="en-US" w:eastAsia="zh-CN"/>
        </w:rPr>
        <w:t>五、询价内容、范围</w:t>
      </w:r>
    </w:p>
    <w:p>
      <w:pPr>
        <w:rPr>
          <w:rFonts w:hint="eastAsia"/>
          <w:lang w:val="en-US" w:eastAsia="zh-CN"/>
        </w:rPr>
      </w:pPr>
    </w:p>
    <w:tbl>
      <w:tblPr>
        <w:tblStyle w:val="12"/>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6"/>
        <w:gridCol w:w="3969"/>
        <w:gridCol w:w="1425"/>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73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名称</w:t>
            </w:r>
          </w:p>
        </w:tc>
        <w:tc>
          <w:tcPr>
            <w:tcW w:w="396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兑换要求</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每份报价</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（元）</w:t>
            </w:r>
          </w:p>
        </w:tc>
        <w:tc>
          <w:tcPr>
            <w:tcW w:w="164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每份限价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0" w:hRule="atLeast"/>
        </w:trPr>
        <w:tc>
          <w:tcPr>
            <w:tcW w:w="273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标段一：宁波大市区域（</w:t>
            </w:r>
            <w:r>
              <w:rPr>
                <w:rFonts w:hint="eastAsia" w:ascii="华文中宋" w:hAnsi="华文中宋" w:eastAsia="华文中宋" w:cs="华文中宋"/>
                <w:strike w:val="0"/>
                <w:dstrike w:val="0"/>
                <w:color w:val="auto"/>
                <w:kern w:val="0"/>
                <w:sz w:val="24"/>
                <w:szCs w:val="24"/>
                <w:lang w:val="en-US" w:eastAsia="zh-CN" w:bidi="ar"/>
              </w:rPr>
              <w:t>鄞州区、海曙区、江北区</w:t>
            </w:r>
            <w:r>
              <w:rPr>
                <w:rFonts w:hint="eastAsia" w:ascii="华文中宋" w:hAnsi="华文中宋" w:eastAsia="华文中宋" w:cs="华文中宋"/>
                <w:sz w:val="24"/>
                <w:szCs w:val="24"/>
                <w:highlight w:val="none"/>
                <w:vertAlign w:val="baseline"/>
                <w:lang w:val="en-US" w:eastAsia="zh-CN"/>
              </w:rPr>
              <w:t>）影城电影兑换券</w:t>
            </w:r>
          </w:p>
        </w:tc>
        <w:tc>
          <w:tcPr>
            <w:tcW w:w="3969" w:type="dxa"/>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jc w:val="left"/>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地点：宁波大市区域（鄞州区、海曙区、江北区）影城；</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jc w:val="left"/>
              <w:textAlignment w:val="auto"/>
              <w:rPr>
                <w:rFonts w:hint="default"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一换一模式：每一份需有6张电影兑换券可观看各影城普通厅（2D和3D）制式电影，且赠送6张46盎司爆米花兑换券（或空心薯）+3份16盎司可乐（或雪碧、芬达）</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电影兑换券有效期1年，提供使用电影兑换券观看电影的使用操作手册；</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lang w:val="en-US" w:eastAsia="zh-CN"/>
              </w:rPr>
            </w:pPr>
            <w:r>
              <w:rPr>
                <w:rFonts w:hint="eastAsia" w:ascii="华文中宋" w:hAnsi="华文中宋" w:eastAsia="华文中宋" w:cs="华文中宋"/>
                <w:sz w:val="24"/>
                <w:szCs w:val="24"/>
                <w:highlight w:val="none"/>
                <w:vertAlign w:val="baseline"/>
                <w:lang w:val="en-US" w:eastAsia="zh-CN"/>
              </w:rPr>
              <w:t>如遇国家法定节假日（春节、国庆等长假节日）及限价片，特殊影厅需补差价的，所补差价原则上不超过10元；</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华文中宋" w:hAnsi="华文中宋" w:eastAsia="华文中宋" w:cs="华文中宋"/>
                <w:sz w:val="24"/>
                <w:szCs w:val="24"/>
                <w:highlight w:val="none"/>
                <w:vertAlign w:val="baseline"/>
              </w:rPr>
            </w:pPr>
          </w:p>
        </w:tc>
        <w:tc>
          <w:tcPr>
            <w:tcW w:w="164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不超过200元/份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73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标段二：宁海县城区影城电影兑换券</w:t>
            </w:r>
          </w:p>
        </w:tc>
        <w:tc>
          <w:tcPr>
            <w:tcW w:w="3969" w:type="dxa"/>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jc w:val="left"/>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地点：宁海县城区影城；</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jc w:val="left"/>
              <w:textAlignment w:val="auto"/>
              <w:rPr>
                <w:rFonts w:hint="default"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一换一模式：每一份需有6张电影兑换券可观看各影城普通厅（2D和3D）制式电影，且赠送3张46盎司爆米花兑换券（或空心薯）+6份16盎司可乐（或雪碧、芬达）与电影兑换券打包提供。</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电影兑换券有效期1年，提供使用电影兑换券观看电影的使用操作手册；</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如遇国家法定节假日（春节、国庆等长假节日）及限价片，特殊影厅需补差价的，所补差价原则上不超过10元；</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华文中宋" w:hAnsi="华文中宋" w:eastAsia="华文中宋" w:cs="华文中宋"/>
                <w:sz w:val="24"/>
                <w:szCs w:val="24"/>
                <w:highlight w:val="none"/>
                <w:vertAlign w:val="baseline"/>
              </w:rPr>
            </w:pPr>
          </w:p>
        </w:tc>
        <w:tc>
          <w:tcPr>
            <w:tcW w:w="164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华文中宋" w:hAnsi="华文中宋" w:eastAsia="华文中宋" w:cs="华文中宋"/>
                <w:sz w:val="24"/>
                <w:szCs w:val="24"/>
                <w:highlight w:val="none"/>
                <w:vertAlign w:val="baseline"/>
              </w:rPr>
            </w:pPr>
            <w:r>
              <w:rPr>
                <w:rFonts w:hint="eastAsia" w:ascii="华文中宋" w:hAnsi="华文中宋" w:eastAsia="华文中宋" w:cs="华文中宋"/>
                <w:sz w:val="24"/>
                <w:szCs w:val="24"/>
                <w:highlight w:val="none"/>
                <w:vertAlign w:val="baseline"/>
                <w:lang w:val="en-US" w:eastAsia="zh-CN"/>
              </w:rPr>
              <w:t>不超过200元/份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73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询价声明</w:t>
            </w:r>
          </w:p>
        </w:tc>
        <w:tc>
          <w:tcPr>
            <w:tcW w:w="704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使用有效期：2025年03月14日-2026年03月13日；</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华文中宋" w:hAnsi="华文中宋" w:eastAsia="华文中宋" w:cs="华文中宋"/>
                <w:sz w:val="24"/>
                <w:szCs w:val="24"/>
                <w:highlight w:val="none"/>
                <w:vertAlign w:val="baseline"/>
              </w:rPr>
            </w:pPr>
            <w:r>
              <w:rPr>
                <w:rFonts w:hint="eastAsia" w:ascii="华文中宋" w:hAnsi="华文中宋" w:eastAsia="华文中宋" w:cs="华文中宋"/>
                <w:sz w:val="24"/>
                <w:szCs w:val="24"/>
                <w:highlight w:val="none"/>
                <w:vertAlign w:val="baseline"/>
                <w:lang w:val="en-US" w:eastAsia="zh-CN"/>
              </w:rPr>
              <w:t>预计采购数量：宁波区域30份，宁海193份；</w:t>
            </w:r>
          </w:p>
        </w:tc>
      </w:tr>
    </w:tbl>
    <w:p>
      <w:pPr>
        <w:rPr>
          <w:rFonts w:hint="eastAsia" w:ascii="华文中宋" w:hAnsi="华文中宋" w:eastAsia="华文中宋" w:cs="华文中宋"/>
          <w:i w:val="0"/>
          <w:caps w:val="0"/>
          <w:color w:val="000000"/>
          <w:spacing w:val="0"/>
          <w:kern w:val="0"/>
          <w:sz w:val="24"/>
          <w:szCs w:val="24"/>
          <w:lang w:val="en-US" w:eastAsia="zh-CN" w:bidi="ar"/>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sz w:val="24"/>
          <w:szCs w:val="24"/>
          <w:highlight w:val="none"/>
          <w:lang w:val="en-US" w:eastAsia="zh-CN"/>
        </w:rPr>
      </w:pPr>
      <w:r>
        <w:rPr>
          <w:rFonts w:hint="eastAsia" w:ascii="华文中宋" w:hAnsi="华文中宋" w:eastAsia="华文中宋" w:cs="华文中宋"/>
          <w:sz w:val="24"/>
          <w:szCs w:val="24"/>
          <w:highlight w:val="none"/>
          <w:lang w:val="en-US" w:eastAsia="zh-CN"/>
        </w:rPr>
        <w:t>报价原则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（1）</w:t>
      </w:r>
      <w:r>
        <w:rPr>
          <w:rFonts w:hint="default" w:ascii="华文中宋" w:hAnsi="华文中宋" w:eastAsia="华文中宋" w:cs="华文中宋"/>
          <w:color w:val="000000"/>
          <w:kern w:val="0"/>
          <w:sz w:val="24"/>
          <w:szCs w:val="24"/>
          <w:lang w:val="en-US" w:eastAsia="zh-CN" w:bidi="ar"/>
        </w:rPr>
        <w:t>除非合同中另有约定，具有标价的项目清单中所报价格，以及报价汇总表中的价格应包括直接费、间接费、利润、税金以及在项目实施期间各类风险等各项费用。</w:t>
      </w:r>
      <w:r>
        <w:rPr>
          <w:rFonts w:hint="eastAsia" w:ascii="华文中宋" w:hAnsi="华文中宋" w:eastAsia="华文中宋" w:cs="华文中宋"/>
          <w:color w:val="000000"/>
          <w:kern w:val="0"/>
          <w:sz w:val="24"/>
          <w:szCs w:val="24"/>
          <w:lang w:val="en-US" w:eastAsia="zh-CN" w:bidi="ar"/>
        </w:rPr>
        <w:t>（2）</w:t>
      </w:r>
      <w:r>
        <w:rPr>
          <w:rFonts w:hint="default" w:ascii="华文中宋" w:hAnsi="华文中宋" w:eastAsia="华文中宋" w:cs="华文中宋"/>
          <w:color w:val="000000"/>
          <w:kern w:val="0"/>
          <w:sz w:val="24"/>
          <w:szCs w:val="24"/>
          <w:lang w:val="en-US" w:eastAsia="zh-CN" w:bidi="ar"/>
        </w:rPr>
        <w:t>报价须按</w:t>
      </w:r>
      <w:r>
        <w:rPr>
          <w:rFonts w:hint="default" w:ascii="华文中宋" w:hAnsi="华文中宋" w:eastAsia="华文中宋" w:cs="华文中宋"/>
          <w:color w:val="000000"/>
          <w:kern w:val="0"/>
          <w:sz w:val="24"/>
          <w:szCs w:val="24"/>
          <w:highlight w:val="none"/>
          <w:lang w:val="en-US" w:eastAsia="zh-CN" w:bidi="ar"/>
        </w:rPr>
        <w:t>附表</w:t>
      </w:r>
      <w:r>
        <w:rPr>
          <w:rFonts w:hint="default" w:ascii="华文中宋" w:hAnsi="华文中宋" w:eastAsia="华文中宋" w:cs="华文中宋"/>
          <w:color w:val="000000"/>
          <w:kern w:val="0"/>
          <w:sz w:val="24"/>
          <w:szCs w:val="24"/>
          <w:lang w:val="en-US" w:eastAsia="zh-CN" w:bidi="ar"/>
        </w:rPr>
        <w:t>格式填报报价构成及汇总价。</w:t>
      </w:r>
    </w:p>
    <w:p>
      <w:pPr>
        <w:pStyle w:val="2"/>
        <w:numPr>
          <w:ilvl w:val="0"/>
          <w:numId w:val="0"/>
        </w:numPr>
        <w:rPr>
          <w:rFonts w:hint="default"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（3）</w:t>
      </w:r>
      <w:r>
        <w:rPr>
          <w:rFonts w:hint="default" w:ascii="华文中宋" w:hAnsi="华文中宋" w:eastAsia="华文中宋" w:cs="华文中宋"/>
          <w:color w:val="000000"/>
          <w:kern w:val="0"/>
          <w:sz w:val="24"/>
          <w:szCs w:val="24"/>
          <w:lang w:val="en-US" w:eastAsia="zh-CN" w:bidi="ar"/>
        </w:rPr>
        <w:t>询价单位不承担由于报价单位在履行合同义务时造成对周围构成或潜在的破坏性影响等而引起的赔偿费用。也不承担报价单位应自行投保而未投保项目的损失费用。</w:t>
      </w:r>
    </w:p>
    <w:p>
      <w:pPr>
        <w:pStyle w:val="2"/>
        <w:numPr>
          <w:ilvl w:val="0"/>
          <w:numId w:val="0"/>
        </w:numPr>
        <w:rPr>
          <w:rFonts w:hint="eastAsia" w:ascii="华文中宋" w:hAnsi="华文中宋" w:eastAsia="华文中宋" w:cs="华文中宋"/>
          <w:b/>
          <w:bCs/>
          <w:color w:val="FF0000"/>
          <w:sz w:val="24"/>
          <w:szCs w:val="24"/>
          <w:highlight w:val="none"/>
          <w:lang w:val="en-US" w:eastAsia="zh-CN"/>
        </w:rPr>
      </w:pPr>
      <w:r>
        <w:rPr>
          <w:rFonts w:hint="eastAsia" w:ascii="华文中宋" w:hAnsi="华文中宋" w:eastAsia="华文中宋" w:cs="华文中宋"/>
          <w:color w:val="000000"/>
          <w:kern w:val="0"/>
          <w:sz w:val="24"/>
          <w:szCs w:val="24"/>
          <w:lang w:val="en-US" w:eastAsia="zh-CN" w:bidi="ar"/>
        </w:rPr>
        <w:t>（4）</w:t>
      </w:r>
      <w:r>
        <w:rPr>
          <w:rFonts w:hint="eastAsia" w:ascii="华文中宋" w:hAnsi="华文中宋" w:eastAsia="华文中宋" w:cs="华文中宋"/>
          <w:color w:val="auto"/>
          <w:sz w:val="24"/>
          <w:szCs w:val="24"/>
          <w:highlight w:val="none"/>
          <w:lang w:val="en-US" w:eastAsia="zh-CN"/>
        </w:rPr>
        <w:t>本次报价每份</w:t>
      </w:r>
      <w:r>
        <w:rPr>
          <w:rFonts w:hint="eastAsia" w:ascii="华文中宋" w:hAnsi="华文中宋" w:eastAsia="华文中宋" w:cs="华文中宋"/>
          <w:b/>
          <w:bCs/>
          <w:color w:val="FF0000"/>
          <w:sz w:val="24"/>
          <w:szCs w:val="24"/>
          <w:highlight w:val="none"/>
          <w:lang w:val="en-US" w:eastAsia="zh-CN"/>
        </w:rPr>
        <w:t>超过限标价</w:t>
      </w:r>
      <w:r>
        <w:rPr>
          <w:rFonts w:hint="eastAsia" w:ascii="华文中宋" w:hAnsi="华文中宋" w:eastAsia="华文中宋" w:cs="华文中宋"/>
          <w:b/>
          <w:bCs/>
          <w:color w:val="FF0000"/>
          <w:sz w:val="24"/>
          <w:szCs w:val="24"/>
          <w:highlight w:val="none"/>
          <w:u w:val="single"/>
          <w:lang w:val="en-US" w:eastAsia="zh-CN"/>
        </w:rPr>
        <w:t xml:space="preserve">：¥200元 </w:t>
      </w:r>
      <w:r>
        <w:rPr>
          <w:rFonts w:hint="eastAsia" w:ascii="华文中宋" w:hAnsi="华文中宋" w:eastAsia="华文中宋" w:cs="华文中宋"/>
          <w:b/>
          <w:bCs/>
          <w:color w:val="FF0000"/>
          <w:sz w:val="24"/>
          <w:szCs w:val="24"/>
          <w:highlight w:val="none"/>
          <w:lang w:val="en-US" w:eastAsia="zh-CN"/>
        </w:rPr>
        <w:t>视为无效报价。</w:t>
      </w:r>
    </w:p>
    <w:p>
      <w:pPr>
        <w:rPr>
          <w:rFonts w:hint="default"/>
          <w:lang w:val="en-US" w:eastAsia="zh-CN"/>
        </w:rPr>
      </w:pPr>
      <w:r>
        <w:rPr>
          <w:rFonts w:hint="eastAsia" w:ascii="华文中宋" w:hAnsi="华文中宋" w:eastAsia="华文中宋" w:cs="华文中宋"/>
          <w:b/>
          <w:bCs/>
          <w:color w:val="FF0000"/>
          <w:sz w:val="24"/>
          <w:szCs w:val="24"/>
          <w:highlight w:val="none"/>
          <w:lang w:val="en-US" w:eastAsia="zh-CN"/>
        </w:rPr>
        <w:t>（5）报价单位在满足最低兑换要求时，所报价格相</w:t>
      </w:r>
      <w:bookmarkStart w:id="0" w:name="_GoBack"/>
      <w:bookmarkEnd w:id="0"/>
      <w:r>
        <w:rPr>
          <w:rFonts w:hint="eastAsia" w:ascii="华文中宋" w:hAnsi="华文中宋" w:eastAsia="华文中宋" w:cs="华文中宋"/>
          <w:b/>
          <w:bCs/>
          <w:color w:val="FF0000"/>
          <w:sz w:val="24"/>
          <w:szCs w:val="24"/>
          <w:highlight w:val="none"/>
          <w:lang w:val="en-US" w:eastAsia="zh-CN"/>
        </w:rPr>
        <w:t>同则比较其另外增加的优惠条件，优惠条件较高的为中标单位。</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textAlignment w:val="auto"/>
        <w:rPr>
          <w:rFonts w:hint="default" w:ascii="华文中宋" w:hAnsi="华文中宋" w:eastAsia="华文中宋" w:cs="华文中宋"/>
          <w:sz w:val="24"/>
          <w:szCs w:val="24"/>
          <w:highlight w:val="none"/>
          <w:lang w:val="en-US" w:eastAsia="zh-CN"/>
        </w:rPr>
      </w:pPr>
      <w:r>
        <w:rPr>
          <w:rFonts w:hint="eastAsia" w:ascii="华文中宋" w:hAnsi="华文中宋" w:eastAsia="华文中宋" w:cs="华文中宋"/>
          <w:sz w:val="24"/>
          <w:szCs w:val="24"/>
          <w:highlight w:val="none"/>
          <w:lang w:val="en-US" w:eastAsia="zh-CN"/>
        </w:rPr>
        <w:t>报价</w:t>
      </w:r>
      <w:r>
        <w:rPr>
          <w:rFonts w:hint="default" w:ascii="华文中宋" w:hAnsi="华文中宋" w:eastAsia="华文中宋" w:cs="华文中宋"/>
          <w:sz w:val="24"/>
          <w:szCs w:val="24"/>
          <w:highlight w:val="none"/>
          <w:lang w:val="en-US" w:eastAsia="zh-CN"/>
        </w:rPr>
        <w:t>采用方式</w:t>
      </w:r>
    </w:p>
    <w:p>
      <w:pPr>
        <w:pStyle w:val="2"/>
        <w:numPr>
          <w:ilvl w:val="0"/>
          <w:numId w:val="0"/>
        </w:numPr>
        <w:rPr>
          <w:rFonts w:hint="eastAsia" w:ascii="华文中宋" w:hAnsi="华文中宋" w:eastAsia="华文中宋" w:cs="华文中宋"/>
          <w:b/>
          <w:bCs/>
          <w:i w:val="0"/>
          <w:caps w:val="0"/>
          <w:color w:val="FF0000"/>
          <w:spacing w:val="0"/>
          <w:sz w:val="24"/>
          <w:szCs w:val="24"/>
          <w:highlight w:val="none"/>
          <w:shd w:val="clear" w:color="auto" w:fill="FFFFFF"/>
          <w:lang w:eastAsia="zh-CN"/>
        </w:rPr>
      </w:pPr>
      <w:r>
        <w:rPr>
          <w:rFonts w:hint="eastAsia" w:ascii="华文中宋" w:hAnsi="华文中宋" w:eastAsia="华文中宋" w:cs="华文中宋"/>
          <w:color w:val="000000"/>
          <w:kern w:val="0"/>
          <w:sz w:val="24"/>
          <w:szCs w:val="24"/>
          <w:lang w:val="en-US" w:eastAsia="zh-CN" w:bidi="ar"/>
        </w:rPr>
        <w:t>（1）</w:t>
      </w:r>
      <w:r>
        <w:rPr>
          <w:rFonts w:hint="default" w:ascii="华文中宋" w:hAnsi="华文中宋" w:eastAsia="华文中宋" w:cs="华文中宋"/>
          <w:color w:val="000000"/>
          <w:kern w:val="0"/>
          <w:sz w:val="24"/>
          <w:szCs w:val="24"/>
          <w:lang w:val="en-US" w:eastAsia="zh-CN" w:bidi="ar"/>
        </w:rPr>
        <w:t>价格采用固定综合单价方式，</w:t>
      </w:r>
      <w:r>
        <w:rPr>
          <w:rFonts w:hint="eastAsia" w:ascii="华文中宋" w:hAnsi="华文中宋" w:eastAsia="华文中宋" w:cs="华文中宋"/>
          <w:color w:val="000000"/>
          <w:kern w:val="0"/>
          <w:sz w:val="24"/>
          <w:szCs w:val="24"/>
          <w:lang w:val="en-US" w:eastAsia="zh-CN" w:bidi="ar"/>
        </w:rPr>
        <w:t>各报价单位</w:t>
      </w:r>
      <w:r>
        <w:rPr>
          <w:rFonts w:hint="eastAsia" w:ascii="华文中宋" w:hAnsi="华文中宋" w:eastAsia="华文中宋" w:cs="华文中宋"/>
          <w:sz w:val="24"/>
          <w:szCs w:val="24"/>
          <w:highlight w:val="none"/>
          <w:lang w:val="en-US" w:eastAsia="zh-CN"/>
        </w:rPr>
        <w:t>折扣</w:t>
      </w:r>
      <w:r>
        <w:rPr>
          <w:rFonts w:hint="eastAsia" w:ascii="华文中宋" w:hAnsi="华文中宋" w:eastAsia="华文中宋" w:cs="华文中宋"/>
          <w:sz w:val="24"/>
          <w:szCs w:val="24"/>
          <w:highlight w:val="none"/>
        </w:rPr>
        <w:t>最低</w:t>
      </w:r>
      <w:r>
        <w:rPr>
          <w:rFonts w:hint="eastAsia" w:ascii="华文中宋" w:hAnsi="华文中宋" w:eastAsia="华文中宋" w:cs="华文中宋"/>
          <w:sz w:val="24"/>
          <w:szCs w:val="24"/>
          <w:highlight w:val="none"/>
          <w:lang w:val="en-US" w:eastAsia="zh-CN"/>
        </w:rPr>
        <w:t>为</w:t>
      </w:r>
      <w:r>
        <w:rPr>
          <w:rFonts w:hint="eastAsia" w:ascii="华文中宋" w:hAnsi="华文中宋" w:eastAsia="华文中宋" w:cs="华文中宋"/>
          <w:sz w:val="24"/>
          <w:szCs w:val="24"/>
          <w:highlight w:val="none"/>
        </w:rPr>
        <w:t>中标</w:t>
      </w:r>
      <w:r>
        <w:rPr>
          <w:rFonts w:hint="eastAsia" w:ascii="华文中宋" w:hAnsi="华文中宋" w:eastAsia="华文中宋" w:cs="华文中宋"/>
          <w:sz w:val="24"/>
          <w:szCs w:val="24"/>
          <w:highlight w:val="none"/>
          <w:lang w:val="en-US" w:eastAsia="zh-CN"/>
        </w:rPr>
        <w:t>价，</w:t>
      </w:r>
      <w:r>
        <w:rPr>
          <w:rFonts w:hint="eastAsia" w:ascii="华文中宋" w:hAnsi="华文中宋" w:eastAsia="华文中宋" w:cs="华文中宋"/>
          <w:sz w:val="24"/>
          <w:szCs w:val="24"/>
          <w:highlight w:val="none"/>
        </w:rPr>
        <w:t>报价后为不变价，包括供方应交纳的税费</w:t>
      </w:r>
      <w:r>
        <w:rPr>
          <w:rFonts w:hint="eastAsia" w:ascii="华文中宋" w:hAnsi="华文中宋" w:eastAsia="华文中宋" w:cs="华文中宋"/>
          <w:sz w:val="24"/>
          <w:szCs w:val="24"/>
          <w:highlight w:val="none"/>
          <w:lang w:val="en-US" w:eastAsia="zh-CN"/>
        </w:rPr>
        <w:t>运费等</w:t>
      </w:r>
      <w:r>
        <w:rPr>
          <w:rFonts w:hint="eastAsia" w:ascii="华文中宋" w:hAnsi="华文中宋" w:eastAsia="华文中宋" w:cs="华文中宋"/>
          <w:sz w:val="24"/>
          <w:szCs w:val="24"/>
          <w:highlight w:val="none"/>
        </w:rPr>
        <w:t>在内，</w:t>
      </w:r>
      <w:r>
        <w:rPr>
          <w:rFonts w:hint="eastAsia" w:ascii="华文中宋" w:hAnsi="华文中宋" w:eastAsia="华文中宋" w:cs="华文中宋"/>
          <w:color w:val="auto"/>
          <w:sz w:val="24"/>
          <w:szCs w:val="24"/>
          <w:highlight w:val="none"/>
        </w:rPr>
        <w:t>报价的商品不得恶意报价，要符合市场规律。</w:t>
      </w:r>
    </w:p>
    <w:p>
      <w:pPr>
        <w:pStyle w:val="2"/>
        <w:rPr>
          <w:rFonts w:hint="default"/>
          <w:lang w:val="en-US" w:eastAsia="zh-CN"/>
        </w:rPr>
      </w:pPr>
    </w:p>
    <w:p>
      <w:pPr>
        <w:keepNext w:val="0"/>
        <w:keepLines w:val="0"/>
        <w:pageBreakBefore w:val="0"/>
        <w:numPr>
          <w:ilvl w:val="0"/>
          <w:numId w:val="3"/>
        </w:numPr>
        <w:kinsoku/>
        <w:wordWrap/>
        <w:overflowPunct/>
        <w:topLinePunct w:val="0"/>
        <w:autoSpaceDE/>
        <w:autoSpaceDN/>
        <w:bidi w:val="0"/>
        <w:spacing w:line="360" w:lineRule="auto"/>
        <w:ind w:left="0" w:leftChars="0" w:firstLine="0" w:firstLineChars="0"/>
        <w:textAlignment w:val="auto"/>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t>其他</w:t>
      </w:r>
    </w:p>
    <w:p>
      <w:pPr>
        <w:keepNext w:val="0"/>
        <w:keepLines w:val="0"/>
        <w:pageBreakBefore w:val="0"/>
        <w:numPr>
          <w:ilvl w:val="0"/>
          <w:numId w:val="0"/>
        </w:numPr>
        <w:kinsoku/>
        <w:wordWrap/>
        <w:overflowPunct/>
        <w:topLinePunct w:val="0"/>
        <w:autoSpaceDE/>
        <w:autoSpaceDN/>
        <w:bidi w:val="0"/>
        <w:spacing w:line="360" w:lineRule="auto"/>
        <w:ind w:leftChars="0" w:firstLine="480" w:firstLineChars="200"/>
        <w:textAlignment w:val="auto"/>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t>询价结果关注政乐云采购平台查询，如有特殊情况会线下通知到每一个参与报价供应商。</w:t>
      </w:r>
    </w:p>
    <w:p>
      <w:pPr>
        <w:pStyle w:val="14"/>
        <w:keepNext w:val="0"/>
        <w:keepLines w:val="0"/>
        <w:pageBreakBefore w:val="0"/>
        <w:widowControl w:val="0"/>
        <w:numPr>
          <w:ilvl w:val="0"/>
          <w:numId w:val="0"/>
        </w:numPr>
        <w:kinsoku/>
        <w:wordWrap/>
        <w:overflowPunct/>
        <w:topLinePunct w:val="0"/>
        <w:bidi w:val="0"/>
        <w:spacing w:line="360" w:lineRule="auto"/>
        <w:ind w:leftChars="0"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color w:val="auto"/>
          <w:sz w:val="24"/>
          <w:szCs w:val="24"/>
          <w:lang w:val="en-US" w:eastAsia="zh-CN"/>
        </w:rPr>
        <w:t>报价</w:t>
      </w:r>
      <w:r>
        <w:rPr>
          <w:rFonts w:hint="eastAsia" w:ascii="华文中宋" w:hAnsi="华文中宋" w:eastAsia="华文中宋" w:cs="华文中宋"/>
          <w:color w:val="auto"/>
          <w:sz w:val="24"/>
          <w:szCs w:val="24"/>
        </w:rPr>
        <w:t>方应以书面方式通知</w:t>
      </w:r>
      <w:r>
        <w:rPr>
          <w:rFonts w:hint="eastAsia" w:ascii="华文中宋" w:hAnsi="华文中宋" w:eastAsia="华文中宋" w:cs="华文中宋"/>
          <w:color w:val="auto"/>
          <w:sz w:val="24"/>
          <w:szCs w:val="24"/>
          <w:lang w:val="en-US" w:eastAsia="zh-CN"/>
        </w:rPr>
        <w:t>询价</w:t>
      </w:r>
      <w:r>
        <w:rPr>
          <w:rFonts w:hint="eastAsia" w:ascii="华文中宋" w:hAnsi="华文中宋" w:eastAsia="华文中宋" w:cs="华文中宋"/>
          <w:color w:val="auto"/>
          <w:sz w:val="24"/>
          <w:szCs w:val="24"/>
        </w:rPr>
        <w:t>方其的开户银行、帐户名称、帐号。开户银行、帐</w:t>
      </w:r>
      <w:r>
        <w:rPr>
          <w:rFonts w:hint="eastAsia" w:ascii="华文中宋" w:hAnsi="华文中宋" w:eastAsia="华文中宋" w:cs="华文中宋"/>
          <w:color w:val="000000"/>
          <w:sz w:val="24"/>
          <w:szCs w:val="24"/>
        </w:rPr>
        <w:t>户名称、帐号如有变更，</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方应在合同规定的相关付款期限前</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u w:val="single"/>
          <w:lang w:val="en-US" w:eastAsia="zh-CN"/>
        </w:rPr>
        <w:t>20</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rPr>
        <w:t>天内以书面方式通知</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方，如未按时通知或通知有误而影响结算的，</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方不承担任何责任。</w:t>
      </w:r>
    </w:p>
    <w:p>
      <w:pPr>
        <w:pStyle w:val="14"/>
        <w:rPr>
          <w:rFonts w:hint="eastAsia" w:ascii="华文中宋" w:hAnsi="华文中宋" w:eastAsia="华文中宋" w:cs="华文中宋"/>
          <w:sz w:val="24"/>
          <w:szCs w:val="24"/>
          <w:lang w:val="en-US" w:eastAsia="zh-CN"/>
        </w:rPr>
      </w:pPr>
    </w:p>
    <w:p>
      <w:pPr>
        <w:pStyle w:val="14"/>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附件1：开票资料</w:t>
      </w:r>
    </w:p>
    <w:p>
      <w:pPr>
        <w:ind w:left="200"/>
        <w:jc w:val="left"/>
        <w:rPr>
          <w:rFonts w:hint="eastAsia" w:ascii="宋体" w:hAnsi="宋体" w:eastAsia="宋体" w:cs="宋体"/>
          <w:sz w:val="18"/>
          <w:szCs w:val="18"/>
          <w:lang w:val="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widowControl/>
              <w:shd w:val="clear" w:color="auto" w:fill="FFFFFF"/>
              <w:spacing w:line="600" w:lineRule="atLeast"/>
              <w:jc w:val="center"/>
              <w:rPr>
                <w:rFonts w:hint="eastAsia" w:ascii="仿宋" w:hAnsi="宋体" w:eastAsia="仿宋" w:cs="宋体"/>
                <w:b/>
                <w:bCs/>
                <w:color w:val="333333"/>
                <w:kern w:val="0"/>
                <w:sz w:val="48"/>
                <w:szCs w:val="48"/>
              </w:rPr>
            </w:pPr>
            <w:r>
              <w:rPr>
                <w:rFonts w:hint="eastAsia" w:ascii="仿宋" w:hAnsi="宋体" w:eastAsia="仿宋" w:cs="宋体"/>
                <w:b/>
                <w:bCs/>
                <w:color w:val="333333"/>
                <w:kern w:val="0"/>
                <w:sz w:val="48"/>
                <w:szCs w:val="48"/>
              </w:rPr>
              <w:t>增值税发票开票信息</w:t>
            </w:r>
          </w:p>
          <w:p>
            <w:pPr>
              <w:widowControl/>
              <w:shd w:val="clear" w:color="auto" w:fill="FFFFFF"/>
              <w:spacing w:line="600" w:lineRule="atLeast"/>
              <w:rPr>
                <w:rFonts w:hint="eastAsia" w:ascii="仿宋" w:hAnsi="宋体" w:eastAsia="仿宋" w:cs="宋体"/>
                <w:b/>
                <w:bCs/>
                <w:color w:val="333333"/>
                <w:kern w:val="0"/>
                <w:sz w:val="32"/>
                <w:szCs w:val="32"/>
              </w:rPr>
            </w:pP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公</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司</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名</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称</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w:t>
            </w:r>
            <w:r>
              <w:rPr>
                <w:rFonts w:hint="eastAsia" w:ascii="仿宋" w:hAnsi="宋体" w:eastAsia="仿宋" w:cs="宋体"/>
                <w:b/>
                <w:bCs/>
                <w:color w:val="333333"/>
                <w:kern w:val="0"/>
                <w:sz w:val="36"/>
                <w:szCs w:val="36"/>
              </w:rPr>
              <w:t>浙江宁波长三角电力工程有限公司</w:t>
            </w:r>
          </w:p>
          <w:p>
            <w:pPr>
              <w:widowControl/>
              <w:shd w:val="clear" w:color="auto" w:fill="FFFFFF"/>
              <w:spacing w:line="600" w:lineRule="atLeast"/>
              <w:rPr>
                <w:rFonts w:hint="eastAsia" w:ascii="仿宋" w:hAnsi="宋体" w:eastAsia="仿宋" w:cs="宋体"/>
                <w:b/>
                <w:bCs/>
                <w:color w:val="333333"/>
                <w:kern w:val="0"/>
                <w:sz w:val="36"/>
                <w:szCs w:val="36"/>
              </w:rPr>
            </w:pPr>
            <w:r>
              <w:rPr>
                <w:rFonts w:hint="eastAsia" w:ascii="仿宋" w:hAnsi="宋体" w:eastAsia="仿宋" w:cs="宋体"/>
                <w:color w:val="333333"/>
                <w:kern w:val="0"/>
                <w:sz w:val="36"/>
                <w:szCs w:val="36"/>
              </w:rPr>
              <w:t>纳税人识别号：</w:t>
            </w:r>
            <w:r>
              <w:rPr>
                <w:rFonts w:hint="eastAsia" w:ascii="仿宋" w:hAnsi="宋体" w:eastAsia="仿宋" w:cs="宋体"/>
                <w:b/>
                <w:bCs/>
                <w:color w:val="333333"/>
                <w:kern w:val="0"/>
                <w:sz w:val="36"/>
                <w:szCs w:val="36"/>
              </w:rPr>
              <w:t>913302267792970976</w:t>
            </w: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开  户  行：</w:t>
            </w:r>
            <w:r>
              <w:rPr>
                <w:rFonts w:hint="eastAsia" w:ascii="仿宋" w:hAnsi="宋体" w:eastAsia="仿宋" w:cs="宋体"/>
                <w:b/>
                <w:bCs/>
                <w:color w:val="333333"/>
                <w:kern w:val="0"/>
                <w:sz w:val="36"/>
                <w:szCs w:val="36"/>
              </w:rPr>
              <w:t>中国</w:t>
            </w:r>
            <w:r>
              <w:rPr>
                <w:rFonts w:hint="eastAsia" w:ascii="仿宋" w:hAnsi="宋体" w:eastAsia="仿宋" w:cs="宋体"/>
                <w:b/>
                <w:bCs/>
                <w:color w:val="333333"/>
                <w:kern w:val="0"/>
                <w:sz w:val="36"/>
                <w:szCs w:val="36"/>
                <w:lang w:val="en-US" w:eastAsia="zh-CN"/>
              </w:rPr>
              <w:t>工商银行宁海金水支行</w:t>
            </w: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帐      号：</w:t>
            </w:r>
            <w:r>
              <w:rPr>
                <w:rFonts w:hint="eastAsia" w:ascii="仿宋" w:hAnsi="宋体" w:eastAsia="仿宋" w:cs="宋体"/>
                <w:b/>
                <w:bCs/>
                <w:color w:val="333333"/>
                <w:kern w:val="0"/>
                <w:sz w:val="36"/>
                <w:szCs w:val="36"/>
                <w:lang w:val="en-US" w:eastAsia="zh-CN"/>
              </w:rPr>
              <w:t>3901330109200015891</w:t>
            </w:r>
          </w:p>
          <w:p>
            <w:pPr>
              <w:widowControl/>
              <w:shd w:val="clear" w:color="auto" w:fill="FFFFFF"/>
              <w:spacing w:line="600" w:lineRule="atLeast"/>
              <w:rPr>
                <w:rFonts w:ascii="宋体" w:hAnsi="宋体" w:cs="宋体"/>
                <w:color w:val="333333"/>
                <w:kern w:val="0"/>
                <w:sz w:val="36"/>
                <w:szCs w:val="36"/>
              </w:rPr>
            </w:pPr>
            <w:r>
              <w:rPr>
                <w:rFonts w:hint="eastAsia" w:ascii="仿宋" w:hAnsi="宋体" w:eastAsia="仿宋" w:cs="宋体"/>
                <w:color w:val="333333"/>
                <w:kern w:val="0"/>
                <w:sz w:val="36"/>
                <w:szCs w:val="36"/>
              </w:rPr>
              <w:t>地      址：浙江省宁波市宁海县强蛟镇</w:t>
            </w:r>
          </w:p>
          <w:p>
            <w:pPr>
              <w:widowControl/>
              <w:shd w:val="clear" w:color="auto" w:fill="FFFFFF"/>
              <w:spacing w:line="600" w:lineRule="atLeast"/>
              <w:rPr>
                <w:rFonts w:hint="default" w:ascii="宋体" w:hAnsi="宋体" w:eastAsia="仿宋" w:cs="宋体"/>
                <w:color w:val="333333"/>
                <w:kern w:val="0"/>
                <w:sz w:val="36"/>
                <w:szCs w:val="36"/>
                <w:lang w:val="en-US" w:eastAsia="zh-CN"/>
              </w:rPr>
            </w:pPr>
            <w:r>
              <w:rPr>
                <w:rFonts w:hint="eastAsia" w:ascii="仿宋" w:hAnsi="宋体" w:eastAsia="仿宋" w:cs="宋体"/>
                <w:color w:val="333333"/>
                <w:kern w:val="0"/>
                <w:sz w:val="36"/>
                <w:szCs w:val="36"/>
              </w:rPr>
              <w:t>电      话：0574-6506</w:t>
            </w:r>
            <w:r>
              <w:rPr>
                <w:rFonts w:hint="eastAsia" w:ascii="仿宋" w:hAnsi="宋体" w:eastAsia="仿宋" w:cs="宋体"/>
                <w:color w:val="333333"/>
                <w:kern w:val="0"/>
                <w:sz w:val="36"/>
                <w:szCs w:val="36"/>
                <w:lang w:val="en-US" w:eastAsia="zh-CN"/>
              </w:rPr>
              <w:t>2653</w:t>
            </w:r>
          </w:p>
          <w:p>
            <w:pPr>
              <w:rPr>
                <w:rFonts w:hint="eastAsia" w:eastAsia="宋体"/>
                <w:sz w:val="32"/>
                <w:szCs w:val="32"/>
                <w:lang w:val="en-US" w:eastAsia="zh-CN"/>
              </w:rPr>
            </w:pPr>
          </w:p>
        </w:tc>
      </w:tr>
    </w:tbl>
    <w:p>
      <w:pPr>
        <w:rPr>
          <w:rFonts w:hint="eastAsia" w:ascii="宋体" w:hAnsi="宋体" w:cs="宋体"/>
          <w:b/>
          <w:bCs/>
          <w:sz w:val="18"/>
          <w:szCs w:val="18"/>
          <w:lang w:val="en-US" w:eastAsia="zh-CN"/>
        </w:rPr>
        <w:sectPr>
          <w:footerReference r:id="rId5" w:type="first"/>
          <w:headerReference r:id="rId3" w:type="default"/>
          <w:footerReference r:id="rId4" w:type="default"/>
          <w:pgSz w:w="11906" w:h="16838"/>
          <w:pgMar w:top="1134" w:right="1531" w:bottom="1134" w:left="1531" w:header="425" w:footer="709" w:gutter="0"/>
          <w:pgBorders w:offsetFrom="page">
            <w:top w:val="none" w:sz="0" w:space="0"/>
            <w:left w:val="none" w:sz="0" w:space="0"/>
            <w:bottom w:val="none" w:sz="0" w:space="0"/>
            <w:right w:val="none" w:sz="0" w:space="0"/>
          </w:pgBorders>
          <w:pgNumType w:fmt="decimal"/>
          <w:cols w:space="720" w:num="1"/>
          <w:docGrid w:linePitch="286" w:charSpace="0"/>
        </w:sectPr>
      </w:pPr>
    </w:p>
    <w:p>
      <w:pPr>
        <w:rPr>
          <w:rFonts w:hint="eastAsia" w:ascii="华文宋体" w:hAnsi="华文宋体" w:eastAsia="华文宋体" w:cs="华文宋体"/>
          <w:b/>
          <w:bCs/>
          <w:color w:val="FF0000"/>
          <w:sz w:val="24"/>
          <w:szCs w:val="24"/>
          <w:lang w:val="en-US" w:eastAsia="zh-CN"/>
        </w:rPr>
      </w:pPr>
      <w:r>
        <w:rPr>
          <w:rFonts w:hint="eastAsia" w:ascii="华文宋体" w:hAnsi="华文宋体" w:eastAsia="华文宋体" w:cs="华文宋体"/>
          <w:b/>
          <w:bCs/>
          <w:color w:val="FF0000"/>
          <w:sz w:val="24"/>
          <w:szCs w:val="24"/>
          <w:lang w:val="en-US" w:eastAsia="zh-CN"/>
        </w:rPr>
        <w:t xml:space="preserve">附件2：报价模板                      </w:t>
      </w:r>
    </w:p>
    <w:p>
      <w:pPr>
        <w:ind w:firstLine="240" w:firstLineChars="100"/>
        <w:jc w:val="center"/>
        <w:rPr>
          <w:rFonts w:hint="default" w:ascii="华文宋体" w:hAnsi="华文宋体" w:eastAsia="华文宋体" w:cs="华文宋体"/>
          <w:b/>
          <w:bCs/>
          <w:color w:val="FF0000"/>
          <w:sz w:val="24"/>
          <w:szCs w:val="24"/>
          <w:lang w:val="en-US" w:eastAsia="zh-CN"/>
        </w:rPr>
      </w:pPr>
      <w:r>
        <w:rPr>
          <w:rFonts w:hint="eastAsia" w:ascii="华文宋体" w:hAnsi="华文宋体" w:eastAsia="华文宋体" w:cs="华文宋体"/>
          <w:b/>
          <w:bCs/>
          <w:color w:val="FF0000"/>
          <w:sz w:val="24"/>
          <w:szCs w:val="24"/>
          <w:lang w:val="en-US" w:eastAsia="zh-CN"/>
        </w:rPr>
        <w:t>采购报价单（报价表模板）</w:t>
      </w:r>
    </w:p>
    <w:p>
      <w:pPr>
        <w:rPr>
          <w:rFonts w:hint="eastAsia" w:ascii="宋体" w:hAnsi="宋体" w:cs="宋体"/>
          <w:b/>
          <w:bCs/>
          <w:i w:val="0"/>
          <w:color w:val="FF0000"/>
          <w:kern w:val="0"/>
          <w:sz w:val="24"/>
          <w:szCs w:val="24"/>
          <w:u w:val="none"/>
          <w:lang w:val="en-US" w:eastAsia="zh-CN" w:bidi="ar"/>
        </w:rPr>
      </w:pP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7"/>
        <w:gridCol w:w="6000"/>
        <w:gridCol w:w="2153"/>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39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名称</w:t>
            </w:r>
          </w:p>
        </w:tc>
        <w:tc>
          <w:tcPr>
            <w:tcW w:w="202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兑换要求</w:t>
            </w:r>
          </w:p>
        </w:tc>
        <w:tc>
          <w:tcPr>
            <w:tcW w:w="728"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每份报价</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（元）</w:t>
            </w:r>
          </w:p>
        </w:tc>
        <w:tc>
          <w:tcPr>
            <w:tcW w:w="842"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每份限价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0" w:hRule="atLeast"/>
        </w:trPr>
        <w:tc>
          <w:tcPr>
            <w:tcW w:w="1399"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标段一：宁波大市区域（</w:t>
            </w:r>
            <w:r>
              <w:rPr>
                <w:rFonts w:hint="eastAsia" w:ascii="华文中宋" w:hAnsi="华文中宋" w:eastAsia="华文中宋" w:cs="华文中宋"/>
                <w:strike w:val="0"/>
                <w:dstrike w:val="0"/>
                <w:color w:val="auto"/>
                <w:kern w:val="0"/>
                <w:sz w:val="24"/>
                <w:szCs w:val="24"/>
                <w:lang w:val="en-US" w:eastAsia="zh-CN" w:bidi="ar"/>
              </w:rPr>
              <w:t>鄞州区、海曙区、江北区</w:t>
            </w:r>
            <w:r>
              <w:rPr>
                <w:rFonts w:hint="eastAsia" w:ascii="华文中宋" w:hAnsi="华文中宋" w:eastAsia="华文中宋" w:cs="华文中宋"/>
                <w:sz w:val="24"/>
                <w:szCs w:val="24"/>
                <w:highlight w:val="none"/>
                <w:vertAlign w:val="baseline"/>
                <w:lang w:val="en-US" w:eastAsia="zh-CN"/>
              </w:rPr>
              <w:t>）影城电影兑换券</w:t>
            </w:r>
          </w:p>
        </w:tc>
        <w:tc>
          <w:tcPr>
            <w:tcW w:w="2029" w:type="pct"/>
            <w:vAlign w:val="center"/>
          </w:tcPr>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jc w:val="left"/>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地点：宁波大市区域（鄞州区、海曙区、江北区）影城；</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jc w:val="left"/>
              <w:textAlignment w:val="auto"/>
              <w:rPr>
                <w:rFonts w:hint="default"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一换一模式：每一份需有6张电影兑换券可观看各影城普通厅（2D和3D）制式电影，且赠送6张46盎司爆米花兑换券（或空心薯）+3份16盎司可乐（或雪碧、芬达）</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电影兑换券有效期1年，提供使用电影兑换券观看电影的使用操作手册；</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lang w:val="en-US" w:eastAsia="zh-CN"/>
              </w:rPr>
            </w:pPr>
            <w:r>
              <w:rPr>
                <w:rFonts w:hint="eastAsia" w:ascii="华文中宋" w:hAnsi="华文中宋" w:eastAsia="华文中宋" w:cs="华文中宋"/>
                <w:sz w:val="24"/>
                <w:szCs w:val="24"/>
                <w:highlight w:val="none"/>
                <w:vertAlign w:val="baseline"/>
                <w:lang w:val="en-US" w:eastAsia="zh-CN"/>
              </w:rPr>
              <w:t>如遇国家法定节假日（春节、国庆等长假节日）及限价片，特殊影厅需补差价的，所补差价原则上不超过10元；</w:t>
            </w:r>
          </w:p>
        </w:tc>
        <w:tc>
          <w:tcPr>
            <w:tcW w:w="72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华文中宋" w:hAnsi="华文中宋" w:eastAsia="华文中宋" w:cs="华文中宋"/>
                <w:sz w:val="24"/>
                <w:szCs w:val="24"/>
                <w:highlight w:val="none"/>
                <w:vertAlign w:val="baseline"/>
              </w:rPr>
            </w:pPr>
          </w:p>
        </w:tc>
        <w:tc>
          <w:tcPr>
            <w:tcW w:w="84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不超过200元/份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399"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标段二：宁海县城区影城电影兑换券</w:t>
            </w:r>
          </w:p>
        </w:tc>
        <w:tc>
          <w:tcPr>
            <w:tcW w:w="2029" w:type="pct"/>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jc w:val="left"/>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地点：宁海县城区影城；</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jc w:val="left"/>
              <w:textAlignment w:val="auto"/>
              <w:rPr>
                <w:rFonts w:hint="default"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一换一模式：每一份需有6张电影兑换券可观看各影城普通厅（2D和3D）制式电影，且赠送3张46盎司爆米花兑换券（或空心薯）+6份16盎司可乐（或雪碧、芬达）与电影兑换券打包提供。</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电影兑换券有效期1年，提供使用电影兑换券观看电影的使用操作手册；</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如遇国家法定节假日（春节、国庆等长假节日）及限价片，特殊影厅需补差价的，所补差价原则上不超过10元；</w:t>
            </w:r>
          </w:p>
        </w:tc>
        <w:tc>
          <w:tcPr>
            <w:tcW w:w="728"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华文中宋" w:hAnsi="华文中宋" w:eastAsia="华文中宋" w:cs="华文中宋"/>
                <w:sz w:val="24"/>
                <w:szCs w:val="24"/>
                <w:highlight w:val="none"/>
                <w:vertAlign w:val="baseline"/>
              </w:rPr>
            </w:pPr>
          </w:p>
        </w:tc>
        <w:tc>
          <w:tcPr>
            <w:tcW w:w="84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华文中宋" w:hAnsi="华文中宋" w:eastAsia="华文中宋" w:cs="华文中宋"/>
                <w:sz w:val="24"/>
                <w:szCs w:val="24"/>
                <w:highlight w:val="none"/>
                <w:vertAlign w:val="baseline"/>
              </w:rPr>
            </w:pPr>
            <w:r>
              <w:rPr>
                <w:rFonts w:hint="eastAsia" w:ascii="华文中宋" w:hAnsi="华文中宋" w:eastAsia="华文中宋" w:cs="华文中宋"/>
                <w:sz w:val="24"/>
                <w:szCs w:val="24"/>
                <w:highlight w:val="none"/>
                <w:vertAlign w:val="baseline"/>
                <w:lang w:val="en-US" w:eastAsia="zh-CN"/>
              </w:rPr>
              <w:t>不超过200元/份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399"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询价声明</w:t>
            </w:r>
          </w:p>
        </w:tc>
        <w:tc>
          <w:tcPr>
            <w:tcW w:w="3600" w:type="pct"/>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使用有效期：2025年03月14日-2026年03月13日；</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华文中宋" w:hAnsi="华文中宋" w:eastAsia="华文中宋" w:cs="华文中宋"/>
                <w:sz w:val="24"/>
                <w:szCs w:val="24"/>
                <w:highlight w:val="none"/>
                <w:vertAlign w:val="baseline"/>
              </w:rPr>
            </w:pPr>
            <w:r>
              <w:rPr>
                <w:rFonts w:hint="eastAsia" w:ascii="华文中宋" w:hAnsi="华文中宋" w:eastAsia="华文中宋" w:cs="华文中宋"/>
                <w:sz w:val="24"/>
                <w:szCs w:val="24"/>
                <w:highlight w:val="none"/>
                <w:vertAlign w:val="baseline"/>
                <w:lang w:val="en-US" w:eastAsia="zh-CN"/>
              </w:rPr>
              <w:t>预计采购数量：宁波区域30份，宁海193份；</w:t>
            </w:r>
          </w:p>
        </w:tc>
      </w:tr>
    </w:tbl>
    <w:p>
      <w:pPr>
        <w:rPr>
          <w:rFonts w:hint="default"/>
          <w:b w:val="0"/>
          <w:bCs w:val="0"/>
          <w:lang w:val="en-US" w:eastAsia="zh-CN"/>
        </w:rPr>
      </w:pPr>
    </w:p>
    <w:sectPr>
      <w:headerReference r:id="rId6" w:type="default"/>
      <w:footerReference r:id="rId7" w:type="default"/>
      <w:pgSz w:w="16838" w:h="11906" w:orient="landscape"/>
      <w:pgMar w:top="1531" w:right="1134" w:bottom="1531" w:left="1134" w:header="425" w:footer="709" w:gutter="0"/>
      <w:pgBorders w:offsetFrom="page">
        <w:top w:val="none" w:sz="0" w:space="0"/>
        <w:left w:val="none" w:sz="0" w:space="0"/>
        <w:bottom w:val="none" w:sz="0" w:space="0"/>
        <w:right w:val="none" w:sz="0" w:space="0"/>
      </w:pgBorders>
      <w:pgNumType w:fmt="decimal"/>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roma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14400" cy="1587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14400" cy="15875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5pt;width:72pt;mso-position-horizontal:center;mso-position-horizontal-relative:margin;mso-wrap-style:none;z-index:251660288;mso-width-relative:page;mso-height-relative:page;" filled="f" stroked="f" coordsize="21600,21600" o:gfxdata="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t1P+0QAAAAQBAAAPAAAAAAAAAAEAIAAAACIAAABkcnMvZG93&#10;bnJldi54bWxQSwECFAAUAAAACACHTuJA0Gl3g84BAACXAwAADgAAAAAAAAABACAAAAAgAQAAZHJz&#10;L2Uyb0RvYy54bWxQSwUGAAAAAAYABgBZAQAAY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4400" cy="1587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4400" cy="15875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5pt;width:72pt;mso-position-horizontal:center;mso-position-horizontal-relative:margin;mso-wrap-style:none;z-index:251659264;mso-width-relative:page;mso-height-relative:page;" filled="f" stroked="f" coordsize="21600,21600" o:gfxdata="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t1P+0QAAAAQBAAAPAAAAAAAAAAEAIAAAACIAAABkcnMvZG93&#10;bnJldi54bWxQSwECFAAUAAAACACHTuJAMVehbM4BAACXAwAADgAAAAAAAAABACAAAAAgAQAAZHJz&#10;L2Uyb0RvYy54bWxQSwUGAAAAAAYABgBZAQAAY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6147E"/>
    <w:multiLevelType w:val="singleLevel"/>
    <w:tmpl w:val="A236147E"/>
    <w:lvl w:ilvl="0" w:tentative="0">
      <w:start w:val="6"/>
      <w:numFmt w:val="chineseCounting"/>
      <w:suff w:val="nothing"/>
      <w:lvlText w:val="%1、"/>
      <w:lvlJc w:val="left"/>
      <w:rPr>
        <w:rFonts w:hint="eastAsia"/>
      </w:rPr>
    </w:lvl>
  </w:abstractNum>
  <w:abstractNum w:abstractNumId="1">
    <w:nsid w:val="F6ED37D6"/>
    <w:multiLevelType w:val="singleLevel"/>
    <w:tmpl w:val="F6ED37D6"/>
    <w:lvl w:ilvl="0" w:tentative="0">
      <w:start w:val="1"/>
      <w:numFmt w:val="decimal"/>
      <w:suff w:val="nothing"/>
      <w:lvlText w:val="%1、"/>
      <w:lvlJc w:val="left"/>
    </w:lvl>
  </w:abstractNum>
  <w:abstractNum w:abstractNumId="2">
    <w:nsid w:val="0D8BF2F2"/>
    <w:multiLevelType w:val="singleLevel"/>
    <w:tmpl w:val="0D8BF2F2"/>
    <w:lvl w:ilvl="0" w:tentative="0">
      <w:start w:val="1"/>
      <w:numFmt w:val="decimal"/>
      <w:suff w:val="nothing"/>
      <w:lvlText w:val="%1、"/>
      <w:lvlJc w:val="left"/>
    </w:lvl>
  </w:abstractNum>
  <w:abstractNum w:abstractNumId="3">
    <w:nsid w:val="1F46D506"/>
    <w:multiLevelType w:val="singleLevel"/>
    <w:tmpl w:val="1F46D506"/>
    <w:lvl w:ilvl="0" w:tentative="0">
      <w:start w:val="1"/>
      <w:numFmt w:val="decimal"/>
      <w:suff w:val="nothing"/>
      <w:lvlText w:val="%1、"/>
      <w:lvlJc w:val="left"/>
    </w:lvl>
  </w:abstractNum>
  <w:abstractNum w:abstractNumId="4">
    <w:nsid w:val="6ABCD50E"/>
    <w:multiLevelType w:val="singleLevel"/>
    <w:tmpl w:val="6ABCD50E"/>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1F05"/>
    <w:rsid w:val="00494775"/>
    <w:rsid w:val="00634BAA"/>
    <w:rsid w:val="00B122AE"/>
    <w:rsid w:val="010B2AC3"/>
    <w:rsid w:val="01783522"/>
    <w:rsid w:val="01E22232"/>
    <w:rsid w:val="0217728A"/>
    <w:rsid w:val="021E1B4E"/>
    <w:rsid w:val="02614DFC"/>
    <w:rsid w:val="03216E13"/>
    <w:rsid w:val="03971204"/>
    <w:rsid w:val="039A38E5"/>
    <w:rsid w:val="03C44583"/>
    <w:rsid w:val="045301F6"/>
    <w:rsid w:val="045E5439"/>
    <w:rsid w:val="0480567A"/>
    <w:rsid w:val="04D32E79"/>
    <w:rsid w:val="0520288C"/>
    <w:rsid w:val="053B0626"/>
    <w:rsid w:val="056D5CE3"/>
    <w:rsid w:val="0570657B"/>
    <w:rsid w:val="05CF17EC"/>
    <w:rsid w:val="05F81957"/>
    <w:rsid w:val="07075B26"/>
    <w:rsid w:val="08903B99"/>
    <w:rsid w:val="08D21188"/>
    <w:rsid w:val="08F10352"/>
    <w:rsid w:val="095B7DEA"/>
    <w:rsid w:val="0986423E"/>
    <w:rsid w:val="09B2622C"/>
    <w:rsid w:val="09D851B5"/>
    <w:rsid w:val="0BD059A8"/>
    <w:rsid w:val="0BEE400F"/>
    <w:rsid w:val="0BF75316"/>
    <w:rsid w:val="0D0933A4"/>
    <w:rsid w:val="0D4D4D38"/>
    <w:rsid w:val="0E216386"/>
    <w:rsid w:val="0E7E7C64"/>
    <w:rsid w:val="0ECA0F21"/>
    <w:rsid w:val="0F264031"/>
    <w:rsid w:val="0FF72C97"/>
    <w:rsid w:val="105D643B"/>
    <w:rsid w:val="109C5E4D"/>
    <w:rsid w:val="10AD7059"/>
    <w:rsid w:val="112F4AEB"/>
    <w:rsid w:val="11663318"/>
    <w:rsid w:val="121E634A"/>
    <w:rsid w:val="124E37EF"/>
    <w:rsid w:val="12B0666F"/>
    <w:rsid w:val="13236AF1"/>
    <w:rsid w:val="13DD3EE5"/>
    <w:rsid w:val="140F6ECE"/>
    <w:rsid w:val="141938EE"/>
    <w:rsid w:val="147D5617"/>
    <w:rsid w:val="152902B4"/>
    <w:rsid w:val="163254FA"/>
    <w:rsid w:val="170F00AB"/>
    <w:rsid w:val="17DD5536"/>
    <w:rsid w:val="182A5635"/>
    <w:rsid w:val="1844634A"/>
    <w:rsid w:val="18796332"/>
    <w:rsid w:val="18C13DA8"/>
    <w:rsid w:val="19994FF3"/>
    <w:rsid w:val="1A99161F"/>
    <w:rsid w:val="1AA52706"/>
    <w:rsid w:val="1ADE3386"/>
    <w:rsid w:val="1B0D77F9"/>
    <w:rsid w:val="1B2543EC"/>
    <w:rsid w:val="1B33378B"/>
    <w:rsid w:val="1B7246C1"/>
    <w:rsid w:val="1B7A6240"/>
    <w:rsid w:val="1B867945"/>
    <w:rsid w:val="1BCE322D"/>
    <w:rsid w:val="1C71737A"/>
    <w:rsid w:val="1C873E15"/>
    <w:rsid w:val="1D107BE1"/>
    <w:rsid w:val="1D26012F"/>
    <w:rsid w:val="1DA44A1A"/>
    <w:rsid w:val="1DCF03F4"/>
    <w:rsid w:val="1E2536F5"/>
    <w:rsid w:val="1F275EC2"/>
    <w:rsid w:val="200F074F"/>
    <w:rsid w:val="20D63407"/>
    <w:rsid w:val="21072E8B"/>
    <w:rsid w:val="212576B7"/>
    <w:rsid w:val="217246B3"/>
    <w:rsid w:val="21B52239"/>
    <w:rsid w:val="21BD6633"/>
    <w:rsid w:val="21D56090"/>
    <w:rsid w:val="21F64047"/>
    <w:rsid w:val="2211387B"/>
    <w:rsid w:val="221C78F8"/>
    <w:rsid w:val="22206029"/>
    <w:rsid w:val="22295C19"/>
    <w:rsid w:val="229C47D4"/>
    <w:rsid w:val="22DF27E2"/>
    <w:rsid w:val="22E03145"/>
    <w:rsid w:val="230A068C"/>
    <w:rsid w:val="23256DAA"/>
    <w:rsid w:val="2363459D"/>
    <w:rsid w:val="23710513"/>
    <w:rsid w:val="23B26E58"/>
    <w:rsid w:val="241A51BE"/>
    <w:rsid w:val="24451B0D"/>
    <w:rsid w:val="24687969"/>
    <w:rsid w:val="2471135E"/>
    <w:rsid w:val="258842B2"/>
    <w:rsid w:val="25AE09E7"/>
    <w:rsid w:val="25C54A98"/>
    <w:rsid w:val="26547EAD"/>
    <w:rsid w:val="265C645B"/>
    <w:rsid w:val="266B3DB4"/>
    <w:rsid w:val="267E7E0A"/>
    <w:rsid w:val="27B566C1"/>
    <w:rsid w:val="2954525D"/>
    <w:rsid w:val="29606BB3"/>
    <w:rsid w:val="298A34E2"/>
    <w:rsid w:val="29F811D5"/>
    <w:rsid w:val="2BB10229"/>
    <w:rsid w:val="2BF05949"/>
    <w:rsid w:val="2CA967EE"/>
    <w:rsid w:val="2CB55B70"/>
    <w:rsid w:val="2D3E2F42"/>
    <w:rsid w:val="2D5708F0"/>
    <w:rsid w:val="2D6E2A94"/>
    <w:rsid w:val="2E626889"/>
    <w:rsid w:val="2F031C30"/>
    <w:rsid w:val="2FB44FFE"/>
    <w:rsid w:val="30973272"/>
    <w:rsid w:val="30990538"/>
    <w:rsid w:val="319609EC"/>
    <w:rsid w:val="31CB4B9E"/>
    <w:rsid w:val="3214061A"/>
    <w:rsid w:val="32465296"/>
    <w:rsid w:val="329A7E40"/>
    <w:rsid w:val="32A741B5"/>
    <w:rsid w:val="32FB06EE"/>
    <w:rsid w:val="33995EB7"/>
    <w:rsid w:val="34AD6992"/>
    <w:rsid w:val="34DF007E"/>
    <w:rsid w:val="351E6E1C"/>
    <w:rsid w:val="3551698A"/>
    <w:rsid w:val="368A2987"/>
    <w:rsid w:val="37747B68"/>
    <w:rsid w:val="37EE5BF3"/>
    <w:rsid w:val="37EF1A09"/>
    <w:rsid w:val="37F244D7"/>
    <w:rsid w:val="389B7845"/>
    <w:rsid w:val="39D01D82"/>
    <w:rsid w:val="3A68437B"/>
    <w:rsid w:val="3AEB3952"/>
    <w:rsid w:val="3B6405FB"/>
    <w:rsid w:val="3BC53205"/>
    <w:rsid w:val="3BD53FA6"/>
    <w:rsid w:val="3BE012EB"/>
    <w:rsid w:val="3BE63123"/>
    <w:rsid w:val="3C06188A"/>
    <w:rsid w:val="3C46071B"/>
    <w:rsid w:val="3C6F7834"/>
    <w:rsid w:val="3DAD49C8"/>
    <w:rsid w:val="3ED07362"/>
    <w:rsid w:val="3FFE02B9"/>
    <w:rsid w:val="4024347E"/>
    <w:rsid w:val="40932942"/>
    <w:rsid w:val="40AA46A6"/>
    <w:rsid w:val="418B329E"/>
    <w:rsid w:val="42445376"/>
    <w:rsid w:val="42985974"/>
    <w:rsid w:val="42A5793D"/>
    <w:rsid w:val="42FC44ED"/>
    <w:rsid w:val="4490400C"/>
    <w:rsid w:val="449853FA"/>
    <w:rsid w:val="45380DA5"/>
    <w:rsid w:val="45623A8F"/>
    <w:rsid w:val="45D0679E"/>
    <w:rsid w:val="45DB32E1"/>
    <w:rsid w:val="46067BF3"/>
    <w:rsid w:val="464E37A5"/>
    <w:rsid w:val="47174CAF"/>
    <w:rsid w:val="47426018"/>
    <w:rsid w:val="49A00C67"/>
    <w:rsid w:val="4A1355A3"/>
    <w:rsid w:val="4A3817E0"/>
    <w:rsid w:val="4A393EF3"/>
    <w:rsid w:val="4A402AA7"/>
    <w:rsid w:val="4AF62960"/>
    <w:rsid w:val="4AFC21A0"/>
    <w:rsid w:val="4B32450D"/>
    <w:rsid w:val="4B783B5E"/>
    <w:rsid w:val="4B836161"/>
    <w:rsid w:val="4CE9152E"/>
    <w:rsid w:val="4D871BAC"/>
    <w:rsid w:val="4EE259A1"/>
    <w:rsid w:val="4F03471D"/>
    <w:rsid w:val="4FC43323"/>
    <w:rsid w:val="50A937DD"/>
    <w:rsid w:val="51457EE2"/>
    <w:rsid w:val="515F21F7"/>
    <w:rsid w:val="522F5867"/>
    <w:rsid w:val="524C5212"/>
    <w:rsid w:val="52626166"/>
    <w:rsid w:val="5270700E"/>
    <w:rsid w:val="53902026"/>
    <w:rsid w:val="539442AF"/>
    <w:rsid w:val="53BE1410"/>
    <w:rsid w:val="53EC79BE"/>
    <w:rsid w:val="54542CF5"/>
    <w:rsid w:val="545D34C3"/>
    <w:rsid w:val="55053C70"/>
    <w:rsid w:val="55844D73"/>
    <w:rsid w:val="55CF1F63"/>
    <w:rsid w:val="57283E0B"/>
    <w:rsid w:val="583A2B8F"/>
    <w:rsid w:val="591F64C4"/>
    <w:rsid w:val="59245047"/>
    <w:rsid w:val="595432A2"/>
    <w:rsid w:val="59AF2530"/>
    <w:rsid w:val="5B162D48"/>
    <w:rsid w:val="5B4D6AD9"/>
    <w:rsid w:val="5B6E6CE6"/>
    <w:rsid w:val="5BC11016"/>
    <w:rsid w:val="5C915E6B"/>
    <w:rsid w:val="5E583FD7"/>
    <w:rsid w:val="5E7C02B8"/>
    <w:rsid w:val="5EA72F0C"/>
    <w:rsid w:val="5EB709E8"/>
    <w:rsid w:val="5EED6AE7"/>
    <w:rsid w:val="5EF3396C"/>
    <w:rsid w:val="5F574C7B"/>
    <w:rsid w:val="5F6E527F"/>
    <w:rsid w:val="5F746EA8"/>
    <w:rsid w:val="5FC64EE1"/>
    <w:rsid w:val="60140FB0"/>
    <w:rsid w:val="601614E8"/>
    <w:rsid w:val="605A21AA"/>
    <w:rsid w:val="616A3B5B"/>
    <w:rsid w:val="61BE135F"/>
    <w:rsid w:val="61C83E7A"/>
    <w:rsid w:val="62153852"/>
    <w:rsid w:val="621E11AD"/>
    <w:rsid w:val="623F66A8"/>
    <w:rsid w:val="6251568C"/>
    <w:rsid w:val="62666210"/>
    <w:rsid w:val="626D716E"/>
    <w:rsid w:val="62A2745F"/>
    <w:rsid w:val="62BE42B9"/>
    <w:rsid w:val="62C872A0"/>
    <w:rsid w:val="634A2CF1"/>
    <w:rsid w:val="636159C7"/>
    <w:rsid w:val="63DE6DE8"/>
    <w:rsid w:val="64172ABC"/>
    <w:rsid w:val="64681A74"/>
    <w:rsid w:val="655C72FC"/>
    <w:rsid w:val="66054401"/>
    <w:rsid w:val="6664050B"/>
    <w:rsid w:val="667679BC"/>
    <w:rsid w:val="667D7BFD"/>
    <w:rsid w:val="66810595"/>
    <w:rsid w:val="66AB5C81"/>
    <w:rsid w:val="66E72431"/>
    <w:rsid w:val="66EA3A8A"/>
    <w:rsid w:val="67212ABB"/>
    <w:rsid w:val="67E25CFE"/>
    <w:rsid w:val="68E010B9"/>
    <w:rsid w:val="694B7883"/>
    <w:rsid w:val="69844530"/>
    <w:rsid w:val="69C73656"/>
    <w:rsid w:val="69E563C8"/>
    <w:rsid w:val="69EF70DA"/>
    <w:rsid w:val="6A026890"/>
    <w:rsid w:val="6A1338CD"/>
    <w:rsid w:val="6A2F664F"/>
    <w:rsid w:val="6AC07030"/>
    <w:rsid w:val="6AEC62FB"/>
    <w:rsid w:val="6AFF2398"/>
    <w:rsid w:val="6B846ECF"/>
    <w:rsid w:val="6BC71638"/>
    <w:rsid w:val="6C3D43A2"/>
    <w:rsid w:val="6CA144DC"/>
    <w:rsid w:val="6D333DF9"/>
    <w:rsid w:val="6D8D0448"/>
    <w:rsid w:val="6DB17914"/>
    <w:rsid w:val="6EB052F8"/>
    <w:rsid w:val="6FA36659"/>
    <w:rsid w:val="708600FF"/>
    <w:rsid w:val="70A028BF"/>
    <w:rsid w:val="70E84D05"/>
    <w:rsid w:val="712F0B3A"/>
    <w:rsid w:val="717C0401"/>
    <w:rsid w:val="72532C9F"/>
    <w:rsid w:val="72A97E2B"/>
    <w:rsid w:val="72C07E7A"/>
    <w:rsid w:val="74842075"/>
    <w:rsid w:val="75644FBB"/>
    <w:rsid w:val="76CA2E3D"/>
    <w:rsid w:val="776858A3"/>
    <w:rsid w:val="78554E13"/>
    <w:rsid w:val="78634D6B"/>
    <w:rsid w:val="787850B3"/>
    <w:rsid w:val="790A4622"/>
    <w:rsid w:val="791F7AC8"/>
    <w:rsid w:val="79C54D55"/>
    <w:rsid w:val="79E12FD7"/>
    <w:rsid w:val="7A103753"/>
    <w:rsid w:val="7A6E33F6"/>
    <w:rsid w:val="7A797AD2"/>
    <w:rsid w:val="7B215011"/>
    <w:rsid w:val="7BE505D2"/>
    <w:rsid w:val="7C5E4A19"/>
    <w:rsid w:val="7CF4298E"/>
    <w:rsid w:val="7D5B2D7C"/>
    <w:rsid w:val="7FCF6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eastAsia="宋体"/>
      <w:b/>
      <w:bCs/>
      <w:kern w:val="44"/>
      <w:sz w:val="44"/>
      <w:szCs w:val="44"/>
    </w:rPr>
  </w:style>
  <w:style w:type="paragraph" w:styleId="2">
    <w:name w:val="heading 2"/>
    <w:basedOn w:val="1"/>
    <w:next w:val="1"/>
    <w:qFormat/>
    <w:uiPriority w:val="0"/>
    <w:pPr>
      <w:keepNext/>
      <w:keepLines/>
      <w:adjustRightInd w:val="0"/>
      <w:spacing w:before="40" w:after="40" w:line="300" w:lineRule="auto"/>
      <w:textAlignment w:val="baseline"/>
      <w:outlineLvl w:val="1"/>
    </w:pPr>
    <w:rPr>
      <w:rFonts w:ascii="Arial" w:hAnsi="Arial"/>
      <w:kern w:val="0"/>
      <w:szCs w:val="20"/>
    </w:rPr>
  </w:style>
  <w:style w:type="paragraph" w:styleId="4">
    <w:name w:val="heading 3"/>
    <w:basedOn w:val="1"/>
    <w:next w:val="1"/>
    <w:qFormat/>
    <w:uiPriority w:val="0"/>
    <w:pPr>
      <w:keepNext/>
      <w:keepLines/>
      <w:spacing w:before="260" w:after="260" w:line="416" w:lineRule="auto"/>
      <w:jc w:val="both"/>
      <w:outlineLvl w:val="2"/>
    </w:pPr>
    <w:rPr>
      <w:rFonts w:ascii="Times New Roman"/>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after="120"/>
      <w:ind w:firstLine="1021"/>
      <w:jc w:val="both"/>
    </w:pPr>
    <w:rPr>
      <w:rFonts w:ascii="Times New Roman"/>
      <w:sz w:val="28"/>
    </w:rPr>
  </w:style>
  <w:style w:type="paragraph" w:styleId="6">
    <w:name w:val="toa heading"/>
    <w:basedOn w:val="1"/>
    <w:next w:val="1"/>
    <w:semiHidden/>
    <w:qFormat/>
    <w:uiPriority w:val="0"/>
    <w:pPr>
      <w:spacing w:before="120"/>
    </w:pPr>
    <w:rPr>
      <w:rFonts w:ascii="Arial" w:hAnsi="Arial" w:cs="Arial"/>
      <w:sz w:val="24"/>
    </w:rPr>
  </w:style>
  <w:style w:type="paragraph" w:styleId="7">
    <w:name w:val="endnote text"/>
    <w:basedOn w:val="1"/>
    <w:unhideWhenUsed/>
    <w:qFormat/>
    <w:uiPriority w:val="99"/>
    <w:pPr>
      <w:snapToGrid w:val="0"/>
      <w:spacing w:beforeLines="0" w:afterLines="0"/>
      <w:jc w:val="left"/>
    </w:pPr>
    <w:rPr>
      <w:rFonts w:hint="default" w:ascii="Arial" w:hAnsi="Arial" w:eastAsia="黑体"/>
      <w:sz w:val="21"/>
      <w:szCs w:val="24"/>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next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pPr>
    <w:rPr>
      <w:rFonts w:ascii="Times New Roman" w:hAnsi="Courier New" w:eastAsia="Times New Roman" w:cs="Times New Roman"/>
      <w:color w:val="000000"/>
      <w:sz w:val="24"/>
      <w:szCs w:val="24"/>
      <w:lang w:val="en-US" w:eastAsia="zh-CN" w:bidi="ar-SA"/>
    </w:rPr>
  </w:style>
  <w:style w:type="paragraph" w:customStyle="1" w:styleId="15">
    <w:name w:val="Blockquote"/>
    <w:basedOn w:val="1"/>
    <w:qFormat/>
    <w:uiPriority w:val="0"/>
    <w:pPr>
      <w:autoSpaceDE w:val="0"/>
      <w:autoSpaceDN w:val="0"/>
      <w:adjustRightInd w:val="0"/>
      <w:spacing w:before="100" w:after="100"/>
      <w:ind w:left="360" w:right="360"/>
    </w:pPr>
    <w:rPr>
      <w:rFonts w:ascii="Times New Roman"/>
      <w:kern w:val="0"/>
    </w:rPr>
  </w:style>
  <w:style w:type="paragraph" w:customStyle="1" w:styleId="16">
    <w:name w:val="正文－小4"/>
    <w:basedOn w:val="1"/>
    <w:qFormat/>
    <w:uiPriority w:val="0"/>
    <w:pPr>
      <w:spacing w:line="360" w:lineRule="exact"/>
      <w:ind w:firstLine="200" w:firstLineChars="200"/>
      <w:jc w:val="left"/>
    </w:pPr>
    <w:rPr>
      <w:sz w:val="24"/>
    </w:rPr>
  </w:style>
  <w:style w:type="character" w:customStyle="1" w:styleId="17">
    <w:name w:val="font41"/>
    <w:basedOn w:val="13"/>
    <w:qFormat/>
    <w:uiPriority w:val="0"/>
    <w:rPr>
      <w:rFonts w:hint="eastAsia" w:ascii="宋体" w:hAnsi="宋体" w:eastAsia="宋体" w:cs="宋体"/>
      <w:color w:val="000000"/>
      <w:sz w:val="20"/>
      <w:szCs w:val="20"/>
      <w:u w:val="none"/>
    </w:rPr>
  </w:style>
  <w:style w:type="character" w:customStyle="1" w:styleId="18">
    <w:name w:val="font51"/>
    <w:basedOn w:val="13"/>
    <w:qFormat/>
    <w:uiPriority w:val="0"/>
    <w:rPr>
      <w:rFonts w:hint="eastAsia" w:ascii="宋体" w:hAnsi="宋体" w:eastAsia="宋体" w:cs="宋体"/>
      <w:color w:val="000000"/>
      <w:sz w:val="24"/>
      <w:szCs w:val="24"/>
      <w:u w:val="none"/>
    </w:rPr>
  </w:style>
  <w:style w:type="character" w:customStyle="1" w:styleId="19">
    <w:name w:val="font11"/>
    <w:basedOn w:val="13"/>
    <w:qFormat/>
    <w:uiPriority w:val="0"/>
    <w:rPr>
      <w:rFonts w:hint="eastAsia" w:ascii="宋体" w:hAnsi="宋体" w:eastAsia="宋体" w:cs="宋体"/>
      <w:color w:val="000000"/>
      <w:sz w:val="24"/>
      <w:szCs w:val="24"/>
      <w:u w:val="none"/>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2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3521</Words>
  <Characters>5632</Characters>
  <Lines>0</Lines>
  <Paragraphs>0</Paragraphs>
  <TotalTime>32</TotalTime>
  <ScaleCrop>false</ScaleCrop>
  <LinksUpToDate>false</LinksUpToDate>
  <CharactersWithSpaces>5707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2020-12-02T08:14:00Z</dcterms:created>
  <dc:creator>Administrator</dc:creator>
  <cp:lastModifiedBy>邬海芬</cp:lastModifiedBy>
  <cp:lastPrinted>2025-03-04T09:00:49Z</cp:lastPrinted>
  <dcterms:modified xsi:type="dcterms:W3CDTF">2025-03-04T09:01:47Z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8137E2BDBC904F00B80C9B6FB3C8F592</vt:lpwstr>
  </property>
</Properties>
</file>