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编号：20250206</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bookmarkStart w:id="0" w:name="_GoBack"/>
      <w:r>
        <w:rPr>
          <w:rFonts w:hint="eastAsia" w:ascii="华文中宋" w:hAnsi="华文中宋" w:eastAsia="华文中宋" w:cs="华文中宋"/>
          <w:b/>
          <w:bCs/>
          <w:i w:val="0"/>
          <w:caps w:val="0"/>
          <w:color w:val="000000"/>
          <w:spacing w:val="0"/>
          <w:kern w:val="0"/>
          <w:sz w:val="30"/>
          <w:szCs w:val="30"/>
          <w:lang w:val="en-US" w:eastAsia="zh-CN" w:bidi="ar"/>
        </w:rPr>
        <w:t>2025年维修部第一季度检修工器具补充采购（含锅炉专业工器具）</w:t>
      </w:r>
      <w:bookmarkEnd w:id="0"/>
      <w:r>
        <w:rPr>
          <w:rFonts w:hint="eastAsia" w:ascii="华文中宋" w:hAnsi="华文中宋" w:eastAsia="华文中宋" w:cs="华文中宋"/>
          <w:b/>
          <w:bCs/>
          <w:i w:val="0"/>
          <w:caps w:val="0"/>
          <w:color w:val="000000"/>
          <w:spacing w:val="0"/>
          <w:kern w:val="0"/>
          <w:sz w:val="30"/>
          <w:szCs w:val="30"/>
          <w:lang w:val="en-US" w:eastAsia="zh-CN" w:bidi="ar"/>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7天内备好货，本次货品按照需求部门要求2025年3月10日前到货。不能按时到货的，直接取消中标资格，顺延到次低价单位中标。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向技术部门负责人（维修部</w:t>
      </w:r>
      <w:r>
        <w:rPr>
          <w:rFonts w:hint="eastAsia" w:ascii="华文中宋" w:hAnsi="华文中宋" w:eastAsia="华文中宋" w:cs="华文中宋"/>
          <w:b/>
          <w:bCs/>
          <w:color w:val="FF0000"/>
          <w:sz w:val="24"/>
          <w:szCs w:val="24"/>
          <w:highlight w:val="none"/>
          <w:u w:val="single"/>
          <w:lang w:val="en-US" w:eastAsia="zh-CN"/>
        </w:rPr>
        <w:t>：陈浩东 15267850875</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：¥106747.43元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lang w:val="en-US" w:eastAsia="zh-CN"/>
        </w:rPr>
        <w:t>维修部</w:t>
      </w:r>
      <w:r>
        <w:rPr>
          <w:rFonts w:hint="eastAsia" w:ascii="华文中宋" w:hAnsi="华文中宋" w:eastAsia="华文中宋" w:cs="华文中宋"/>
          <w:b/>
          <w:bCs/>
          <w:color w:val="FF0000"/>
          <w:sz w:val="24"/>
          <w:szCs w:val="24"/>
          <w:highlight w:val="none"/>
          <w:u w:val="single"/>
          <w:lang w:val="en-US" w:eastAsia="zh-CN"/>
        </w:rPr>
        <w:t xml:space="preserve">：陈浩东 15267850875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97</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3%</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w:t>
      </w:r>
      <w:r>
        <w:rPr>
          <w:rFonts w:hint="eastAsia" w:ascii="华文中宋" w:hAnsi="华文中宋" w:eastAsia="华文中宋" w:cs="华文中宋"/>
          <w:color w:val="FF0000"/>
          <w:sz w:val="24"/>
          <w:szCs w:val="24"/>
          <w:lang w:val="en-US" w:eastAsia="zh-CN"/>
        </w:rPr>
        <w:t>质保期从验收合格之日算起</w:t>
      </w:r>
      <w:r>
        <w:rPr>
          <w:rFonts w:hint="eastAsia" w:ascii="华文中宋" w:hAnsi="华文中宋" w:eastAsia="华文中宋" w:cs="华文中宋"/>
          <w:color w:val="000000"/>
          <w:sz w:val="24"/>
          <w:szCs w:val="24"/>
          <w:lang w:val="en-US" w:eastAsia="zh-CN"/>
        </w:rPr>
        <w:t>）结束后，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pStyle w:val="2"/>
        <w:rPr>
          <w:rFonts w:hint="default"/>
          <w:lang w:val="en-US" w:eastAsia="zh-CN"/>
        </w:rPr>
      </w:pPr>
      <w:r>
        <w:rPr>
          <w:rFonts w:hint="eastAsia" w:ascii="华文宋体" w:hAnsi="华文宋体" w:eastAsia="华文宋体" w:cs="华文宋体"/>
          <w:b/>
          <w:bCs/>
          <w:color w:val="FF0000"/>
          <w:sz w:val="24"/>
          <w:szCs w:val="24"/>
          <w:lang w:val="en-US" w:eastAsia="zh-CN"/>
        </w:rPr>
        <w:t>表1、2025年维修部第一季度检修工器具补充采购</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173"/>
        <w:gridCol w:w="1995"/>
        <w:gridCol w:w="2790"/>
        <w:gridCol w:w="750"/>
        <w:gridCol w:w="810"/>
        <w:gridCol w:w="990"/>
        <w:gridCol w:w="1185"/>
        <w:gridCol w:w="930"/>
        <w:gridCol w:w="1105"/>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申请部门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存货名称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推荐厂商品牌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指针式万用表</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VC3021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测量IGBT</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胜利仪器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电仪班1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手持式示波器</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VC2202S</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测量功率单元</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胜利仪器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电仪班1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制动电阻</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RXLG1500W-100R</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测量功率单元</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TaoTimeClub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电仪班1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工业内窥镜</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桑巴达Y102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开关内部检查</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桑巴达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电二2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电一1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新能源班1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角向磨光机</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Φ100mm M0900B单机无配件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角向磨光机</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Φ125mm M9508B标配套餐 720W</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角向磨光机</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Φ150mmM9003B【150MM】</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工作灯</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WL5016/18650锂电池/10-1.7小时续航/带座充 专业多功能带座充</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铁朗（TAKENOW）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英制内六角</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09108/平头(加长)英制12件</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公制内六角</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09107/平头(加长)9件</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管钳</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管钳14"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管钳</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管钳10″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管钳</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重型8寸（200mm）/最大开口50mm</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强力工业剪刀215mm BS301220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一字穿心螺丝刀</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61608 8X250MM</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世达SATA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手拉葫芦</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沪工1T6米</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手拉葫芦</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沪工1T3米</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电动扳手</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牧田TW1000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沪工超薄10T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沪工超薄20T</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沪工超薄50T</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沪工超薄100T</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沪工长型30T</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沪工长型50T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液压千斤顶</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沪工长型100T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手动液压泵</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手动泵CP-700-2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电动液压泵</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380V电磁阀【0.75KW】</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沪工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盘根取出器</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钩子4件套【高硬加长款】</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电动扳手套筒头</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加长套筒1/2寸内六角螺丝8-32mm</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班组工器具消耗</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汽机硫化3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不含税</w:t>
            </w:r>
            <w:r>
              <w:rPr>
                <w:rFonts w:hint="eastAsia" w:ascii="宋体" w:hAnsi="宋体" w:cs="宋体"/>
                <w:i w:val="0"/>
                <w:iCs w:val="0"/>
                <w:color w:val="000000"/>
                <w:kern w:val="0"/>
                <w:sz w:val="21"/>
                <w:szCs w:val="21"/>
                <w:u w:val="none"/>
                <w:lang w:val="en-US" w:eastAsia="zh-CN" w:bidi="ar"/>
              </w:rPr>
              <w:t>小</w:t>
            </w:r>
            <w:r>
              <w:rPr>
                <w:rFonts w:hint="eastAsia" w:ascii="宋体" w:hAnsi="宋体" w:eastAsia="宋体" w:cs="宋体"/>
                <w:i w:val="0"/>
                <w:iCs w:val="0"/>
                <w:color w:val="000000"/>
                <w:kern w:val="0"/>
                <w:sz w:val="21"/>
                <w:szCs w:val="21"/>
                <w:u w:val="none"/>
                <w:lang w:val="en-US" w:eastAsia="zh-CN" w:bidi="ar"/>
              </w:rPr>
              <w:t>计</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含税小计</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89906.58（元）</w:t>
            </w:r>
          </w:p>
        </w:tc>
      </w:tr>
    </w:tbl>
    <w:p>
      <w:r>
        <w:br w:type="page"/>
      </w:r>
    </w:p>
    <w:p>
      <w:pPr>
        <w:pStyle w:val="2"/>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表2、2025年维修部锅炉工器具采购</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173"/>
        <w:gridCol w:w="1995"/>
        <w:gridCol w:w="2790"/>
        <w:gridCol w:w="750"/>
        <w:gridCol w:w="810"/>
        <w:gridCol w:w="990"/>
        <w:gridCol w:w="1185"/>
        <w:gridCol w:w="930"/>
        <w:gridCol w:w="1105"/>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申请部门</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存货名称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规格型号</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推荐厂商品牌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firstLine="210" w:firstLineChars="100"/>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角磨机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9558HNG（125mm）牧田（MAKITA）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班组定额补充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锅一4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角磨机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9553HBG（100mm）牧田（MAKITA）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班组定额补充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锅一5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角磨机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GA6010（150mm）牧田（MAKITA）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班组定额补充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锅一1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直磨机</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906牧田（MAKITA）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班组定额补充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牧田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锅一2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安全带</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Golmuud（GD3699双大钩1.8米）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班组定额补充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Golmuud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锅一20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维修部</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防爆头灯</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神火（SupFire）HL11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班组定额补充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神火</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锅一5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不含税合计</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含税合计</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w:t>
            </w:r>
          </w:p>
        </w:tc>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16840.85（元）</w:t>
            </w:r>
          </w:p>
        </w:tc>
      </w:tr>
    </w:tbl>
    <w:p>
      <w:pPr>
        <w:pStyle w:val="2"/>
        <w:rPr>
          <w:rFonts w:hint="default"/>
          <w:b w:val="0"/>
          <w:bCs w:val="0"/>
          <w:lang w:val="en-US" w:eastAsia="zh-CN"/>
        </w:rPr>
      </w:pPr>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0528BE"/>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A8C76FF"/>
    <w:rsid w:val="0BD059A8"/>
    <w:rsid w:val="0BF75316"/>
    <w:rsid w:val="0C9D2C83"/>
    <w:rsid w:val="0D0933A4"/>
    <w:rsid w:val="0D4D4D38"/>
    <w:rsid w:val="0E216386"/>
    <w:rsid w:val="0E7E7C64"/>
    <w:rsid w:val="0E9C1898"/>
    <w:rsid w:val="0ECA0F21"/>
    <w:rsid w:val="0F264031"/>
    <w:rsid w:val="0FF72C97"/>
    <w:rsid w:val="105D643B"/>
    <w:rsid w:val="109C5E4D"/>
    <w:rsid w:val="10AD7059"/>
    <w:rsid w:val="112F4AEB"/>
    <w:rsid w:val="11663318"/>
    <w:rsid w:val="121E634A"/>
    <w:rsid w:val="124E37EF"/>
    <w:rsid w:val="12B0666F"/>
    <w:rsid w:val="13236AF1"/>
    <w:rsid w:val="141938EE"/>
    <w:rsid w:val="147D5617"/>
    <w:rsid w:val="152902B4"/>
    <w:rsid w:val="163254FA"/>
    <w:rsid w:val="170F00AB"/>
    <w:rsid w:val="17DD5536"/>
    <w:rsid w:val="182A5635"/>
    <w:rsid w:val="1844634A"/>
    <w:rsid w:val="18796332"/>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256DAA"/>
    <w:rsid w:val="2363459D"/>
    <w:rsid w:val="23710513"/>
    <w:rsid w:val="241A51BE"/>
    <w:rsid w:val="2471135E"/>
    <w:rsid w:val="258842B2"/>
    <w:rsid w:val="25AE09E7"/>
    <w:rsid w:val="25C54A98"/>
    <w:rsid w:val="26547EAD"/>
    <w:rsid w:val="265C645B"/>
    <w:rsid w:val="266B3DB4"/>
    <w:rsid w:val="267E7E0A"/>
    <w:rsid w:val="27B566C1"/>
    <w:rsid w:val="28873A01"/>
    <w:rsid w:val="29606BB3"/>
    <w:rsid w:val="298A34E2"/>
    <w:rsid w:val="2BB10229"/>
    <w:rsid w:val="2BF05949"/>
    <w:rsid w:val="2CA967EE"/>
    <w:rsid w:val="2D3E2F42"/>
    <w:rsid w:val="2D6E2A94"/>
    <w:rsid w:val="2E626889"/>
    <w:rsid w:val="2F031C30"/>
    <w:rsid w:val="2FB44FFE"/>
    <w:rsid w:val="304F4795"/>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B900AC"/>
    <w:rsid w:val="3AEB3952"/>
    <w:rsid w:val="3BC53205"/>
    <w:rsid w:val="3BE012EB"/>
    <w:rsid w:val="3BE63123"/>
    <w:rsid w:val="3C06188A"/>
    <w:rsid w:val="3C46071B"/>
    <w:rsid w:val="3C6F7834"/>
    <w:rsid w:val="3D074D20"/>
    <w:rsid w:val="3DAD49C8"/>
    <w:rsid w:val="3ED07362"/>
    <w:rsid w:val="3FFE02B9"/>
    <w:rsid w:val="40932942"/>
    <w:rsid w:val="40AA46A6"/>
    <w:rsid w:val="418B329E"/>
    <w:rsid w:val="422732F2"/>
    <w:rsid w:val="42445376"/>
    <w:rsid w:val="42985974"/>
    <w:rsid w:val="42A5793D"/>
    <w:rsid w:val="42FC44ED"/>
    <w:rsid w:val="4490400C"/>
    <w:rsid w:val="45380DA5"/>
    <w:rsid w:val="45623A8F"/>
    <w:rsid w:val="45D0679E"/>
    <w:rsid w:val="45DB32E1"/>
    <w:rsid w:val="464E37A5"/>
    <w:rsid w:val="47174CAF"/>
    <w:rsid w:val="47426018"/>
    <w:rsid w:val="48FB4EA2"/>
    <w:rsid w:val="49A00C67"/>
    <w:rsid w:val="4A1355A3"/>
    <w:rsid w:val="4A393EF3"/>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84A3191"/>
    <w:rsid w:val="591F64C4"/>
    <w:rsid w:val="59245047"/>
    <w:rsid w:val="595432A2"/>
    <w:rsid w:val="59AF2530"/>
    <w:rsid w:val="5B4D6AD9"/>
    <w:rsid w:val="5B6E6CE6"/>
    <w:rsid w:val="5C915E6B"/>
    <w:rsid w:val="5E583FD7"/>
    <w:rsid w:val="5E7C02B8"/>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30FE2"/>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6E027DEE"/>
    <w:rsid w:val="708600FF"/>
    <w:rsid w:val="70A028BF"/>
    <w:rsid w:val="70E84D05"/>
    <w:rsid w:val="712F0B3A"/>
    <w:rsid w:val="715B4101"/>
    <w:rsid w:val="717C0401"/>
    <w:rsid w:val="72A97E2B"/>
    <w:rsid w:val="72C07E7A"/>
    <w:rsid w:val="74842075"/>
    <w:rsid w:val="75644FBB"/>
    <w:rsid w:val="75E468BE"/>
    <w:rsid w:val="76CA2E3D"/>
    <w:rsid w:val="776858A3"/>
    <w:rsid w:val="78554E13"/>
    <w:rsid w:val="78634D6B"/>
    <w:rsid w:val="787850B3"/>
    <w:rsid w:val="790A4622"/>
    <w:rsid w:val="79E12FD7"/>
    <w:rsid w:val="7A103753"/>
    <w:rsid w:val="7A3F7C29"/>
    <w:rsid w:val="7A6E33F6"/>
    <w:rsid w:val="7A797AD2"/>
    <w:rsid w:val="7B215011"/>
    <w:rsid w:val="7C8576D3"/>
    <w:rsid w:val="7CF4298E"/>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1</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2025-02-25T07:08:25Z</cp:lastPrinted>
  <dcterms:modified xsi:type="dcterms:W3CDTF">2025-02-25T07:08:44Z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