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编号：20250109</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综管部2025年班组桌椅采购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w:t>
      </w:r>
      <w:r>
        <w:rPr>
          <w:rFonts w:hint="eastAsia" w:ascii="华文中宋" w:hAnsi="华文中宋" w:eastAsia="华文中宋" w:cs="华文中宋"/>
          <w:b/>
          <w:bCs/>
          <w:color w:val="FF0000"/>
          <w:sz w:val="24"/>
          <w:szCs w:val="24"/>
          <w:highlight w:val="yellow"/>
          <w:lang w:val="en-US" w:eastAsia="zh-CN"/>
        </w:rPr>
        <w:t>2025年2月12日</w:t>
      </w:r>
      <w:bookmarkStart w:id="0" w:name="_GoBack"/>
      <w:bookmarkEnd w:id="0"/>
      <w:r>
        <w:rPr>
          <w:rFonts w:hint="eastAsia" w:ascii="华文中宋" w:hAnsi="华文中宋" w:eastAsia="华文中宋" w:cs="华文中宋"/>
          <w:b/>
          <w:bCs/>
          <w:color w:val="FF0000"/>
          <w:sz w:val="24"/>
          <w:szCs w:val="24"/>
          <w:highlight w:val="yellow"/>
          <w:lang w:val="en-US" w:eastAsia="zh-CN"/>
        </w:rPr>
        <w:t>前到货</w:t>
      </w:r>
      <w:r>
        <w:rPr>
          <w:rFonts w:hint="eastAsia" w:ascii="华文中宋" w:hAnsi="华文中宋" w:eastAsia="华文中宋" w:cs="华文中宋"/>
          <w:b/>
          <w:bCs/>
          <w:color w:val="FF0000"/>
          <w:sz w:val="24"/>
          <w:szCs w:val="24"/>
          <w:lang w:val="en-US" w:eastAsia="zh-CN"/>
        </w:rPr>
        <w:t>。不能按时到货的，直接取消中标资格，顺延到次低价单位中标。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向技术部门负责人（综管部</w:t>
      </w:r>
      <w:r>
        <w:rPr>
          <w:rFonts w:hint="eastAsia" w:ascii="华文中宋" w:hAnsi="华文中宋" w:eastAsia="华文中宋" w:cs="华文中宋"/>
          <w:b/>
          <w:bCs/>
          <w:color w:val="FF0000"/>
          <w:sz w:val="24"/>
          <w:szCs w:val="24"/>
          <w:highlight w:val="none"/>
          <w:u w:val="single"/>
          <w:lang w:val="en-US" w:eastAsia="zh-CN"/>
        </w:rPr>
        <w:t xml:space="preserve">：董永梅 13567861107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：¥39480元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highlight w:val="none"/>
          <w:u w:val="single"/>
          <w:lang w:val="en-US" w:eastAsia="zh-CN"/>
        </w:rPr>
        <w:t xml:space="preserve">董永梅 13567861107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146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842"/>
        <w:gridCol w:w="1245"/>
        <w:gridCol w:w="3285"/>
        <w:gridCol w:w="578"/>
        <w:gridCol w:w="840"/>
        <w:gridCol w:w="885"/>
        <w:gridCol w:w="720"/>
        <w:gridCol w:w="885"/>
        <w:gridCol w:w="1140"/>
        <w:gridCol w:w="1251"/>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申请部门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存货名称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4"/>
                <w:szCs w:val="24"/>
                <w:u w:val="none"/>
                <w:lang w:val="en-US" w:eastAsia="zh-CN" w:bidi="ar"/>
              </w:rPr>
            </w:pPr>
            <w:r>
              <w:rPr>
                <w:rFonts w:hint="eastAsia" w:ascii="Tahoma" w:hAnsi="Tahoma" w:eastAsia="Tahoma" w:cs="Tahoma"/>
                <w:i w:val="0"/>
                <w:iCs w:val="0"/>
                <w:color w:val="000000"/>
                <w:kern w:val="0"/>
                <w:sz w:val="24"/>
                <w:szCs w:val="24"/>
                <w:u w:val="none"/>
                <w:lang w:val="en-US" w:eastAsia="zh-CN" w:bidi="ar"/>
              </w:rPr>
              <w:t>税率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原因</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用途</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综管部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auto"/>
                <w:kern w:val="0"/>
                <w:sz w:val="18"/>
                <w:szCs w:val="18"/>
                <w:u w:val="none"/>
                <w:lang w:val="en-US" w:eastAsia="zh-CN" w:bidi="ar"/>
              </w:rPr>
              <w:t>板式办公桌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default" w:ascii="宋体" w:hAnsi="宋体" w:eastAsia="宋体" w:cs="宋体"/>
                <w:i w:val="0"/>
                <w:color w:val="auto"/>
                <w:kern w:val="0"/>
                <w:sz w:val="18"/>
                <w:szCs w:val="18"/>
                <w:u w:val="none"/>
                <w:lang w:val="en-US" w:eastAsia="zh-CN" w:bidi="ar"/>
              </w:rPr>
              <w:t>1200*600*750</w:t>
            </w:r>
            <w:r>
              <w:rPr>
                <w:rFonts w:hint="eastAsia" w:ascii="宋体" w:hAnsi="宋体" w:eastAsia="宋体" w:cs="宋体"/>
                <w:i w:val="0"/>
                <w:color w:val="auto"/>
                <w:kern w:val="0"/>
                <w:sz w:val="18"/>
                <w:szCs w:val="18"/>
                <w:u w:val="none"/>
                <w:lang w:val="en-US" w:eastAsia="zh-CN" w:bidi="ar"/>
              </w:rPr>
              <w:t>mm,灰白色，带两个抽屉。</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auto"/>
                <w:kern w:val="0"/>
                <w:sz w:val="18"/>
                <w:szCs w:val="18"/>
                <w:u w:val="none"/>
                <w:lang w:val="en-US" w:eastAsia="zh-CN" w:bidi="ar"/>
              </w:rPr>
              <w:t>1.基材：采用优质刨花板(福人/大亚/露水河或同档次品牌)采用环保E1级，标准甲醛释放量均达到E1级标准，值为小于0.05mg/m3；表面采用富美家、威胜亚、西德板或同档次品牌防火板，抗划伤、耐磨、耐酸碱、耐烟灼、防火、不易褪色、易清洁。2.封边：同色ABS环保型热胶融封边处理；实现外观纤巧时尚，高品质。</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auto"/>
                <w:kern w:val="0"/>
                <w:sz w:val="18"/>
                <w:szCs w:val="18"/>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auto"/>
                <w:kern w:val="0"/>
                <w:sz w:val="18"/>
                <w:szCs w:val="18"/>
                <w:highlight w:val="none"/>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drawing>
                <wp:inline distT="0" distB="0" distL="114300" distR="114300">
                  <wp:extent cx="1337945" cy="1009015"/>
                  <wp:effectExtent l="0" t="0" r="14605" b="635"/>
                  <wp:docPr id="3" name="图片 1" descr="dec72f38866fc034887d118c939d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ec72f38866fc034887d118c939d543"/>
                          <pic:cNvPicPr>
                            <a:picLocks noChangeAspect="1"/>
                          </pic:cNvPicPr>
                        </pic:nvPicPr>
                        <pic:blipFill>
                          <a:blip r:embed="rId9"/>
                          <a:stretch>
                            <a:fillRect/>
                          </a:stretch>
                        </pic:blipFill>
                        <pic:spPr>
                          <a:xfrm>
                            <a:off x="0" y="0"/>
                            <a:ext cx="1337945" cy="100901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综管部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四脚椅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55</w:t>
            </w:r>
            <w:r>
              <w:rPr>
                <w:rFonts w:hint="default" w:ascii="宋体" w:hAnsi="宋体" w:eastAsia="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54</w:t>
            </w:r>
            <w:r>
              <w:rPr>
                <w:rFonts w:hint="default" w:ascii="宋体" w:hAnsi="宋体" w:eastAsia="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82</w:t>
            </w:r>
            <w:r>
              <w:rPr>
                <w:rFonts w:hint="default" w:ascii="宋体" w:hAnsi="宋体" w:eastAsia="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mm</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1.脚架：烤漆钢脚，壁厚1.5mm</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2.椅背：进口网布。</w:t>
            </w:r>
          </w:p>
          <w:p>
            <w:pPr>
              <w:rPr>
                <w:rFonts w:hint="eastAsia" w:ascii="Calibri" w:hAnsi="Calibri" w:eastAsia="宋体" w:cs="Times New Roman"/>
                <w:kern w:val="2"/>
                <w:sz w:val="18"/>
                <w:szCs w:val="18"/>
                <w:lang w:val="en-US" w:eastAsia="zh-CN" w:bidi="ar-SA"/>
              </w:rPr>
            </w:pPr>
            <w:r>
              <w:rPr>
                <w:rFonts w:hint="eastAsia" w:ascii="宋体" w:hAnsi="宋体" w:eastAsia="宋体" w:cs="宋体"/>
                <w:sz w:val="18"/>
                <w:szCs w:val="18"/>
                <w:lang w:val="en-US" w:eastAsia="zh-CN"/>
              </w:rPr>
              <w:t>3.椅座：内置PU定型棉,外包环保布饰面，采用环保工艺生产制作。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drawing>
                <wp:inline distT="0" distB="0" distL="114300" distR="114300">
                  <wp:extent cx="1436370" cy="1948180"/>
                  <wp:effectExtent l="0" t="0" r="11430"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436370" cy="194818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不含税价</w:t>
            </w:r>
          </w:p>
        </w:tc>
        <w:tc>
          <w:tcPr>
            <w:tcW w:w="95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总报价</w:t>
            </w:r>
          </w:p>
        </w:tc>
        <w:tc>
          <w:tcPr>
            <w:tcW w:w="95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最高限价</w:t>
            </w:r>
          </w:p>
        </w:tc>
        <w:tc>
          <w:tcPr>
            <w:tcW w:w="95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39480</w:t>
            </w:r>
            <w:r>
              <w:rPr>
                <w:rFonts w:hint="eastAsia" w:ascii="宋体" w:hAnsi="宋体" w:eastAsia="宋体" w:cs="宋体"/>
                <w:i w:val="0"/>
                <w:iCs w:val="0"/>
                <w:color w:val="000000"/>
                <w:kern w:val="0"/>
                <w:sz w:val="20"/>
                <w:szCs w:val="20"/>
                <w:u w:val="none"/>
                <w:lang w:val="en-US" w:eastAsia="zh-CN" w:bidi="ar"/>
              </w:rPr>
              <w:t>元</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4B7CD2"/>
    <w:rsid w:val="0FF72C97"/>
    <w:rsid w:val="105D643B"/>
    <w:rsid w:val="109C5E4D"/>
    <w:rsid w:val="10AD7059"/>
    <w:rsid w:val="112F4AEB"/>
    <w:rsid w:val="11663318"/>
    <w:rsid w:val="121E634A"/>
    <w:rsid w:val="124E37EF"/>
    <w:rsid w:val="12B0666F"/>
    <w:rsid w:val="13236AF1"/>
    <w:rsid w:val="141938EE"/>
    <w:rsid w:val="147D5617"/>
    <w:rsid w:val="152902B4"/>
    <w:rsid w:val="163254FA"/>
    <w:rsid w:val="170F00AB"/>
    <w:rsid w:val="17DD5536"/>
    <w:rsid w:val="182A5635"/>
    <w:rsid w:val="1844634A"/>
    <w:rsid w:val="18796332"/>
    <w:rsid w:val="18C13DA8"/>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0A068C"/>
    <w:rsid w:val="23256DAA"/>
    <w:rsid w:val="2363459D"/>
    <w:rsid w:val="23710513"/>
    <w:rsid w:val="241A51BE"/>
    <w:rsid w:val="2471135E"/>
    <w:rsid w:val="258842B2"/>
    <w:rsid w:val="25AE09E7"/>
    <w:rsid w:val="25C54A98"/>
    <w:rsid w:val="26547EAD"/>
    <w:rsid w:val="265C645B"/>
    <w:rsid w:val="266B3DB4"/>
    <w:rsid w:val="267E7E0A"/>
    <w:rsid w:val="27B566C1"/>
    <w:rsid w:val="2954525D"/>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A72F0C"/>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51568C"/>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D5B2D7C"/>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1</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Administrator</cp:lastModifiedBy>
  <cp:lastPrinted>2025-01-10T08:47:00Z</cp:lastPrinted>
  <dcterms:modified xsi:type="dcterms:W3CDTF">2025-01-27T00:46:29Z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