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680"/>
        </w:tabs>
        <w:bidi w:val="0"/>
        <w:jc w:val="center"/>
        <w:rPr>
          <w:rFonts w:hint="eastAsia" w:eastAsiaTheme="minorEastAsia"/>
          <w:color w:val="auto"/>
          <w:sz w:val="36"/>
          <w:szCs w:val="36"/>
          <w:lang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锚杆、防护网采购项目</w:t>
      </w:r>
    </w:p>
    <w:p>
      <w:pPr>
        <w:jc w:val="center"/>
        <w:rPr>
          <w:rFonts w:hint="eastAsia" w:asciiTheme="minorHAnsi" w:hAnsiTheme="minorHAnsi" w:eastAsiaTheme="minorEastAsia" w:cstheme="minorBidi"/>
          <w:b/>
          <w:color w:val="auto"/>
          <w:kern w:val="44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44"/>
          <w:sz w:val="36"/>
          <w:szCs w:val="36"/>
          <w:lang w:val="en-US" w:eastAsia="zh-CN" w:bidi="ar-SA"/>
        </w:rPr>
        <w:t>商务文件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一、项目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概况：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锚杆、防护网采购项目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杭州富阳通达公路工程有限公司 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、资金来源：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</w:rPr>
        <w:t>自筹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、服务期限：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合同签订之日起三个月内完成供货，质保期一年。</w:t>
      </w:r>
    </w:p>
    <w:p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、本次招标范围：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锚杆、防护网采购</w:t>
      </w:r>
    </w:p>
    <w:p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三、采购清单及要求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</w:t>
      </w:r>
    </w:p>
    <w:tbl>
      <w:tblPr>
        <w:tblStyle w:val="17"/>
        <w:tblpPr w:leftFromText="180" w:rightFromText="180" w:vertAnchor="text" w:horzAnchor="page" w:tblpX="1366" w:tblpY="134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03"/>
        <w:gridCol w:w="2757"/>
        <w:gridCol w:w="773"/>
        <w:gridCol w:w="916"/>
        <w:gridCol w:w="1318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采购内容名称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规格型号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单价最高限价（元）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锚杆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直径25mm，长3米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868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锚杆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直径25mm，长6米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锚杆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直径25mm，长4米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钢丝绳网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D0/08/300/2.5*2.5型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格栅网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SO/2.2/50型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不锈钢25TU型环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1014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注：主要构件结构参数与技术要求1）钢丝绳：纵横向支撑绳、钢丝绳网和缝合绳均采用钢丝强度不小于 1770MPa 的高强度绳，并采用不低于 AB 级的热镀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锌防腐处理。2）支撑绳：纵向支撑绳采用φS16 钢丝绳，横向支撑绳φS16 钢丝绳。3）铁丝格栅：采用强度不低于 350MPa，镀锌量不少于 100/m2 的热镀锌φ2.2 铁丝无纽结编制，网孔尺寸为 50×50mm，网块规格一般为 2.25×10.2m。4）钢丝绳网：均采用φS8 钢丝绳编制，菱形网孔边长为 300mm，网块规格 2.5m×2.5m（定制）。编网用十字卡扣的材质、结构尺寸和压接工艺必须保证其抗错动拉力（两根相互交叉的钢丝绳，在交叉结点处用十字卡扣固定后，使其中一根钢丝绳沿受力方向滑出的最大拉力）不得小于 5kN 和大于 8kN，抗脱落拉力（两根相互交叉的钢丝绳，在交叉结点处用十字卡扣固定后，使两根钢丝绳沿其交叉面法线方向发生分离最大拉力）不得小于 10kN。5）SNS 主动柔性网使用寿命应满足永久性工程要求，一般不少于 50 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、报价说明：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本项目最高限价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49.2664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万元，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超过采购人最高限价的投标报价视为招标人不能接受的条件，作无效标处理。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、供应商资质要求：</w:t>
      </w:r>
    </w:p>
    <w:p>
      <w:pPr>
        <w:pStyle w:val="20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（1）符合《中华人民共和国政府采购法》第二十二条之规定，在中华人民共和国境内注册，且符合、承认并承诺履行本采购文件各项规定，具有履行合同所必需的服务和专业能力的供应商，所提供的货物和服务须在我国境内合法生产或销售的；</w:t>
      </w:r>
    </w:p>
    <w:p>
      <w:pPr>
        <w:pStyle w:val="20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（2）特定资格条件：无；</w:t>
      </w:r>
    </w:p>
    <w:p>
      <w:pPr>
        <w:pStyle w:val="20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（3）本项目不允许联合体投标。</w:t>
      </w:r>
    </w:p>
    <w:p>
      <w:pPr>
        <w:pStyle w:val="20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、响应文件的组成（供应商报价时须同时上传响应文件，中标后需提供纸质文件）</w:t>
      </w:r>
    </w:p>
    <w:p>
      <w:pPr>
        <w:pStyle w:val="20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、报价一览表（见附件一）；</w:t>
      </w:r>
    </w:p>
    <w:p>
      <w:pPr>
        <w:pStyle w:val="20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、响应人企业营业执照复印件；</w:t>
      </w:r>
    </w:p>
    <w:p>
      <w:pPr>
        <w:pStyle w:val="20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、备注：</w:t>
      </w:r>
    </w:p>
    <w:p>
      <w:pPr>
        <w:pStyle w:val="20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.中标后七个工作日内，签合同前提供资料：所有响应文件所涉及的纸质材料（需加盖单位公章）。</w:t>
      </w:r>
    </w:p>
    <w:p>
      <w:pPr>
        <w:pStyle w:val="20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所有复印件需加盖单位公章；资料真实有效，若未能提供，取消中标资格并承担相应法律责任。</w:t>
      </w:r>
    </w:p>
    <w:p>
      <w:pPr>
        <w:pStyle w:val="20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.中标单位无法履约或因质量、技术问题不能达到甲方需求的，甲方有权取消其中标资格。</w:t>
      </w:r>
    </w:p>
    <w:p>
      <w:pPr>
        <w:pStyle w:val="20"/>
        <w:ind w:firstLine="48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4.在签订合同之前，乙方提交合同总价的1%作为履约保证金缴纳到甲方指定账户。合同期满后一次性无息退还给乙方。</w:t>
      </w:r>
    </w:p>
    <w:p>
      <w:pPr>
        <w:pStyle w:val="20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.若遇国家重大政策调整影响合同执行的情况，双方可共同友好协商解决。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page"/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一</w:t>
      </w:r>
    </w:p>
    <w:p>
      <w:pPr>
        <w:pStyle w:val="2"/>
        <w:bidi w:val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一览表</w:t>
      </w:r>
    </w:p>
    <w:tbl>
      <w:tblPr>
        <w:tblStyle w:val="18"/>
        <w:tblW w:w="0" w:type="auto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457"/>
        <w:gridCol w:w="2062"/>
        <w:gridCol w:w="1482"/>
        <w:gridCol w:w="1695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总价最高限价（元）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下浮率（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>%）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投标总报价（元）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  <w:t>锚杆、防护网采购项目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49.2664万元（单价最高限价详见采购清单）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ind w:firstLine="211" w:firstLineChars="100"/>
        <w:rPr>
          <w:rFonts w:ascii="仿宋" w:hAnsi="仿宋" w:eastAsia="仿宋" w:cs="仿宋"/>
          <w:b/>
          <w:bCs/>
          <w:color w:val="auto"/>
          <w:szCs w:val="21"/>
        </w:rPr>
      </w:pPr>
    </w:p>
    <w:p>
      <w:pPr>
        <w:adjustRightInd w:val="0"/>
        <w:snapToGrid w:val="0"/>
        <w:ind w:firstLine="211" w:firstLineChars="100"/>
        <w:rPr>
          <w:rFonts w:hint="eastAsia" w:ascii="仿宋" w:hAnsi="仿宋" w:eastAsia="仿宋" w:cs="仿宋"/>
          <w:b/>
          <w:bCs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</w:rPr>
        <w:t>注：1.投标人报价必须与最高限价下浮后一致，且与系统报价一致（四舍五入保留至元），</w:t>
      </w:r>
      <w:r>
        <w:rPr>
          <w:rFonts w:hint="eastAsia" w:ascii="仿宋" w:hAnsi="仿宋" w:eastAsia="仿宋" w:cs="仿宋"/>
          <w:b/>
          <w:bCs/>
          <w:color w:val="auto"/>
          <w:szCs w:val="21"/>
          <w:u w:val="single"/>
        </w:rPr>
        <w:t>报价一览表</w:t>
      </w:r>
      <w:r>
        <w:rPr>
          <w:rFonts w:hint="eastAsia" w:ascii="仿宋" w:hAnsi="仿宋" w:eastAsia="仿宋" w:cs="仿宋"/>
          <w:b/>
          <w:bCs/>
          <w:color w:val="auto"/>
          <w:szCs w:val="21"/>
          <w:u w:val="single"/>
          <w:lang w:eastAsia="zh-CN"/>
        </w:rPr>
        <w:t>投标报价与系统报价不一致的以系统报价为准并修正报价一览表，供应商拒不修正的作无效标处理</w:t>
      </w:r>
      <w:r>
        <w:rPr>
          <w:rFonts w:hint="eastAsia" w:ascii="仿宋" w:hAnsi="仿宋" w:eastAsia="仿宋" w:cs="仿宋"/>
          <w:b/>
          <w:bCs/>
          <w:color w:val="auto"/>
          <w:szCs w:val="21"/>
          <w:u w:val="single"/>
        </w:rPr>
        <w:t>。</w:t>
      </w:r>
    </w:p>
    <w:p>
      <w:pPr>
        <w:adjustRightInd w:val="0"/>
        <w:snapToGrid w:val="0"/>
        <w:ind w:firstLine="422" w:firstLineChars="200"/>
        <w:rPr>
          <w:rFonts w:ascii="仿宋" w:hAnsi="仿宋" w:eastAsia="仿宋" w:cs="仿宋"/>
          <w:b/>
          <w:bCs/>
          <w:color w:val="auto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</w:rPr>
        <w:t>2.投标人报价应包括人工、材料（含配件）、运输、利润、税金等完成本项目的一切费用。本项目采用固定单价合同，合同期间单价不予调整，中标人自行承担材料涨价风险。</w:t>
      </w:r>
    </w:p>
    <w:p>
      <w:pPr>
        <w:adjustRightInd w:val="0"/>
        <w:snapToGrid w:val="0"/>
        <w:ind w:firstLine="422" w:firstLineChars="200"/>
        <w:rPr>
          <w:rFonts w:hint="eastAsia" w:ascii="仿宋" w:hAnsi="仿宋" w:eastAsia="仿宋" w:cs="仿宋"/>
          <w:b/>
          <w:bCs/>
          <w:color w:val="auto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lang w:val="en-US" w:eastAsia="zh-CN"/>
        </w:rPr>
        <w:t>3.供应商在政采云电子交易平台报价模块中应填写投标总报价。例如：供应商的报价统一下浮率为10.00%，则投标总报价为49.2664×（1-10.00%）=44.3398万元；供应商的报价统一下浮率为15.00%，则投标总报价为49.2664×（1-15.00%）=41.8764万元。</w:t>
      </w:r>
    </w:p>
    <w:p>
      <w:pPr>
        <w:adjustRightInd w:val="0"/>
        <w:snapToGrid w:val="0"/>
        <w:ind w:firstLine="422" w:firstLineChars="200"/>
        <w:rPr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lang w:val="en-US" w:eastAsia="zh-CN"/>
        </w:rPr>
        <w:t>4.本项目合同单价确定方式：合同单价=各项内容的单价最高限价*（1-下浮率），即合同单价以各项单价最高限价为基数，</w:t>
      </w:r>
      <w:r>
        <w:rPr>
          <w:rFonts w:hint="eastAsia" w:ascii="仿宋" w:hAnsi="仿宋" w:eastAsia="仿宋" w:cs="仿宋"/>
          <w:b/>
          <w:bCs/>
          <w:color w:val="auto"/>
          <w:szCs w:val="21"/>
        </w:rPr>
        <w:t>按</w:t>
      </w:r>
      <w:r>
        <w:rPr>
          <w:rFonts w:hint="eastAsia" w:ascii="仿宋" w:hAnsi="仿宋" w:eastAsia="仿宋" w:cs="仿宋"/>
          <w:b/>
          <w:bCs/>
          <w:color w:val="auto"/>
          <w:szCs w:val="21"/>
          <w:lang w:val="en-US" w:eastAsia="zh-CN"/>
        </w:rPr>
        <w:t>中标</w:t>
      </w:r>
      <w:r>
        <w:rPr>
          <w:rFonts w:hint="eastAsia" w:ascii="仿宋" w:hAnsi="仿宋" w:eastAsia="仿宋" w:cs="仿宋"/>
          <w:b/>
          <w:bCs/>
          <w:color w:val="auto"/>
          <w:szCs w:val="21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Cs w:val="21"/>
          <w:lang w:val="en-US" w:eastAsia="zh-CN"/>
        </w:rPr>
        <w:t>所报</w:t>
      </w:r>
      <w:r>
        <w:rPr>
          <w:rFonts w:hint="eastAsia" w:ascii="仿宋" w:hAnsi="仿宋" w:eastAsia="仿宋" w:cs="仿宋"/>
          <w:b/>
          <w:bCs/>
          <w:color w:val="auto"/>
          <w:szCs w:val="21"/>
        </w:rPr>
        <w:t>的</w:t>
      </w:r>
      <w:r>
        <w:rPr>
          <w:rFonts w:hint="eastAsia" w:ascii="仿宋" w:hAnsi="仿宋" w:eastAsia="仿宋" w:cs="仿宋"/>
          <w:b/>
          <w:bCs/>
          <w:color w:val="auto"/>
          <w:szCs w:val="21"/>
          <w:lang w:val="en-US" w:eastAsia="zh-CN"/>
        </w:rPr>
        <w:t>下浮率同比例下浮计取（计算结果四舍五入保留一位小数）</w:t>
      </w:r>
      <w:r>
        <w:rPr>
          <w:rFonts w:hint="eastAsia" w:ascii="仿宋" w:hAnsi="仿宋" w:eastAsia="仿宋" w:cs="仿宋"/>
          <w:b/>
          <w:bCs/>
          <w:color w:val="auto"/>
          <w:szCs w:val="21"/>
          <w:lang w:eastAsia="zh-CN"/>
        </w:rPr>
        <w:t>。</w:t>
      </w:r>
    </w:p>
    <w:p>
      <w:pPr>
        <w:pStyle w:val="2"/>
        <w:spacing w:after="0" w:line="240" w:lineRule="auto"/>
        <w:ind w:firstLine="422" w:firstLineChars="200"/>
        <w:jc w:val="both"/>
        <w:rPr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</w:rPr>
        <w:t>5、以上报价产品的品牌及型号应与实际供货的产品型号保持一致，如有不同，取消中标资格。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投标单位：（公章）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法定代表人或委托代理人：（签名或签章）         年     月    日</w:t>
      </w:r>
    </w:p>
    <w:p>
      <w:pPr>
        <w:pStyle w:val="20"/>
        <w:ind w:firstLine="1680" w:firstLineChars="7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sectPr>
          <w:footerReference r:id="rId3" w:type="default"/>
          <w:pgSz w:w="11906" w:h="16838"/>
          <w:pgMar w:top="1080" w:right="1440" w:bottom="1080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20"/>
        <w:ind w:firstLine="1680" w:firstLineChars="7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</w:p>
    <w:p>
      <w:pPr>
        <w:pStyle w:val="20"/>
        <w:ind w:firstLine="1680" w:firstLineChars="7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pStyle w:val="20"/>
        <w:ind w:firstLine="1680" w:firstLineChars="7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pStyle w:val="20"/>
        <w:ind w:firstLine="1680" w:firstLineChars="7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营业执照副本复印件（加盖单位公章）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br w:type="page"/>
      </w:r>
    </w:p>
    <w:p>
      <w:pPr>
        <w:pStyle w:val="20"/>
        <w:ind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附件二：</w:t>
      </w:r>
    </w:p>
    <w:p>
      <w:pPr>
        <w:pStyle w:val="16"/>
        <w:pageBreakBefore w:val="0"/>
        <w:kinsoku/>
        <w:wordWrap/>
        <w:topLinePunct w:val="0"/>
        <w:bidi w:val="0"/>
        <w:spacing w:after="0" w:line="400" w:lineRule="exact"/>
        <w:ind w:left="0" w:leftChars="0" w:firstLine="0" w:firstLineChars="0"/>
        <w:jc w:val="center"/>
        <w:rPr>
          <w:rFonts w:hint="eastAsia" w:ascii="宋体" w:hAnsi="宋体" w:eastAsia="宋体" w:cs="宋体"/>
          <w:bCs/>
          <w:color w:val="auto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合同文件</w:t>
      </w:r>
    </w:p>
    <w:p>
      <w:pPr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（本合同为合同样稿，最终稿协商后确定）</w:t>
      </w:r>
    </w:p>
    <w:p>
      <w:pPr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Style w:val="29"/>
          <w:rFonts w:hint="eastAsia" w:ascii="宋体" w:hAnsi="宋体" w:eastAsia="宋体" w:cs="宋体"/>
          <w:snapToGrid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合同条款及格式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杭州富阳通达公路工程有限公司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（以下简称甲方）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（以下简称乙方）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依照《中华人民共和国民法典》、《中华人民共和国招标投标法》等相关法律法规，甲、乙双方遵循平等、自愿、公平和诚实信用的原则，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经双方达成一致确立本合同，确保合同双方共同执行。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92" w:righ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第一条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采购清单</w:t>
      </w:r>
    </w:p>
    <w:tbl>
      <w:tblPr>
        <w:tblStyle w:val="17"/>
        <w:tblpPr w:leftFromText="180" w:rightFromText="180" w:vertAnchor="text" w:horzAnchor="page" w:tblpX="1363" w:tblpY="134"/>
        <w:tblOverlap w:val="never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68"/>
        <w:gridCol w:w="2550"/>
        <w:gridCol w:w="941"/>
        <w:gridCol w:w="1104"/>
        <w:gridCol w:w="1323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采购内容名称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规格型号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单价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合价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锚杆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直径25mm，长3米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868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锚杆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直径25mm，长6米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锚杆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直径25mm，长4米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钢丝绳网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D0/08/300/2.5*2.5型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格栅网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SO/2.2/50型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不锈钢25TU型环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1014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合计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此合同价包括完成项目所需的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</w:rPr>
        <w:t>人工、材料</w:t>
      </w:r>
      <w:r>
        <w:rPr>
          <w:rFonts w:hint="eastAsia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</w:rPr>
        <w:t>（含配件）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</w:rPr>
        <w:t>、运输、利润、税金等所有费用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，合同期内单价不作调整。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92"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第二条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履行期限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合同签订之日起三个月内完成供货。质保期一年。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92"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第三条 质量要求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92"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质量符合甲方要求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92"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乙方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原因产生的采购产品、安装等质量问题的，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应在甲方要求的时间内进行整改，逾期整改、拒不整改或整改后仍不符合要求，甲方有权解除合同，不再支付任何费用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92" w:firstLine="482" w:firstLineChars="20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第四条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售后要求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92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服务期间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乙方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在接到采购方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报修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电话后，必须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4小时内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委派人员到场并在规定时间内完成搬运或安装工作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，以保证用户单位的正常使用。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92"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条 质保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期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92"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乙方为甲方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提供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产品的质保期为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年。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92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质保期间，乙方在接到甲方维修通知后，应在24小时内派人免费上门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更换或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维修，并在甲方要求的时间内完成。如乙方未按合同约定履行保修义务，甲方有权委托他人维修，所需费用由乙方承担。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-2" w:leftChars="-1"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条 支付方式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left="120" w:right="91" w:firstLine="39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供货完成后一次性支付，供应商应当开具增值税专用发票。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440" w:lineRule="exact"/>
        <w:ind w:right="91" w:righ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第七条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履约保证金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在签订合同之前，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提交合同总价的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%作为履约保证金缴纳到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甲方指定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合同期满后一次性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退还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给乙方。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pacing w:val="-2"/>
          <w:kern w:val="0"/>
          <w:sz w:val="24"/>
          <w:szCs w:val="24"/>
        </w:rPr>
        <w:t>缴纳方式：采用转账形式。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-2" w:leftChars="-1"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条：不可抗力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9" w:right="91" w:firstLine="51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1、在合同有效期内，任何一方因不可抗力事件导致不能履行合同，则合同履行期可延长，其延长期与不可抗力影响期相同。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9" w:right="91" w:firstLine="51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2、不可抗力事件发生后，应立即通知对方，并寄送有关权威机构出具的证明。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9" w:right="91" w:firstLine="51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3、不可抗力事件延续120天以上，双方应通过友好协商，确定是否继续履行合同。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-2" w:leftChars="-1"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条：争议的解决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由本合同引起的或与本合同相关的任何争议，发包人和承包人应通过友好协商解决。协商不成时，任何一方可向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富阳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区人民法院提起诉讼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</w:rPr>
        <w:t>第</w:t>
      </w:r>
      <w:r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</w:rPr>
        <w:t>条：合同的生效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0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4"/>
        </w:rPr>
        <w:t>未尽事宜，经双方协商一致，签订补充协议，补充协议与本合同具有同等效力。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0"/>
          <w:lang w:val="en-US" w:eastAsia="zh-CN" w:bidi="ar-SA"/>
        </w:rPr>
        <w:t>2、本合同一式陆份，甲、乙双方各执叁份，双方签字盖章之日起生效。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line="470" w:lineRule="exact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line="470" w:lineRule="exact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甲方（盖章）：                       乙方（盖章）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line="470" w:lineRule="exact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法定代表人（签字）：                 法定代表人（签字）：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line="470" w:lineRule="exact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委托代理人（签字）：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委托代理人（签字）：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line="470" w:lineRule="exact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                               地址：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line="470" w:lineRule="exact"/>
        <w:ind w:left="2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电话：                               电话：</w:t>
      </w: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pacing w:beforeLines="0" w:line="470" w:lineRule="exact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签订日期：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</w:p>
    <w:p>
      <w:pPr>
        <w:pStyle w:val="2"/>
        <w:jc w:val="both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8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廉政合同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一.甲、乙双方的权利和义务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甲、乙双方应严格遵守党的政策规定和国家有关法律法规。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甲、乙双方应严格执行项目的合同文件，自觉按合同办事。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甲、乙双方的业务活动应坚持公开、公平、公正、诚信、透明原则。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甲、乙双方不得以任何理由向对方工作人员行贿或馈赠礼金、有价证券、贵重礼品。不得在对方报销任何应由个人支付的费用。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甲、乙双方不得以任何理由违反廉洁自律的有关规定。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甲、乙双方发现对方严重违反本合同条款的行为，有及时提醒对方、向其上级有关部门举报、建议给予处理并要求告知处理结果的权利。</w:t>
      </w:r>
    </w:p>
    <w:p>
      <w:pPr>
        <w:widowControl w:val="0"/>
        <w:kinsoku/>
        <w:autoSpaceDE/>
        <w:autoSpaceDN/>
        <w:adjustRightInd/>
        <w:snapToGrid/>
        <w:spacing w:before="0" w:beforeLines="0" w:after="10"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  <w:t>二、违约责任</w:t>
      </w:r>
    </w:p>
    <w:p>
      <w:pPr>
        <w:widowControl w:val="0"/>
        <w:kinsoku/>
        <w:autoSpaceDE/>
        <w:autoSpaceDN/>
        <w:adjustRightInd/>
        <w:snapToGrid/>
        <w:spacing w:before="0" w:beforeLines="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甲、乙双方及其工作人员违反本合同有关规定的，按管理权限，依据有关规定给予经济处罚或追究党纪政纪责任；涉嫌犯罪的，移交司法机关追究刑事责任；给双方单位造成经济损失的，应予以赔偿。</w:t>
      </w:r>
    </w:p>
    <w:p>
      <w:pPr>
        <w:widowControl w:val="0"/>
        <w:kinsoku/>
        <w:autoSpaceDE/>
        <w:autoSpaceDN/>
        <w:adjustRightInd/>
        <w:snapToGrid/>
        <w:spacing w:before="0" w:beforeLines="0" w:after="10"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  <w:t>三、合同份数与签署</w:t>
      </w:r>
    </w:p>
    <w:p>
      <w:pPr>
        <w:widowControl w:val="0"/>
        <w:kinsoku/>
        <w:autoSpaceDE/>
        <w:autoSpaceDN/>
        <w:adjustRightInd/>
        <w:snapToGrid/>
        <w:spacing w:before="0" w:beforeLines="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1、本合同一式陆份，甲、乙双方各执叁份，双方签字盖章之日起生效。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widowControl w:val="0"/>
        <w:kinsoku/>
        <w:autoSpaceDE/>
        <w:autoSpaceDN/>
        <w:adjustRightInd/>
        <w:snapToGrid/>
        <w:spacing w:after="1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甲方单位（盖章）：                  乙方单位（盖章）：</w:t>
      </w:r>
    </w:p>
    <w:p>
      <w:pPr>
        <w:widowControl w:val="0"/>
        <w:kinsoku/>
        <w:autoSpaceDE/>
        <w:autoSpaceDN/>
        <w:adjustRightInd/>
        <w:snapToGrid/>
        <w:spacing w:after="1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</w:rPr>
        <w:t>或委托代理人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</w:rPr>
        <w:t>或委托代理人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>
      <w:pPr>
        <w:widowControl w:val="0"/>
        <w:kinsoku/>
        <w:autoSpaceDE/>
        <w:autoSpaceDN/>
        <w:adjustRightInd/>
        <w:snapToGrid/>
        <w:spacing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widowControl w:val="0"/>
        <w:kinsoku/>
        <w:autoSpaceDE/>
        <w:autoSpaceDN/>
        <w:adjustRightInd/>
        <w:snapToGrid/>
        <w:spacing w:after="1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签订时间：     年  月  日 </w:t>
      </w:r>
    </w:p>
    <w:p>
      <w:pPr>
        <w:pStyle w:val="20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_x0004_falt">
    <w:altName w:val="P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FkYzA3MDg4YjkyOTA5YTNlYmEwOWQ0NmFlNzAifQ=="/>
  </w:docVars>
  <w:rsids>
    <w:rsidRoot w:val="00000000"/>
    <w:rsid w:val="00744E6C"/>
    <w:rsid w:val="00A87F74"/>
    <w:rsid w:val="00EF45B7"/>
    <w:rsid w:val="01CA5CC8"/>
    <w:rsid w:val="033E4BBF"/>
    <w:rsid w:val="03AE4189"/>
    <w:rsid w:val="042C1C08"/>
    <w:rsid w:val="04996BA3"/>
    <w:rsid w:val="04CD7FA9"/>
    <w:rsid w:val="04D1736D"/>
    <w:rsid w:val="05076B8A"/>
    <w:rsid w:val="052E3369"/>
    <w:rsid w:val="064C75F3"/>
    <w:rsid w:val="06913D37"/>
    <w:rsid w:val="06A833D6"/>
    <w:rsid w:val="0767227C"/>
    <w:rsid w:val="076B2DCE"/>
    <w:rsid w:val="0790350F"/>
    <w:rsid w:val="07BC3CBD"/>
    <w:rsid w:val="08732C15"/>
    <w:rsid w:val="087E15BA"/>
    <w:rsid w:val="088C3CD7"/>
    <w:rsid w:val="08CE3A06"/>
    <w:rsid w:val="09E638BB"/>
    <w:rsid w:val="0B5221AF"/>
    <w:rsid w:val="0B9B68A4"/>
    <w:rsid w:val="0BAB0918"/>
    <w:rsid w:val="0C1741FF"/>
    <w:rsid w:val="0C403756"/>
    <w:rsid w:val="0C5D60B6"/>
    <w:rsid w:val="0C692CAD"/>
    <w:rsid w:val="0C8705EB"/>
    <w:rsid w:val="0CCE0D62"/>
    <w:rsid w:val="0CE104BA"/>
    <w:rsid w:val="0D35493D"/>
    <w:rsid w:val="0D5B3A2B"/>
    <w:rsid w:val="0D71793F"/>
    <w:rsid w:val="0EE91E83"/>
    <w:rsid w:val="0FF17498"/>
    <w:rsid w:val="10566741"/>
    <w:rsid w:val="10806152"/>
    <w:rsid w:val="11105B98"/>
    <w:rsid w:val="11F06AFA"/>
    <w:rsid w:val="12033868"/>
    <w:rsid w:val="126B0E01"/>
    <w:rsid w:val="137E6302"/>
    <w:rsid w:val="137F4B64"/>
    <w:rsid w:val="13983E78"/>
    <w:rsid w:val="13B30CB1"/>
    <w:rsid w:val="13CC17F1"/>
    <w:rsid w:val="1406605D"/>
    <w:rsid w:val="146A5814"/>
    <w:rsid w:val="149C4F83"/>
    <w:rsid w:val="1534372C"/>
    <w:rsid w:val="15B8435D"/>
    <w:rsid w:val="15E11B06"/>
    <w:rsid w:val="161D0664"/>
    <w:rsid w:val="1645772F"/>
    <w:rsid w:val="16731D95"/>
    <w:rsid w:val="168D3A3C"/>
    <w:rsid w:val="16AF3382"/>
    <w:rsid w:val="16DA016A"/>
    <w:rsid w:val="173140CD"/>
    <w:rsid w:val="17C74D2B"/>
    <w:rsid w:val="187D53EA"/>
    <w:rsid w:val="188104BD"/>
    <w:rsid w:val="18FC27B3"/>
    <w:rsid w:val="195B1BCF"/>
    <w:rsid w:val="19623A5D"/>
    <w:rsid w:val="19CA1792"/>
    <w:rsid w:val="1A6D19D8"/>
    <w:rsid w:val="1B050DD9"/>
    <w:rsid w:val="1B324BB2"/>
    <w:rsid w:val="1BB750B7"/>
    <w:rsid w:val="1BC179B4"/>
    <w:rsid w:val="1C27223D"/>
    <w:rsid w:val="1D532BBD"/>
    <w:rsid w:val="1D554E77"/>
    <w:rsid w:val="1E9C4E96"/>
    <w:rsid w:val="1F3C1B5B"/>
    <w:rsid w:val="1F6B41EE"/>
    <w:rsid w:val="1F890B18"/>
    <w:rsid w:val="200A1C59"/>
    <w:rsid w:val="20F77D65"/>
    <w:rsid w:val="210C7C53"/>
    <w:rsid w:val="22965A26"/>
    <w:rsid w:val="231A6657"/>
    <w:rsid w:val="23882614"/>
    <w:rsid w:val="24612217"/>
    <w:rsid w:val="2479115B"/>
    <w:rsid w:val="24AF098E"/>
    <w:rsid w:val="24C406C8"/>
    <w:rsid w:val="25566D99"/>
    <w:rsid w:val="267C026B"/>
    <w:rsid w:val="26A56238"/>
    <w:rsid w:val="2708572C"/>
    <w:rsid w:val="275A34C6"/>
    <w:rsid w:val="27673E35"/>
    <w:rsid w:val="27BC47E5"/>
    <w:rsid w:val="289F0244"/>
    <w:rsid w:val="28D64DCE"/>
    <w:rsid w:val="29205D8F"/>
    <w:rsid w:val="29544142"/>
    <w:rsid w:val="29606D8E"/>
    <w:rsid w:val="29B570DA"/>
    <w:rsid w:val="29B80978"/>
    <w:rsid w:val="2A982DD0"/>
    <w:rsid w:val="2A9C3C7F"/>
    <w:rsid w:val="2AAB2DC7"/>
    <w:rsid w:val="2AAE3762"/>
    <w:rsid w:val="2AB2290D"/>
    <w:rsid w:val="2ADE7F6A"/>
    <w:rsid w:val="2AFB5C85"/>
    <w:rsid w:val="2B604E23"/>
    <w:rsid w:val="2CAC2710"/>
    <w:rsid w:val="2CBC252D"/>
    <w:rsid w:val="2DB33BE0"/>
    <w:rsid w:val="2E053A60"/>
    <w:rsid w:val="2E47051C"/>
    <w:rsid w:val="2E5F13C2"/>
    <w:rsid w:val="2FE66ADF"/>
    <w:rsid w:val="300F1EE7"/>
    <w:rsid w:val="30C2769E"/>
    <w:rsid w:val="30E359E7"/>
    <w:rsid w:val="32295C5F"/>
    <w:rsid w:val="322A7F39"/>
    <w:rsid w:val="322C3397"/>
    <w:rsid w:val="32AE2918"/>
    <w:rsid w:val="33AD0E22"/>
    <w:rsid w:val="33D77C4D"/>
    <w:rsid w:val="341474A9"/>
    <w:rsid w:val="3442156A"/>
    <w:rsid w:val="345D2848"/>
    <w:rsid w:val="346B51B8"/>
    <w:rsid w:val="34A044E2"/>
    <w:rsid w:val="357B2A8C"/>
    <w:rsid w:val="35812566"/>
    <w:rsid w:val="35C3492C"/>
    <w:rsid w:val="369B7657"/>
    <w:rsid w:val="36A61C51"/>
    <w:rsid w:val="37CE16F7"/>
    <w:rsid w:val="38A8605B"/>
    <w:rsid w:val="38FC0F83"/>
    <w:rsid w:val="39396CB4"/>
    <w:rsid w:val="39A20CFD"/>
    <w:rsid w:val="3A7719ED"/>
    <w:rsid w:val="3AD44EE6"/>
    <w:rsid w:val="3AD80183"/>
    <w:rsid w:val="3B5F6EA5"/>
    <w:rsid w:val="3C357C06"/>
    <w:rsid w:val="3C6466BB"/>
    <w:rsid w:val="3CA85873"/>
    <w:rsid w:val="3CB011D6"/>
    <w:rsid w:val="3CCA39A9"/>
    <w:rsid w:val="3CD218F9"/>
    <w:rsid w:val="3D052D63"/>
    <w:rsid w:val="3D94095C"/>
    <w:rsid w:val="3D9D5A63"/>
    <w:rsid w:val="3DE33774"/>
    <w:rsid w:val="3E66679D"/>
    <w:rsid w:val="3EAE3F6D"/>
    <w:rsid w:val="3F5B40F4"/>
    <w:rsid w:val="3FDB4E15"/>
    <w:rsid w:val="3FF23CA7"/>
    <w:rsid w:val="3FF356D9"/>
    <w:rsid w:val="40691A45"/>
    <w:rsid w:val="4084115C"/>
    <w:rsid w:val="40F7192E"/>
    <w:rsid w:val="411424E0"/>
    <w:rsid w:val="4149719B"/>
    <w:rsid w:val="41790595"/>
    <w:rsid w:val="429D4685"/>
    <w:rsid w:val="42F208AA"/>
    <w:rsid w:val="431542ED"/>
    <w:rsid w:val="44D3620E"/>
    <w:rsid w:val="45446420"/>
    <w:rsid w:val="456D6663"/>
    <w:rsid w:val="45C85647"/>
    <w:rsid w:val="466A0483"/>
    <w:rsid w:val="47A34CB9"/>
    <w:rsid w:val="47A520E4"/>
    <w:rsid w:val="47D66741"/>
    <w:rsid w:val="48B16866"/>
    <w:rsid w:val="4913307D"/>
    <w:rsid w:val="49373210"/>
    <w:rsid w:val="4A800BE6"/>
    <w:rsid w:val="4AC235F0"/>
    <w:rsid w:val="4AC76815"/>
    <w:rsid w:val="4ACA3FD8"/>
    <w:rsid w:val="4B1332AD"/>
    <w:rsid w:val="4B1D01E3"/>
    <w:rsid w:val="4C197837"/>
    <w:rsid w:val="4CE74F4D"/>
    <w:rsid w:val="4D16313C"/>
    <w:rsid w:val="4D822DD2"/>
    <w:rsid w:val="4DA26E62"/>
    <w:rsid w:val="4DC96400"/>
    <w:rsid w:val="4DD3102D"/>
    <w:rsid w:val="4E450AD0"/>
    <w:rsid w:val="4EBA68DC"/>
    <w:rsid w:val="4EBF7289"/>
    <w:rsid w:val="4F2C30FE"/>
    <w:rsid w:val="4F4915A7"/>
    <w:rsid w:val="4F5A37B4"/>
    <w:rsid w:val="4FC41575"/>
    <w:rsid w:val="50096F88"/>
    <w:rsid w:val="500A342C"/>
    <w:rsid w:val="505B3F72"/>
    <w:rsid w:val="506F14E1"/>
    <w:rsid w:val="50C64592"/>
    <w:rsid w:val="50CC6933"/>
    <w:rsid w:val="514E559A"/>
    <w:rsid w:val="51566EB5"/>
    <w:rsid w:val="517775CD"/>
    <w:rsid w:val="51B7603D"/>
    <w:rsid w:val="51F138FE"/>
    <w:rsid w:val="52187956"/>
    <w:rsid w:val="53230361"/>
    <w:rsid w:val="53416AA6"/>
    <w:rsid w:val="53514ECE"/>
    <w:rsid w:val="536A5F90"/>
    <w:rsid w:val="53A54A17"/>
    <w:rsid w:val="540957A8"/>
    <w:rsid w:val="547C41CC"/>
    <w:rsid w:val="54AF3AF9"/>
    <w:rsid w:val="55D122F6"/>
    <w:rsid w:val="56F72230"/>
    <w:rsid w:val="57D4431F"/>
    <w:rsid w:val="5843785A"/>
    <w:rsid w:val="58F20645"/>
    <w:rsid w:val="594F0101"/>
    <w:rsid w:val="59741916"/>
    <w:rsid w:val="59887A01"/>
    <w:rsid w:val="5A20689C"/>
    <w:rsid w:val="5A555355"/>
    <w:rsid w:val="5A5D0B9C"/>
    <w:rsid w:val="5B0A6EBE"/>
    <w:rsid w:val="5B243C04"/>
    <w:rsid w:val="5B43537F"/>
    <w:rsid w:val="5B950EA3"/>
    <w:rsid w:val="5BA34735"/>
    <w:rsid w:val="5BEF65F5"/>
    <w:rsid w:val="5BF44F90"/>
    <w:rsid w:val="5CBE35BC"/>
    <w:rsid w:val="5CE15514"/>
    <w:rsid w:val="5CFE757D"/>
    <w:rsid w:val="5D757F2A"/>
    <w:rsid w:val="5D8D2FA6"/>
    <w:rsid w:val="5DE3047A"/>
    <w:rsid w:val="5EE2626D"/>
    <w:rsid w:val="5EEE3F19"/>
    <w:rsid w:val="5F13397F"/>
    <w:rsid w:val="5F7A4CB9"/>
    <w:rsid w:val="5FB32A6C"/>
    <w:rsid w:val="605566FE"/>
    <w:rsid w:val="60AD6970"/>
    <w:rsid w:val="61D41430"/>
    <w:rsid w:val="61FF01EB"/>
    <w:rsid w:val="62374AF6"/>
    <w:rsid w:val="62620EA5"/>
    <w:rsid w:val="62A74130"/>
    <w:rsid w:val="62D43425"/>
    <w:rsid w:val="63D47B81"/>
    <w:rsid w:val="64300B2F"/>
    <w:rsid w:val="64371CD5"/>
    <w:rsid w:val="65465399"/>
    <w:rsid w:val="65D75707"/>
    <w:rsid w:val="66982C0E"/>
    <w:rsid w:val="66D734E4"/>
    <w:rsid w:val="66DB1226"/>
    <w:rsid w:val="66E300DB"/>
    <w:rsid w:val="67193A9B"/>
    <w:rsid w:val="687628EC"/>
    <w:rsid w:val="689A2A1B"/>
    <w:rsid w:val="68B27663"/>
    <w:rsid w:val="68D777CC"/>
    <w:rsid w:val="68F41185"/>
    <w:rsid w:val="699D6C67"/>
    <w:rsid w:val="69DD2A29"/>
    <w:rsid w:val="6A4D243B"/>
    <w:rsid w:val="6A9C6F1F"/>
    <w:rsid w:val="6B637A3C"/>
    <w:rsid w:val="6BBD0EFB"/>
    <w:rsid w:val="6BC4726C"/>
    <w:rsid w:val="6BE02E3B"/>
    <w:rsid w:val="6C1F3963"/>
    <w:rsid w:val="6C313697"/>
    <w:rsid w:val="6C7D068A"/>
    <w:rsid w:val="6E0F17B6"/>
    <w:rsid w:val="6E550B3A"/>
    <w:rsid w:val="6E932ED4"/>
    <w:rsid w:val="6EC304C9"/>
    <w:rsid w:val="6ED30A35"/>
    <w:rsid w:val="6EF56BFD"/>
    <w:rsid w:val="6F795A80"/>
    <w:rsid w:val="6FE7006B"/>
    <w:rsid w:val="6FEA330E"/>
    <w:rsid w:val="70057314"/>
    <w:rsid w:val="70111815"/>
    <w:rsid w:val="701557A9"/>
    <w:rsid w:val="703419A7"/>
    <w:rsid w:val="704832EA"/>
    <w:rsid w:val="70E37655"/>
    <w:rsid w:val="70FA674D"/>
    <w:rsid w:val="714125CE"/>
    <w:rsid w:val="717B4FFF"/>
    <w:rsid w:val="71CA611F"/>
    <w:rsid w:val="71F428E2"/>
    <w:rsid w:val="722B6E0E"/>
    <w:rsid w:val="72D27981"/>
    <w:rsid w:val="72DE13D3"/>
    <w:rsid w:val="72F527ED"/>
    <w:rsid w:val="7355632D"/>
    <w:rsid w:val="74C8072D"/>
    <w:rsid w:val="74CB0B2C"/>
    <w:rsid w:val="74D07EF1"/>
    <w:rsid w:val="74FA6D1C"/>
    <w:rsid w:val="758C3175"/>
    <w:rsid w:val="75B3511C"/>
    <w:rsid w:val="76522B87"/>
    <w:rsid w:val="76530DD9"/>
    <w:rsid w:val="76636DA9"/>
    <w:rsid w:val="76663B8B"/>
    <w:rsid w:val="76913C02"/>
    <w:rsid w:val="76B8443B"/>
    <w:rsid w:val="76E25CB9"/>
    <w:rsid w:val="76E32004"/>
    <w:rsid w:val="76E77696"/>
    <w:rsid w:val="771542E1"/>
    <w:rsid w:val="772F3993"/>
    <w:rsid w:val="775D7175"/>
    <w:rsid w:val="77905715"/>
    <w:rsid w:val="782D0D47"/>
    <w:rsid w:val="787E5EB6"/>
    <w:rsid w:val="79272A8A"/>
    <w:rsid w:val="796B468C"/>
    <w:rsid w:val="7A67448F"/>
    <w:rsid w:val="7B5B603A"/>
    <w:rsid w:val="7B996A71"/>
    <w:rsid w:val="7C8B6DF3"/>
    <w:rsid w:val="7CE333C0"/>
    <w:rsid w:val="7DBD55CB"/>
    <w:rsid w:val="7DDA3B8E"/>
    <w:rsid w:val="7DE1316F"/>
    <w:rsid w:val="7E066731"/>
    <w:rsid w:val="7E152E18"/>
    <w:rsid w:val="7E486D4A"/>
    <w:rsid w:val="7ED44A81"/>
    <w:rsid w:val="7EFE565A"/>
    <w:rsid w:val="7F923A16"/>
    <w:rsid w:val="7FC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ind w:left="1020"/>
      <w:outlineLvl w:val="1"/>
    </w:pPr>
    <w:rPr>
      <w:rFonts w:ascii="PMingLiU_x0004_falt" w:hAnsi="PMingLiU_x0004_falt" w:eastAsia="PMingLiU_x0004_falt" w:cs="PMingLiU_x0004_falt"/>
      <w:sz w:val="24"/>
      <w:lang w:val="zh-CN"/>
    </w:rPr>
  </w:style>
  <w:style w:type="paragraph" w:styleId="5">
    <w:name w:val="heading 5"/>
    <w:basedOn w:val="1"/>
    <w:next w:val="1"/>
    <w:qFormat/>
    <w:uiPriority w:val="0"/>
    <w:pPr>
      <w:keepNext/>
      <w:keepLines/>
      <w:spacing w:beforeLines="0" w:after="120" w:line="360" w:lineRule="auto"/>
      <w:outlineLvl w:val="4"/>
    </w:pPr>
    <w:rPr>
      <w:rFonts w:eastAsia="微软雅黑"/>
      <w:b/>
      <w:bCs/>
      <w:kern w:val="0"/>
      <w:sz w:val="24"/>
      <w:szCs w:val="24"/>
    </w:rPr>
  </w:style>
  <w:style w:type="paragraph" w:styleId="6">
    <w:name w:val="heading 8"/>
    <w:basedOn w:val="1"/>
    <w:next w:val="1"/>
    <w:qFormat/>
    <w:uiPriority w:val="1"/>
    <w:pPr>
      <w:ind w:left="243"/>
      <w:outlineLvl w:val="8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tabs>
        <w:tab w:val="right" w:leader="dot" w:pos="9231"/>
      </w:tabs>
      <w:spacing w:after="100" w:line="276" w:lineRule="auto"/>
      <w:jc w:val="center"/>
    </w:pPr>
    <w:rPr>
      <w:rFonts w:ascii="Times New Roman" w:hAnsi="Times New Roman" w:eastAsia="仿宋_GB2312" w:cs="Times New Roman"/>
      <w:kern w:val="0"/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9">
    <w:name w:val="Body Text Indent"/>
    <w:basedOn w:val="1"/>
    <w:next w:val="1"/>
    <w:qFormat/>
    <w:uiPriority w:val="99"/>
    <w:pPr>
      <w:spacing w:beforeLines="50"/>
      <w:ind w:firstLine="420" w:firstLineChars="200"/>
    </w:pPr>
    <w:rPr>
      <w:kern w:val="0"/>
      <w:sz w:val="20"/>
    </w:rPr>
  </w:style>
  <w:style w:type="paragraph" w:styleId="10">
    <w:name w:val="Plain Text"/>
    <w:basedOn w:val="1"/>
    <w:next w:val="11"/>
    <w:unhideWhenUsed/>
    <w:qFormat/>
    <w:uiPriority w:val="0"/>
    <w:pPr>
      <w:spacing w:before="156" w:afterLines="50" w:line="400" w:lineRule="exact"/>
    </w:pPr>
    <w:rPr>
      <w:rFonts w:ascii="宋体" w:hAnsi="Courier New"/>
      <w:kern w:val="0"/>
      <w:sz w:val="24"/>
      <w:szCs w:val="24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210"/>
      <w:jc w:val="left"/>
    </w:pPr>
    <w:rPr>
      <w:b/>
      <w:smallCaps/>
      <w:szCs w:val="24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1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envelope return"/>
    <w:basedOn w:val="1"/>
    <w:qFormat/>
    <w:uiPriority w:val="0"/>
    <w:pPr>
      <w:widowControl/>
      <w:adjustRightInd w:val="0"/>
      <w:spacing w:beforeLines="0" w:after="0" w:line="220" w:lineRule="atLeast"/>
      <w:ind w:firstLine="181"/>
      <w:jc w:val="left"/>
      <w:textAlignment w:val="baseline"/>
    </w:pPr>
    <w:rPr>
      <w:rFonts w:ascii="Arial" w:hAnsi="Arial"/>
      <w:kern w:val="0"/>
      <w:sz w:val="18"/>
      <w:szCs w:val="20"/>
      <w:lang w:val="en-US" w:eastAsia="zh-CN"/>
    </w:rPr>
  </w:style>
  <w:style w:type="paragraph" w:styleId="1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Body Text First Indent 2"/>
    <w:basedOn w:val="9"/>
    <w:next w:val="12"/>
    <w:qFormat/>
    <w:uiPriority w:val="0"/>
    <w:pPr>
      <w:tabs>
        <w:tab w:val="left" w:pos="0"/>
        <w:tab w:val="left" w:pos="993"/>
        <w:tab w:val="left" w:pos="1134"/>
      </w:tabs>
      <w:spacing w:after="120"/>
      <w:ind w:left="420" w:leftChars="200"/>
    </w:pPr>
    <w:rPr>
      <w:sz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宋体"/>
    </w:rPr>
  </w:style>
  <w:style w:type="paragraph" w:customStyle="1" w:styleId="21">
    <w:name w:val="默认段落字体 Para Char Char Char Char Char Char Char Char Char1 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qFormat/>
    <w:uiPriority w:val="0"/>
    <w:pPr>
      <w:widowControl w:val="0"/>
      <w:shd w:val="clear" w:color="auto" w:fill="auto"/>
      <w:spacing w:after="540"/>
      <w:ind w:firstLine="700"/>
    </w:pPr>
    <w:rPr>
      <w:rFonts w:ascii="宋体" w:hAnsi="宋体" w:eastAsia="宋体" w:cs="宋体"/>
      <w:sz w:val="32"/>
      <w:szCs w:val="32"/>
      <w:u w:val="single"/>
      <w:shd w:val="clear" w:color="auto" w:fill="auto"/>
      <w:lang w:val="zh-TW" w:eastAsia="zh-TW" w:bidi="zh-TW"/>
    </w:rPr>
  </w:style>
  <w:style w:type="paragraph" w:customStyle="1" w:styleId="25">
    <w:name w:val="Header or footer|1"/>
    <w:basedOn w:val="1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6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  <w:style w:type="paragraph" w:styleId="27">
    <w:name w:val="List Paragraph"/>
    <w:basedOn w:val="1"/>
    <w:qFormat/>
    <w:uiPriority w:val="1"/>
    <w:pPr>
      <w:ind w:left="243" w:hanging="527"/>
    </w:pPr>
    <w:rPr>
      <w:rFonts w:ascii="宋体" w:hAnsi="宋体" w:eastAsia="宋体" w:cs="宋体"/>
      <w:lang w:val="zh-CN" w:eastAsia="zh-CN" w:bidi="zh-CN"/>
    </w:rPr>
  </w:style>
  <w:style w:type="paragraph" w:customStyle="1" w:styleId="28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character" w:customStyle="1" w:styleId="29">
    <w:name w:val="Char Char Char Char1"/>
    <w:qFormat/>
    <w:uiPriority w:val="0"/>
    <w:rPr>
      <w:rFonts w:eastAsia="宋体"/>
      <w:b/>
      <w:snapToGrid w:val="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3381</Words>
  <Characters>3448</Characters>
  <Lines>0</Lines>
  <Paragraphs>0</Paragraphs>
  <TotalTime>11</TotalTime>
  <ScaleCrop>false</ScaleCrop>
  <LinksUpToDate>false</LinksUpToDate>
  <CharactersWithSpaces>3980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2022-04-11T02:14:00Z</dcterms:created>
  <dc:creator>Administrator</dc:creator>
  <cp:lastModifiedBy>金佳波＝</cp:lastModifiedBy>
  <cp:lastPrinted>2023-11-27T04:56:00Z</cp:lastPrinted>
  <dcterms:modified xsi:type="dcterms:W3CDTF">2023-11-28T05:38:32Z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332DDE5ABA4345239CCBFE1947438F75</vt:lpwstr>
  </property>
  <property fmtid="{D5CDD505-2E9C-101B-9397-08002B2CF9AE}" pid="4" name="commondata">
    <vt:lpwstr>eyJoZGlkIjoiOThhNGJlMzkyYzQ0ZjJiNzBmZDc2ZmQyMTYyYjFhYWEifQ==</vt:lpwstr>
  </property>
</Properties>
</file>