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highlight w:val="none"/>
          <w:shd w:val="clear" w:color="auto" w:fill="FFFFFF"/>
        </w:rPr>
      </w:pPr>
      <w:r>
        <w:rPr>
          <w:rFonts w:hint="eastAsia" w:ascii="宋体" w:hAnsi="宋体" w:eastAsia="宋体" w:cs="宋体"/>
          <w:b/>
          <w:bCs/>
          <w:color w:val="000000"/>
          <w:sz w:val="32"/>
          <w:szCs w:val="32"/>
          <w:highlight w:val="none"/>
          <w:shd w:val="clear" w:color="auto" w:fill="FFFFFF"/>
        </w:rPr>
        <w:t>关于</w:t>
      </w:r>
      <w:r>
        <w:rPr>
          <w:rFonts w:hint="eastAsia" w:ascii="宋体" w:hAnsi="宋体" w:eastAsia="宋体" w:cs="宋体"/>
          <w:b/>
          <w:bCs/>
          <w:sz w:val="32"/>
          <w:szCs w:val="32"/>
          <w:highlight w:val="none"/>
          <w:shd w:val="clear" w:color="auto" w:fill="FFFFFF"/>
        </w:rPr>
        <w:t>202</w:t>
      </w:r>
      <w:r>
        <w:rPr>
          <w:rFonts w:hint="eastAsia" w:ascii="宋体" w:hAnsi="宋体" w:eastAsia="宋体" w:cs="宋体"/>
          <w:b/>
          <w:bCs/>
          <w:sz w:val="32"/>
          <w:szCs w:val="32"/>
          <w:highlight w:val="none"/>
          <w:shd w:val="clear" w:color="auto" w:fill="FFFFFF"/>
          <w:lang w:val="en-US" w:eastAsia="zh-CN"/>
        </w:rPr>
        <w:t>3</w:t>
      </w:r>
      <w:r>
        <w:rPr>
          <w:rFonts w:hint="eastAsia" w:ascii="宋体" w:hAnsi="宋体" w:eastAsia="宋体" w:cs="宋体"/>
          <w:b/>
          <w:bCs/>
          <w:sz w:val="32"/>
          <w:szCs w:val="32"/>
          <w:highlight w:val="none"/>
          <w:shd w:val="clear" w:color="auto" w:fill="FFFFFF"/>
        </w:rPr>
        <w:t>年度杭州富阳建筑工程质量检测有限公司设备</w:t>
      </w:r>
      <w:r>
        <w:rPr>
          <w:rFonts w:hint="eastAsia" w:ascii="宋体" w:hAnsi="宋体" w:eastAsia="宋体" w:cs="宋体"/>
          <w:b/>
          <w:bCs/>
          <w:sz w:val="32"/>
          <w:szCs w:val="32"/>
          <w:highlight w:val="none"/>
          <w:shd w:val="clear" w:color="auto" w:fill="FFFFFF"/>
          <w:lang w:val="en-US" w:eastAsia="zh-CN"/>
        </w:rPr>
        <w:t>检定</w:t>
      </w:r>
      <w:r>
        <w:rPr>
          <w:rFonts w:hint="eastAsia" w:ascii="宋体" w:hAnsi="宋体" w:eastAsia="宋体" w:cs="宋体"/>
          <w:b/>
          <w:bCs/>
          <w:sz w:val="32"/>
          <w:szCs w:val="32"/>
          <w:highlight w:val="none"/>
          <w:shd w:val="clear" w:color="auto" w:fill="FFFFFF"/>
        </w:rPr>
        <w:t>（</w:t>
      </w:r>
      <w:r>
        <w:rPr>
          <w:rFonts w:hint="eastAsia" w:ascii="宋体" w:hAnsi="宋体" w:eastAsia="宋体" w:cs="宋体"/>
          <w:b/>
          <w:bCs/>
          <w:sz w:val="32"/>
          <w:szCs w:val="32"/>
          <w:highlight w:val="none"/>
          <w:shd w:val="clear" w:color="auto" w:fill="FFFFFF"/>
          <w:lang w:val="en-US" w:eastAsia="zh-CN"/>
        </w:rPr>
        <w:t>校准</w:t>
      </w:r>
      <w:r>
        <w:rPr>
          <w:rFonts w:hint="eastAsia" w:ascii="宋体" w:hAnsi="宋体" w:eastAsia="宋体" w:cs="宋体"/>
          <w:b/>
          <w:bCs/>
          <w:sz w:val="32"/>
          <w:szCs w:val="32"/>
          <w:highlight w:val="none"/>
          <w:shd w:val="clear" w:color="auto" w:fill="FFFFFF"/>
        </w:rPr>
        <w:t>）服务</w:t>
      </w:r>
      <w:r>
        <w:rPr>
          <w:rFonts w:hint="eastAsia" w:ascii="宋体" w:hAnsi="宋体" w:eastAsia="宋体" w:cs="宋体"/>
          <w:b/>
          <w:bCs/>
          <w:sz w:val="32"/>
          <w:szCs w:val="32"/>
          <w:highlight w:val="none"/>
          <w:shd w:val="clear" w:color="auto" w:fill="FFFFFF"/>
          <w:lang w:val="en-US" w:eastAsia="zh-CN"/>
        </w:rPr>
        <w:t>采购</w:t>
      </w:r>
      <w:r>
        <w:rPr>
          <w:rFonts w:hint="eastAsia" w:ascii="宋体" w:hAnsi="宋体" w:eastAsia="宋体" w:cs="宋体"/>
          <w:b/>
          <w:bCs/>
          <w:sz w:val="32"/>
          <w:szCs w:val="32"/>
          <w:highlight w:val="none"/>
          <w:shd w:val="clear" w:color="auto" w:fill="FFFFFF"/>
        </w:rPr>
        <w:t>项目</w:t>
      </w:r>
    </w:p>
    <w:p>
      <w:pPr>
        <w:pStyle w:val="11"/>
        <w:rPr>
          <w:rFonts w:hint="eastAsia" w:ascii="宋体" w:hAnsi="宋体" w:eastAsia="宋体" w:cs="宋体"/>
          <w:b/>
          <w:bCs/>
          <w:color w:val="000000"/>
          <w:sz w:val="32"/>
          <w:szCs w:val="32"/>
          <w:highlight w:val="none"/>
          <w:shd w:val="clear" w:color="auto" w:fill="FFFFFF"/>
        </w:rPr>
      </w:pPr>
      <w:r>
        <w:rPr>
          <w:rFonts w:hint="eastAsia" w:ascii="宋体" w:hAnsi="宋体" w:eastAsia="宋体" w:cs="宋体"/>
          <w:b/>
          <w:bCs/>
          <w:color w:val="000000"/>
          <w:sz w:val="32"/>
          <w:szCs w:val="32"/>
          <w:highlight w:val="none"/>
          <w:shd w:val="clear" w:color="auto" w:fill="FFFFFF"/>
        </w:rPr>
        <w:t>在线询价商务要求</w:t>
      </w:r>
    </w:p>
    <w:p>
      <w:pPr>
        <w:pStyle w:val="11"/>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一、项目概况</w:t>
      </w:r>
    </w:p>
    <w:tbl>
      <w:tblPr>
        <w:tblStyle w:val="12"/>
        <w:tblW w:w="10107" w:type="dxa"/>
        <w:tblInd w:w="-38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2"/>
        <w:gridCol w:w="2024"/>
        <w:gridCol w:w="960"/>
        <w:gridCol w:w="765"/>
        <w:gridCol w:w="1583"/>
        <w:gridCol w:w="2228"/>
        <w:gridCol w:w="13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1202" w:type="dxa"/>
            <w:tcBorders>
              <w:top w:val="single" w:color="auto" w:sz="4" w:space="0"/>
              <w:left w:val="single" w:color="auto" w:sz="4" w:space="0"/>
              <w:bottom w:val="single" w:color="auto" w:sz="4" w:space="0"/>
              <w:right w:val="single" w:color="auto" w:sz="4" w:space="0"/>
            </w:tcBorders>
            <w:vAlign w:val="center"/>
          </w:tcPr>
          <w:p>
            <w:pPr>
              <w:spacing w:before="156" w:line="2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2024" w:type="dxa"/>
            <w:tcBorders>
              <w:top w:val="single" w:color="auto" w:sz="4" w:space="0"/>
              <w:left w:val="single" w:color="auto" w:sz="4" w:space="0"/>
              <w:bottom w:val="single" w:color="auto" w:sz="4" w:space="0"/>
              <w:right w:val="single" w:color="auto" w:sz="4" w:space="0"/>
            </w:tcBorders>
            <w:vAlign w:val="center"/>
          </w:tcPr>
          <w:p>
            <w:pPr>
              <w:spacing w:before="156" w:line="2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960" w:type="dxa"/>
            <w:tcBorders>
              <w:top w:val="single" w:color="auto" w:sz="4" w:space="0"/>
              <w:left w:val="single" w:color="auto" w:sz="4" w:space="0"/>
              <w:bottom w:val="single" w:color="auto" w:sz="4" w:space="0"/>
              <w:right w:val="single" w:color="auto" w:sz="4" w:space="0"/>
            </w:tcBorders>
            <w:vAlign w:val="center"/>
          </w:tcPr>
          <w:p>
            <w:pPr>
              <w:spacing w:before="156" w:line="2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p>
            <w:pPr>
              <w:spacing w:before="156" w:line="28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暂估</w:t>
            </w:r>
            <w:r>
              <w:rPr>
                <w:rFonts w:hint="eastAsia" w:ascii="宋体" w:hAnsi="宋体" w:eastAsia="宋体" w:cs="宋体"/>
                <w:sz w:val="24"/>
                <w:szCs w:val="24"/>
                <w:highlight w:val="none"/>
                <w:lang w:eastAsia="zh-CN"/>
              </w:rPr>
              <w:t>）</w:t>
            </w:r>
          </w:p>
        </w:tc>
        <w:tc>
          <w:tcPr>
            <w:tcW w:w="765" w:type="dxa"/>
            <w:tcBorders>
              <w:top w:val="single" w:color="auto" w:sz="4" w:space="0"/>
              <w:left w:val="single" w:color="auto" w:sz="4" w:space="0"/>
              <w:bottom w:val="single" w:color="auto" w:sz="4" w:space="0"/>
              <w:right w:val="single" w:color="auto" w:sz="4" w:space="0"/>
            </w:tcBorders>
            <w:vAlign w:val="center"/>
          </w:tcPr>
          <w:p>
            <w:pPr>
              <w:spacing w:before="156" w:line="2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单位</w:t>
            </w:r>
          </w:p>
        </w:tc>
        <w:tc>
          <w:tcPr>
            <w:tcW w:w="1583" w:type="dxa"/>
            <w:tcBorders>
              <w:top w:val="single" w:color="auto" w:sz="4" w:space="0"/>
              <w:left w:val="single" w:color="auto" w:sz="4" w:space="0"/>
              <w:bottom w:val="single" w:color="auto" w:sz="4" w:space="0"/>
              <w:right w:val="single" w:color="auto" w:sz="4" w:space="0"/>
            </w:tcBorders>
            <w:vAlign w:val="center"/>
          </w:tcPr>
          <w:p>
            <w:pPr>
              <w:spacing w:before="156" w:line="2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总价</w:t>
            </w:r>
            <w:r>
              <w:rPr>
                <w:rFonts w:hint="eastAsia" w:ascii="宋体" w:hAnsi="宋体" w:eastAsia="宋体" w:cs="宋体"/>
                <w:sz w:val="24"/>
                <w:szCs w:val="24"/>
                <w:highlight w:val="none"/>
              </w:rPr>
              <w:t>最高限价(元)</w:t>
            </w:r>
          </w:p>
        </w:tc>
        <w:tc>
          <w:tcPr>
            <w:tcW w:w="2228" w:type="dxa"/>
            <w:tcBorders>
              <w:top w:val="single" w:color="auto" w:sz="4" w:space="0"/>
              <w:left w:val="single" w:color="auto" w:sz="4" w:space="0"/>
              <w:bottom w:val="single" w:color="auto" w:sz="4" w:space="0"/>
              <w:right w:val="single" w:color="auto" w:sz="4" w:space="0"/>
            </w:tcBorders>
            <w:vAlign w:val="center"/>
          </w:tcPr>
          <w:p>
            <w:pPr>
              <w:spacing w:before="156" w:line="2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简要规格描述</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156" w:line="2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1202" w:type="dxa"/>
            <w:tcBorders>
              <w:top w:val="single" w:color="auto" w:sz="4" w:space="0"/>
              <w:left w:val="single" w:color="auto" w:sz="4" w:space="0"/>
              <w:bottom w:val="single" w:color="auto" w:sz="4" w:space="0"/>
              <w:right w:val="single" w:color="auto" w:sz="4" w:space="0"/>
            </w:tcBorders>
            <w:vAlign w:val="center"/>
          </w:tcPr>
          <w:p>
            <w:pPr>
              <w:pStyle w:val="8"/>
              <w:spacing w:after="156" w:line="280" w:lineRule="exact"/>
              <w:jc w:val="center"/>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024" w:type="dxa"/>
            <w:tcBorders>
              <w:top w:val="single" w:color="auto" w:sz="4" w:space="0"/>
              <w:left w:val="single" w:color="auto" w:sz="4" w:space="0"/>
              <w:bottom w:val="single" w:color="auto" w:sz="4" w:space="0"/>
              <w:right w:val="single" w:color="auto" w:sz="4" w:space="0"/>
            </w:tcBorders>
            <w:vAlign w:val="center"/>
          </w:tcPr>
          <w:p>
            <w:pPr>
              <w:pStyle w:val="8"/>
              <w:spacing w:line="300" w:lineRule="exact"/>
              <w:jc w:val="center"/>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关于2023年度杭州富阳建筑工程质量检测有限公司设备检定（校准）服务采购项目</w:t>
            </w:r>
          </w:p>
        </w:tc>
        <w:tc>
          <w:tcPr>
            <w:tcW w:w="960" w:type="dxa"/>
            <w:tcBorders>
              <w:top w:val="single" w:color="auto" w:sz="4" w:space="0"/>
              <w:left w:val="single" w:color="auto" w:sz="4" w:space="0"/>
              <w:bottom w:val="single" w:color="auto" w:sz="4" w:space="0"/>
              <w:right w:val="single" w:color="auto" w:sz="4" w:space="0"/>
            </w:tcBorders>
            <w:vAlign w:val="center"/>
          </w:tcPr>
          <w:p>
            <w:pPr>
              <w:pStyle w:val="8"/>
              <w:spacing w:line="300" w:lineRule="exact"/>
              <w:jc w:val="center"/>
              <w:outlineLvl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256</w:t>
            </w:r>
          </w:p>
        </w:tc>
        <w:tc>
          <w:tcPr>
            <w:tcW w:w="765" w:type="dxa"/>
            <w:tcBorders>
              <w:top w:val="single" w:color="auto" w:sz="4" w:space="0"/>
              <w:left w:val="single" w:color="auto" w:sz="4" w:space="0"/>
              <w:bottom w:val="single" w:color="auto" w:sz="4" w:space="0"/>
              <w:right w:val="single" w:color="auto" w:sz="4" w:space="0"/>
            </w:tcBorders>
            <w:vAlign w:val="center"/>
          </w:tcPr>
          <w:p>
            <w:pPr>
              <w:pStyle w:val="8"/>
              <w:spacing w:line="300" w:lineRule="exact"/>
              <w:jc w:val="center"/>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台（套）·次</w:t>
            </w:r>
          </w:p>
        </w:tc>
        <w:tc>
          <w:tcPr>
            <w:tcW w:w="1583" w:type="dxa"/>
            <w:tcBorders>
              <w:top w:val="single" w:color="auto" w:sz="4" w:space="0"/>
              <w:left w:val="single" w:color="auto" w:sz="4" w:space="0"/>
              <w:bottom w:val="single" w:color="auto" w:sz="4" w:space="0"/>
              <w:right w:val="single" w:color="auto" w:sz="4" w:space="0"/>
            </w:tcBorders>
            <w:vAlign w:val="center"/>
          </w:tcPr>
          <w:p>
            <w:pPr>
              <w:pStyle w:val="8"/>
              <w:spacing w:line="300" w:lineRule="exact"/>
              <w:jc w:val="center"/>
              <w:outlineLvl w:val="0"/>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85319</w:t>
            </w:r>
          </w:p>
        </w:tc>
        <w:tc>
          <w:tcPr>
            <w:tcW w:w="2228" w:type="dxa"/>
            <w:tcBorders>
              <w:top w:val="single" w:color="auto" w:sz="4" w:space="0"/>
              <w:left w:val="single" w:color="auto" w:sz="4" w:space="0"/>
              <w:bottom w:val="single" w:color="auto" w:sz="4" w:space="0"/>
              <w:right w:val="single" w:color="auto" w:sz="4" w:space="0"/>
            </w:tcBorders>
            <w:vAlign w:val="center"/>
          </w:tcPr>
          <w:p>
            <w:pPr>
              <w:pStyle w:val="8"/>
              <w:spacing w:line="300" w:lineRule="exact"/>
              <w:jc w:val="left"/>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关于2023年度杭州富阳建筑工程质量检测有限公司设备检定（校准）</w:t>
            </w:r>
          </w:p>
        </w:tc>
        <w:tc>
          <w:tcPr>
            <w:tcW w:w="1345" w:type="dxa"/>
            <w:tcBorders>
              <w:top w:val="single" w:color="auto" w:sz="4" w:space="0"/>
              <w:left w:val="single" w:color="auto" w:sz="4" w:space="0"/>
              <w:bottom w:val="single" w:color="auto" w:sz="4" w:space="0"/>
              <w:right w:val="single" w:color="auto" w:sz="4" w:space="0"/>
            </w:tcBorders>
            <w:vAlign w:val="center"/>
          </w:tcPr>
          <w:p>
            <w:pPr>
              <w:pStyle w:val="8"/>
              <w:spacing w:line="300" w:lineRule="exact"/>
              <w:jc w:val="both"/>
              <w:outlineLvl w:val="0"/>
              <w:rPr>
                <w:rFonts w:hint="eastAsia" w:ascii="宋体" w:hAnsi="宋体" w:eastAsia="宋体" w:cs="宋体"/>
                <w:sz w:val="24"/>
                <w:szCs w:val="24"/>
                <w:highlight w:val="none"/>
              </w:rPr>
            </w:pPr>
          </w:p>
        </w:tc>
      </w:tr>
    </w:tbl>
    <w:p>
      <w:pPr>
        <w:spacing w:line="440" w:lineRule="exact"/>
        <w:ind w:firstLine="482" w:firstLineChars="200"/>
        <w:rPr>
          <w:rFonts w:hint="eastAsia" w:ascii="宋体" w:hAnsi="宋体" w:eastAsia="宋体" w:cs="宋体"/>
          <w:b/>
          <w:bCs/>
          <w:sz w:val="24"/>
          <w:szCs w:val="24"/>
          <w:highlight w:val="none"/>
        </w:rPr>
      </w:pPr>
    </w:p>
    <w:p>
      <w:pPr>
        <w:numPr>
          <w:ilvl w:val="0"/>
          <w:numId w:val="0"/>
        </w:numPr>
        <w:spacing w:line="440" w:lineRule="exact"/>
        <w:jc w:val="left"/>
        <w:rPr>
          <w:rFonts w:hint="eastAsia" w:ascii="宋体" w:hAnsi="宋体" w:eastAsia="宋体" w:cs="宋体"/>
          <w:sz w:val="24"/>
          <w:szCs w:val="24"/>
          <w:highlight w:val="none"/>
        </w:rPr>
      </w:pPr>
      <w:r>
        <w:rPr>
          <w:rFonts w:hint="eastAsia" w:ascii="宋体" w:hAnsi="宋体" w:cs="宋体"/>
          <w:b/>
          <w:bCs/>
          <w:sz w:val="24"/>
          <w:szCs w:val="24"/>
          <w:highlight w:val="none"/>
          <w:lang w:eastAsia="zh-CN"/>
        </w:rPr>
        <w:t>二、</w:t>
      </w:r>
      <w:r>
        <w:rPr>
          <w:rFonts w:hint="eastAsia" w:ascii="宋体" w:hAnsi="宋体" w:eastAsia="宋体" w:cs="宋体"/>
          <w:b/>
          <w:bCs/>
          <w:sz w:val="24"/>
          <w:szCs w:val="24"/>
          <w:highlight w:val="none"/>
        </w:rPr>
        <w:t>采购清单及最高限价</w:t>
      </w:r>
    </w:p>
    <w:tbl>
      <w:tblPr>
        <w:tblStyle w:val="12"/>
        <w:tblW w:w="8842" w:type="dxa"/>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733"/>
        <w:gridCol w:w="1319"/>
        <w:gridCol w:w="1319"/>
        <w:gridCol w:w="1278"/>
        <w:gridCol w:w="1278"/>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82" w:type="dxa"/>
            <w:shd w:val="clear" w:color="000000" w:fill="FFFFFF"/>
            <w:noWrap/>
            <w:vAlign w:val="center"/>
          </w:tcPr>
          <w:p>
            <w:pPr>
              <w:spacing w:before="156" w:line="2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733" w:type="dxa"/>
            <w:shd w:val="clear" w:color="000000" w:fill="FFFFFF"/>
            <w:noWrap/>
            <w:vAlign w:val="center"/>
          </w:tcPr>
          <w:p>
            <w:pPr>
              <w:spacing w:before="156" w:line="2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货物名称</w:t>
            </w:r>
          </w:p>
        </w:tc>
        <w:tc>
          <w:tcPr>
            <w:tcW w:w="1319" w:type="dxa"/>
            <w:shd w:val="clear" w:color="000000" w:fill="FFFFFF"/>
            <w:noWrap/>
            <w:vAlign w:val="center"/>
          </w:tcPr>
          <w:p>
            <w:pPr>
              <w:spacing w:before="156" w:line="2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p>
            <w:pPr>
              <w:spacing w:before="156" w:line="2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（暂估）</w:t>
            </w:r>
          </w:p>
        </w:tc>
        <w:tc>
          <w:tcPr>
            <w:tcW w:w="1319" w:type="dxa"/>
            <w:shd w:val="clear" w:color="000000" w:fill="FFFFFF"/>
            <w:noWrap/>
            <w:vAlign w:val="center"/>
          </w:tcPr>
          <w:p>
            <w:pPr>
              <w:spacing w:before="156" w:line="28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单位</w:t>
            </w:r>
          </w:p>
        </w:tc>
        <w:tc>
          <w:tcPr>
            <w:tcW w:w="1278" w:type="dxa"/>
            <w:shd w:val="clear" w:color="000000" w:fill="FFFFFF"/>
            <w:noWrap/>
            <w:vAlign w:val="center"/>
          </w:tcPr>
          <w:p>
            <w:pPr>
              <w:spacing w:before="156" w:line="28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单价最高限价（元）</w:t>
            </w:r>
          </w:p>
        </w:tc>
        <w:tc>
          <w:tcPr>
            <w:tcW w:w="1278" w:type="dxa"/>
            <w:shd w:val="clear" w:color="000000" w:fill="FFFFFF"/>
            <w:noWrap/>
            <w:vAlign w:val="center"/>
          </w:tcPr>
          <w:p>
            <w:pPr>
              <w:spacing w:before="156" w:line="2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总价最高限价（元）</w:t>
            </w:r>
          </w:p>
        </w:tc>
        <w:tc>
          <w:tcPr>
            <w:tcW w:w="1233" w:type="dxa"/>
            <w:shd w:val="clear" w:color="000000" w:fill="FFFFFF"/>
            <w:noWrap/>
            <w:vAlign w:val="center"/>
          </w:tcPr>
          <w:p>
            <w:pPr>
              <w:spacing w:before="156" w:line="28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2" w:type="dxa"/>
            <w:noWrap/>
            <w:vAlign w:val="center"/>
          </w:tcPr>
          <w:p>
            <w:pPr>
              <w:spacing w:before="156" w:line="280" w:lineRule="exact"/>
              <w:jc w:val="center"/>
              <w:rPr>
                <w:rFonts w:hint="eastAsia" w:ascii="宋体" w:hAnsi="宋体" w:eastAsia="宋体" w:cs="宋体"/>
                <w:sz w:val="24"/>
                <w:szCs w:val="24"/>
                <w:highlight w:val="none"/>
              </w:rPr>
            </w:pPr>
            <w:bookmarkStart w:id="0" w:name="OLE_LINK1" w:colFirst="2" w:colLast="2"/>
            <w:bookmarkStart w:id="1" w:name="OLE_LINK3" w:colFirst="2" w:colLast="3"/>
            <w:bookmarkStart w:id="2" w:name="OLE_LINK2" w:colFirst="2" w:colLast="2"/>
            <w:r>
              <w:rPr>
                <w:rFonts w:hint="eastAsia" w:ascii="宋体" w:hAnsi="宋体" w:eastAsia="宋体" w:cs="宋体"/>
                <w:sz w:val="24"/>
                <w:szCs w:val="24"/>
                <w:highlight w:val="none"/>
              </w:rPr>
              <w:t>1</w:t>
            </w:r>
          </w:p>
        </w:tc>
        <w:tc>
          <w:tcPr>
            <w:tcW w:w="1733" w:type="dxa"/>
            <w:noWrap/>
            <w:vAlign w:val="center"/>
          </w:tcPr>
          <w:p>
            <w:pPr>
              <w:spacing w:before="156" w:line="28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vertAlign w:val="baseline"/>
                <w:lang w:val="en-US" w:eastAsia="zh-CN"/>
              </w:rPr>
              <w:t>关于2023年度杭州富阳建筑工程质量检测有限公司设备检定（校准）服务采购项目</w:t>
            </w:r>
          </w:p>
        </w:tc>
        <w:tc>
          <w:tcPr>
            <w:tcW w:w="1319" w:type="dxa"/>
            <w:noWrap/>
            <w:vAlign w:val="center"/>
          </w:tcPr>
          <w:p>
            <w:pPr>
              <w:spacing w:before="156" w:line="28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256</w:t>
            </w:r>
          </w:p>
        </w:tc>
        <w:tc>
          <w:tcPr>
            <w:tcW w:w="1319"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kern w:val="2"/>
                <w:sz w:val="24"/>
                <w:szCs w:val="24"/>
                <w:highlight w:val="none"/>
                <w:lang w:val="en-US" w:eastAsia="zh-CN" w:bidi="ar-SA"/>
              </w:rPr>
              <w:t>台（套）·次</w:t>
            </w:r>
          </w:p>
        </w:tc>
        <w:tc>
          <w:tcPr>
            <w:tcW w:w="127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详见报价</w:t>
            </w:r>
            <w:r>
              <w:rPr>
                <w:rFonts w:hint="eastAsia" w:ascii="宋体" w:hAnsi="宋体" w:cs="宋体"/>
                <w:i w:val="0"/>
                <w:iCs w:val="0"/>
                <w:color w:val="000000"/>
                <w:kern w:val="0"/>
                <w:sz w:val="24"/>
                <w:szCs w:val="24"/>
                <w:highlight w:val="none"/>
                <w:u w:val="none"/>
                <w:lang w:val="en-US" w:eastAsia="zh-CN" w:bidi="ar"/>
              </w:rPr>
              <w:t>清单</w:t>
            </w:r>
          </w:p>
        </w:tc>
        <w:tc>
          <w:tcPr>
            <w:tcW w:w="127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85319</w:t>
            </w:r>
          </w:p>
        </w:tc>
        <w:tc>
          <w:tcPr>
            <w:tcW w:w="1233" w:type="dxa"/>
            <w:noWrap/>
            <w:vAlign w:val="center"/>
          </w:tcPr>
          <w:p>
            <w:pPr>
              <w:spacing w:before="156" w:line="280" w:lineRule="exact"/>
              <w:jc w:val="center"/>
              <w:rPr>
                <w:rFonts w:hint="eastAsia" w:ascii="宋体" w:hAnsi="宋体" w:eastAsia="宋体" w:cs="宋体"/>
                <w:sz w:val="24"/>
                <w:szCs w:val="24"/>
                <w:highlight w:val="none"/>
                <w:lang w:val="en-US"/>
              </w:rPr>
            </w:pPr>
          </w:p>
        </w:tc>
      </w:tr>
      <w:bookmarkEnd w:id="0"/>
      <w:bookmarkEnd w:id="1"/>
      <w:bookmarkEnd w:id="2"/>
    </w:tbl>
    <w:p>
      <w:pPr>
        <w:pStyle w:val="4"/>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sz w:val="24"/>
          <w:szCs w:val="24"/>
          <w:highlight w:val="none"/>
          <w:lang w:eastAsia="zh-CN"/>
        </w:rPr>
      </w:pPr>
      <w:r>
        <w:rPr>
          <w:rFonts w:hint="eastAsia" w:ascii="宋体" w:hAnsi="宋体" w:eastAsia="宋体" w:cs="宋体"/>
          <w:b/>
          <w:bCs/>
          <w:sz w:val="24"/>
          <w:szCs w:val="24"/>
          <w:highlight w:val="none"/>
        </w:rPr>
        <w:t>注：</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以上检定（校准）设备要求检定/校准机构委派人员来杭州富阳建筑工程质量检测有限公司仪器设备现场检测，现场检测不了的，来回搬运费应包含在报价内，自行前往接送；年度需2次以上检定（校准）设备，需按规定间隔时间进行；如增加设备，按同类设备报价参照执行，无比较新设备参照市场价（需3家以上单位询价）下浮20%</w:t>
      </w:r>
      <w:r>
        <w:rPr>
          <w:rFonts w:hint="eastAsia" w:ascii="宋体" w:hAnsi="宋体" w:eastAsia="宋体" w:cs="宋体"/>
          <w:sz w:val="24"/>
          <w:szCs w:val="24"/>
          <w:highlight w:val="none"/>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64"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本次报价为综合单价，报价必须包括所有与本项目服务相关的、有关本项目实施所涉及的一切费用。报价应为完成本项目所发生的各项费用之和，应包括设备鉴定、校准、交通费、利润、税金、合同条款规定的保险、政策性文件规定及合同包含的所有风险、责任及措施、应支付的专利权、版权或其他知识产权一切费用等费用，以及可能发生的各种费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64"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未按商务需求报价要求进行填报或错报，视为不响应商务文件，</w:t>
      </w:r>
      <w:r>
        <w:rPr>
          <w:rFonts w:hint="eastAsia" w:ascii="宋体" w:hAnsi="宋体" w:eastAsia="宋体" w:cs="宋体"/>
          <w:sz w:val="24"/>
          <w:szCs w:val="24"/>
          <w:highlight w:val="none"/>
          <w:lang w:val="en-US" w:eastAsia="zh-CN"/>
        </w:rPr>
        <w:t>招标人可以</w:t>
      </w:r>
      <w:r>
        <w:rPr>
          <w:rFonts w:hint="eastAsia" w:ascii="宋体" w:hAnsi="宋体" w:eastAsia="宋体" w:cs="宋体"/>
          <w:sz w:val="24"/>
          <w:szCs w:val="24"/>
          <w:highlight w:val="none"/>
        </w:rPr>
        <w:t>取消中标资格。</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66" w:firstLineChars="200"/>
        <w:jc w:val="left"/>
        <w:textAlignment w:val="auto"/>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en-US" w:eastAsia="zh-CN"/>
        </w:rPr>
        <w:t>4.</w:t>
      </w:r>
      <w:r>
        <w:rPr>
          <w:rFonts w:hint="eastAsia" w:ascii="宋体" w:hAnsi="宋体" w:eastAsia="宋体" w:cs="宋体"/>
          <w:b/>
          <w:bCs/>
          <w:sz w:val="24"/>
          <w:szCs w:val="24"/>
          <w:highlight w:val="none"/>
          <w:lang w:val="zh-CN"/>
        </w:rPr>
        <w:t>“报价一览表”为多页的，每页均需加盖投标人公章。</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64"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5.本次数量为</w:t>
      </w:r>
      <w:r>
        <w:rPr>
          <w:rFonts w:hint="eastAsia" w:ascii="宋体" w:hAnsi="宋体" w:eastAsia="宋体" w:cs="宋体"/>
          <w:sz w:val="24"/>
          <w:szCs w:val="24"/>
          <w:highlight w:val="none"/>
          <w:lang w:val="zh-CN" w:eastAsia="zh-CN"/>
        </w:rPr>
        <w:t>暂估数量，具体数量按实际</w:t>
      </w:r>
      <w:r>
        <w:rPr>
          <w:rFonts w:hint="eastAsia" w:ascii="宋体" w:hAnsi="宋体" w:eastAsia="宋体" w:cs="宋体"/>
          <w:sz w:val="24"/>
          <w:szCs w:val="24"/>
          <w:highlight w:val="none"/>
          <w:lang w:val="en-US" w:eastAsia="zh-CN"/>
        </w:rPr>
        <w:t>数量结合中标</w:t>
      </w:r>
      <w:r>
        <w:rPr>
          <w:rFonts w:hint="eastAsia" w:ascii="宋体" w:hAnsi="宋体" w:eastAsia="宋体" w:cs="宋体"/>
          <w:sz w:val="24"/>
          <w:szCs w:val="24"/>
          <w:highlight w:val="none"/>
          <w:lang w:val="zh-CN" w:eastAsia="zh-CN"/>
        </w:rPr>
        <w:t>价结算。</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66" w:firstLineChars="200"/>
        <w:jc w:val="left"/>
        <w:textAlignment w:val="auto"/>
        <w:rPr>
          <w:rFonts w:hint="eastAsia" w:ascii="宋体" w:hAnsi="宋体" w:eastAsia="宋体" w:cs="宋体"/>
          <w:b/>
          <w:bCs/>
          <w:sz w:val="24"/>
          <w:szCs w:val="24"/>
          <w:highlight w:val="none"/>
          <w:lang w:val="zh-CN"/>
        </w:rPr>
      </w:pPr>
      <w:r>
        <w:rPr>
          <w:rFonts w:hint="eastAsia" w:ascii="宋体" w:hAnsi="宋体" w:eastAsia="宋体" w:cs="宋体"/>
          <w:b/>
          <w:bCs/>
          <w:sz w:val="24"/>
          <w:szCs w:val="24"/>
          <w:highlight w:val="none"/>
          <w:lang w:val="en-US" w:eastAsia="zh-CN"/>
        </w:rPr>
        <w:t>6.</w:t>
      </w:r>
      <w:r>
        <w:rPr>
          <w:rFonts w:hint="eastAsia" w:ascii="宋体" w:hAnsi="宋体" w:eastAsia="宋体" w:cs="宋体"/>
          <w:b/>
          <w:bCs/>
          <w:sz w:val="24"/>
          <w:szCs w:val="24"/>
          <w:highlight w:val="none"/>
          <w:lang w:val="zh-CN"/>
        </w:rPr>
        <w:t>投标报价以人民币为结算币种，各种招标规格</w:t>
      </w:r>
      <w:r>
        <w:rPr>
          <w:rFonts w:hint="eastAsia" w:ascii="宋体" w:hAnsi="宋体" w:eastAsia="宋体" w:cs="宋体"/>
          <w:b/>
          <w:bCs/>
          <w:sz w:val="24"/>
          <w:szCs w:val="24"/>
          <w:highlight w:val="none"/>
          <w:lang w:val="en-US" w:eastAsia="zh-CN"/>
        </w:rPr>
        <w:t>型号设备</w:t>
      </w:r>
      <w:r>
        <w:rPr>
          <w:rFonts w:hint="eastAsia" w:ascii="宋体" w:hAnsi="宋体" w:eastAsia="宋体" w:cs="宋体"/>
          <w:b/>
          <w:bCs/>
          <w:sz w:val="24"/>
          <w:szCs w:val="24"/>
          <w:highlight w:val="none"/>
          <w:lang w:val="zh-CN"/>
        </w:rPr>
        <w:t>单价确定方式为：投标</w:t>
      </w:r>
      <w:r>
        <w:rPr>
          <w:rFonts w:hint="eastAsia" w:ascii="宋体" w:hAnsi="宋体" w:eastAsia="宋体" w:cs="宋体"/>
          <w:b/>
          <w:bCs/>
          <w:sz w:val="24"/>
          <w:szCs w:val="24"/>
          <w:highlight w:val="none"/>
          <w:lang w:val="en-US" w:eastAsia="zh-CN"/>
        </w:rPr>
        <w:t>报价</w:t>
      </w:r>
      <w:r>
        <w:rPr>
          <w:rFonts w:hint="eastAsia" w:ascii="宋体" w:hAnsi="宋体" w:eastAsia="宋体" w:cs="宋体"/>
          <w:b/>
          <w:bCs/>
          <w:sz w:val="24"/>
          <w:szCs w:val="24"/>
          <w:highlight w:val="none"/>
          <w:lang w:val="zh-CN"/>
        </w:rPr>
        <w:t>单价=各种规格最高限价</w:t>
      </w:r>
      <w:r>
        <w:rPr>
          <w:rFonts w:hint="eastAsia" w:ascii="宋体" w:hAnsi="宋体" w:eastAsia="宋体" w:cs="宋体"/>
          <w:b/>
          <w:bCs/>
          <w:sz w:val="24"/>
          <w:szCs w:val="24"/>
          <w:highlight w:val="none"/>
          <w:lang w:val="en-US" w:eastAsia="zh-CN"/>
        </w:rPr>
        <w:t>单价</w:t>
      </w:r>
      <w:r>
        <w:rPr>
          <w:rFonts w:hint="eastAsia" w:ascii="宋体" w:hAnsi="宋体" w:eastAsia="宋体" w:cs="宋体"/>
          <w:b/>
          <w:bCs/>
          <w:sz w:val="24"/>
          <w:szCs w:val="24"/>
          <w:highlight w:val="none"/>
          <w:lang w:val="zh-CN"/>
        </w:rPr>
        <w:t>*（1-投标</w:t>
      </w:r>
      <w:r>
        <w:rPr>
          <w:rFonts w:hint="eastAsia" w:ascii="宋体" w:hAnsi="宋体" w:eastAsia="宋体" w:cs="宋体"/>
          <w:b/>
          <w:bCs/>
          <w:sz w:val="24"/>
          <w:szCs w:val="24"/>
          <w:highlight w:val="none"/>
          <w:lang w:val="en-US" w:eastAsia="zh-CN"/>
        </w:rPr>
        <w:t>报价</w:t>
      </w:r>
      <w:r>
        <w:rPr>
          <w:rFonts w:hint="eastAsia" w:ascii="宋体" w:hAnsi="宋体" w:eastAsia="宋体" w:cs="宋体"/>
          <w:b/>
          <w:bCs/>
          <w:sz w:val="24"/>
          <w:szCs w:val="24"/>
          <w:highlight w:val="none"/>
          <w:lang w:val="zh-CN"/>
        </w:rPr>
        <w:t>统一下浮率）。投标单价及合价可保留至元。任一项超过</w:t>
      </w:r>
      <w:r>
        <w:rPr>
          <w:rFonts w:hint="eastAsia" w:ascii="宋体" w:hAnsi="宋体" w:eastAsia="宋体" w:cs="宋体"/>
          <w:b/>
          <w:bCs/>
          <w:sz w:val="24"/>
          <w:szCs w:val="24"/>
          <w:highlight w:val="none"/>
          <w:lang w:val="zh-CN" w:eastAsia="zh-CN"/>
        </w:rPr>
        <w:t>单价最高限价的</w:t>
      </w:r>
      <w:r>
        <w:rPr>
          <w:rFonts w:hint="eastAsia" w:ascii="宋体" w:hAnsi="宋体" w:eastAsia="宋体" w:cs="宋体"/>
          <w:b/>
          <w:bCs/>
          <w:sz w:val="24"/>
          <w:szCs w:val="24"/>
          <w:highlight w:val="none"/>
          <w:lang w:val="zh-CN"/>
        </w:rPr>
        <w:t>为无效报价，</w:t>
      </w:r>
      <w:r>
        <w:rPr>
          <w:rFonts w:hint="eastAsia" w:ascii="宋体" w:hAnsi="宋体" w:eastAsia="宋体" w:cs="宋体"/>
          <w:b/>
          <w:bCs/>
          <w:sz w:val="24"/>
          <w:szCs w:val="24"/>
          <w:highlight w:val="none"/>
          <w:lang w:val="en-US" w:eastAsia="zh-CN"/>
        </w:rPr>
        <w:t>投标总报价超过总最高限价的为无效报价，取消中标资格。</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233" w:firstLineChars="1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7.</w:t>
      </w:r>
      <w:r>
        <w:rPr>
          <w:rFonts w:hint="eastAsia" w:ascii="宋体" w:hAnsi="宋体" w:eastAsia="宋体" w:cs="宋体"/>
          <w:b/>
          <w:bCs/>
          <w:sz w:val="24"/>
          <w:szCs w:val="24"/>
          <w:highlight w:val="none"/>
          <w:lang w:val="zh-CN"/>
        </w:rPr>
        <w:t>投标总报价为各种</w:t>
      </w:r>
      <w:r>
        <w:rPr>
          <w:rFonts w:hint="eastAsia" w:ascii="宋体" w:hAnsi="宋体" w:eastAsia="宋体" w:cs="宋体"/>
          <w:b/>
          <w:bCs/>
          <w:sz w:val="24"/>
          <w:szCs w:val="24"/>
          <w:highlight w:val="none"/>
          <w:lang w:val="en-US" w:eastAsia="zh-CN"/>
        </w:rPr>
        <w:t>规格</w:t>
      </w:r>
      <w:r>
        <w:rPr>
          <w:rFonts w:hint="eastAsia" w:ascii="宋体" w:hAnsi="宋体" w:eastAsia="宋体" w:cs="宋体"/>
          <w:b/>
          <w:bCs/>
          <w:sz w:val="24"/>
          <w:szCs w:val="24"/>
          <w:highlight w:val="none"/>
          <w:lang w:val="zh-CN"/>
        </w:rPr>
        <w:t>经统一下浮计算结果之和。</w:t>
      </w:r>
    </w:p>
    <w:p>
      <w:pPr>
        <w:numPr>
          <w:ilvl w:val="0"/>
          <w:numId w:val="0"/>
        </w:numPr>
        <w:spacing w:line="440" w:lineRule="exact"/>
        <w:rPr>
          <w:rFonts w:hint="eastAsia" w:ascii="宋体" w:hAnsi="宋体" w:eastAsia="宋体" w:cs="宋体"/>
          <w:b/>
          <w:bCs/>
          <w:sz w:val="24"/>
          <w:szCs w:val="24"/>
          <w:highlight w:val="none"/>
        </w:rPr>
      </w:pPr>
      <w:r>
        <w:rPr>
          <w:rFonts w:hint="eastAsia" w:ascii="宋体" w:hAnsi="宋体" w:cs="宋体"/>
          <w:b/>
          <w:bCs/>
          <w:sz w:val="24"/>
          <w:szCs w:val="24"/>
          <w:highlight w:val="none"/>
          <w:lang w:eastAsia="zh-CN"/>
        </w:rPr>
        <w:t>三、</w:t>
      </w:r>
      <w:r>
        <w:rPr>
          <w:rFonts w:hint="eastAsia" w:ascii="宋体" w:hAnsi="宋体" w:eastAsia="宋体" w:cs="宋体"/>
          <w:b/>
          <w:bCs/>
          <w:sz w:val="24"/>
          <w:szCs w:val="24"/>
          <w:highlight w:val="none"/>
        </w:rPr>
        <w:t>资质要求</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color w:val="000000"/>
          <w:sz w:val="24"/>
          <w:szCs w:val="24"/>
          <w:highlight w:val="none"/>
          <w:shd w:val="clear" w:color="auto" w:fill="FFFFFF"/>
        </w:rPr>
      </w:pPr>
      <w:r>
        <w:rPr>
          <w:rFonts w:hint="eastAsia" w:ascii="宋体" w:hAnsi="宋体" w:eastAsia="宋体" w:cs="宋体"/>
          <w:b/>
          <w:bCs/>
          <w:color w:val="000000"/>
          <w:sz w:val="24"/>
          <w:szCs w:val="24"/>
          <w:highlight w:val="none"/>
          <w:shd w:val="clear" w:color="auto" w:fill="FFFFFF"/>
        </w:rPr>
        <w:t>资质</w:t>
      </w:r>
      <w:r>
        <w:rPr>
          <w:rFonts w:hint="eastAsia" w:ascii="宋体" w:hAnsi="宋体" w:eastAsia="宋体" w:cs="宋体"/>
          <w:b/>
          <w:bCs/>
          <w:color w:val="000000"/>
          <w:sz w:val="24"/>
          <w:szCs w:val="24"/>
          <w:highlight w:val="none"/>
          <w:shd w:val="clear" w:color="auto" w:fill="FFFFFF"/>
          <w:lang w:val="en-US" w:eastAsia="zh-CN"/>
        </w:rPr>
        <w:t>及服务</w:t>
      </w:r>
      <w:r>
        <w:rPr>
          <w:rFonts w:hint="eastAsia" w:ascii="宋体" w:hAnsi="宋体" w:eastAsia="宋体" w:cs="宋体"/>
          <w:b/>
          <w:bCs/>
          <w:color w:val="000000"/>
          <w:sz w:val="24"/>
          <w:szCs w:val="24"/>
          <w:highlight w:val="none"/>
          <w:shd w:val="clear" w:color="auto" w:fill="FFFFFF"/>
        </w:rPr>
        <w:t>要求</w:t>
      </w:r>
    </w:p>
    <w:p>
      <w:pPr>
        <w:pStyle w:val="2"/>
        <w:keepNext w:val="0"/>
        <w:keepLines w:val="0"/>
        <w:pageBreakBefore w:val="0"/>
        <w:kinsoku/>
        <w:wordWrap/>
        <w:overflowPunct/>
        <w:topLinePunct w:val="0"/>
        <w:autoSpaceDE/>
        <w:autoSpaceDN/>
        <w:bidi w:val="0"/>
        <w:adjustRightInd/>
        <w:snapToGrid/>
        <w:spacing w:after="0" w:line="360" w:lineRule="exact"/>
        <w:ind w:firstLine="31680"/>
        <w:textAlignment w:val="auto"/>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（1）符合相关文件规定，在中华人民共和国境内合法注册，具有本项目检测能力和承担民事责任能力的独立法人；</w:t>
      </w:r>
    </w:p>
    <w:p>
      <w:pPr>
        <w:pStyle w:val="2"/>
        <w:keepNext w:val="0"/>
        <w:keepLines w:val="0"/>
        <w:pageBreakBefore w:val="0"/>
        <w:kinsoku/>
        <w:wordWrap/>
        <w:overflowPunct/>
        <w:topLinePunct w:val="0"/>
        <w:autoSpaceDE/>
        <w:autoSpaceDN/>
        <w:bidi w:val="0"/>
        <w:adjustRightInd/>
        <w:snapToGrid/>
        <w:spacing w:after="0" w:line="360" w:lineRule="exact"/>
        <w:ind w:firstLine="31680"/>
        <w:textAlignment w:val="auto"/>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（2）</w:t>
      </w:r>
      <w:r>
        <w:rPr>
          <w:rFonts w:hint="eastAsia" w:ascii="宋体" w:hAnsi="宋体" w:eastAsia="宋体" w:cs="宋体"/>
          <w:b/>
          <w:bCs/>
          <w:color w:val="000000"/>
          <w:sz w:val="24"/>
          <w:szCs w:val="24"/>
          <w:highlight w:val="none"/>
          <w:shd w:val="clear" w:color="auto" w:fill="FFFFFF"/>
        </w:rPr>
        <w:t>营业执照</w:t>
      </w:r>
      <w:r>
        <w:rPr>
          <w:rFonts w:hint="eastAsia" w:ascii="宋体" w:hAnsi="宋体" w:eastAsia="宋体" w:cs="宋体"/>
          <w:color w:val="000000"/>
          <w:sz w:val="24"/>
          <w:szCs w:val="24"/>
          <w:highlight w:val="none"/>
          <w:shd w:val="clear" w:color="auto" w:fill="FFFFFF"/>
        </w:rPr>
        <w:t>经营范围内具有设备</w:t>
      </w:r>
      <w:r>
        <w:rPr>
          <w:rFonts w:hint="eastAsia" w:ascii="宋体" w:hAnsi="宋体" w:eastAsia="宋体" w:cs="宋体"/>
          <w:color w:val="000000"/>
          <w:sz w:val="24"/>
          <w:szCs w:val="24"/>
          <w:highlight w:val="none"/>
          <w:shd w:val="clear" w:color="auto" w:fill="FFFFFF"/>
          <w:lang w:val="en-US" w:eastAsia="zh-CN"/>
        </w:rPr>
        <w:t>检定</w:t>
      </w:r>
      <w:r>
        <w:rPr>
          <w:rFonts w:hint="eastAsia" w:ascii="宋体" w:hAnsi="宋体" w:eastAsia="宋体" w:cs="宋体"/>
          <w:color w:val="000000"/>
          <w:sz w:val="24"/>
          <w:szCs w:val="24"/>
          <w:highlight w:val="none"/>
          <w:shd w:val="clear" w:color="auto" w:fill="FFFFFF"/>
        </w:rPr>
        <w:t>、校准服务等与本项目相适应的内容；</w:t>
      </w:r>
    </w:p>
    <w:p>
      <w:pPr>
        <w:pStyle w:val="2"/>
        <w:keepNext w:val="0"/>
        <w:keepLines w:val="0"/>
        <w:pageBreakBefore w:val="0"/>
        <w:kinsoku/>
        <w:wordWrap/>
        <w:overflowPunct/>
        <w:topLinePunct w:val="0"/>
        <w:autoSpaceDE/>
        <w:autoSpaceDN/>
        <w:bidi w:val="0"/>
        <w:adjustRightInd/>
        <w:snapToGrid/>
        <w:spacing w:after="0" w:line="360" w:lineRule="exact"/>
        <w:ind w:firstLine="31680"/>
        <w:textAlignment w:val="auto"/>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w:t>
      </w:r>
      <w:r>
        <w:rPr>
          <w:rFonts w:hint="eastAsia" w:ascii="宋体" w:hAnsi="宋体" w:eastAsia="宋体" w:cs="宋体"/>
          <w:color w:val="000000"/>
          <w:sz w:val="24"/>
          <w:szCs w:val="24"/>
          <w:highlight w:val="none"/>
          <w:shd w:val="clear" w:color="auto" w:fill="FFFFFF"/>
          <w:lang w:val="en-US" w:eastAsia="zh-CN"/>
        </w:rPr>
        <w:t>3</w:t>
      </w:r>
      <w:r>
        <w:rPr>
          <w:rFonts w:hint="eastAsia" w:ascii="宋体" w:hAnsi="宋体" w:eastAsia="宋体" w:cs="宋体"/>
          <w:color w:val="000000"/>
          <w:sz w:val="24"/>
          <w:szCs w:val="24"/>
          <w:highlight w:val="none"/>
          <w:shd w:val="clear" w:color="auto" w:fill="FFFFFF"/>
        </w:rPr>
        <w:t>）本项目不接受联合体形式</w:t>
      </w:r>
      <w:r>
        <w:rPr>
          <w:rFonts w:hint="eastAsia" w:ascii="宋体" w:hAnsi="宋体" w:eastAsia="宋体" w:cs="宋体"/>
          <w:color w:val="000000"/>
          <w:sz w:val="24"/>
          <w:szCs w:val="24"/>
          <w:highlight w:val="none"/>
          <w:shd w:val="clear" w:color="auto" w:fill="FFFFFF"/>
          <w:lang w:val="en-US" w:eastAsia="zh-CN"/>
        </w:rPr>
        <w:t>[考虑检定/校准项目较多、有些项目较复杂、满足全部都能检定/校准机构较少或者不参与竞标，</w:t>
      </w:r>
      <w:r>
        <w:rPr>
          <w:rFonts w:hint="eastAsia" w:ascii="宋体" w:hAnsi="宋体" w:eastAsia="宋体" w:cs="宋体"/>
          <w:b/>
          <w:bCs/>
          <w:color w:val="000000"/>
          <w:sz w:val="24"/>
          <w:szCs w:val="24"/>
          <w:highlight w:val="none"/>
          <w:shd w:val="clear" w:color="auto" w:fill="FFFFFF"/>
          <w:lang w:val="en-US" w:eastAsia="zh-CN"/>
        </w:rPr>
        <w:t>本次招标允许能完成招标服务范围95%（含）以上检定/校准项目（≥243个项目）参与竞标，其余不能检定/校准项目由中标单位委托有该部分资质检定/校准机构完成，费用按中标价结算（一并计入中标单位报价内，不再另行计费）</w:t>
      </w:r>
      <w:r>
        <w:rPr>
          <w:rFonts w:hint="eastAsia" w:ascii="宋体" w:hAnsi="宋体" w:eastAsia="宋体" w:cs="宋体"/>
          <w:color w:val="000000"/>
          <w:sz w:val="24"/>
          <w:szCs w:val="24"/>
          <w:highlight w:val="none"/>
          <w:shd w:val="clear" w:color="auto" w:fill="FFFFFF"/>
        </w:rPr>
        <w:t>；</w:t>
      </w:r>
    </w:p>
    <w:p>
      <w:pPr>
        <w:pStyle w:val="4"/>
        <w:keepNext w:val="0"/>
        <w:keepLines w:val="0"/>
        <w:pageBreakBefore w:val="0"/>
        <w:tabs>
          <w:tab w:val="left" w:pos="720"/>
        </w:tabs>
        <w:kinsoku/>
        <w:wordWrap/>
        <w:overflowPunct/>
        <w:topLinePunct w:val="0"/>
        <w:autoSpaceDE/>
        <w:autoSpaceDN/>
        <w:bidi w:val="0"/>
        <w:adjustRightInd/>
        <w:snapToGrid/>
        <w:spacing w:line="360" w:lineRule="exact"/>
        <w:ind w:firstLine="232"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）本采购项目，检定（校准）机构具备市场监管部门颁发计量校准机构</w:t>
      </w:r>
      <w:r>
        <w:rPr>
          <w:rFonts w:hint="eastAsia" w:ascii="宋体" w:hAnsi="宋体" w:eastAsia="宋体" w:cs="宋体"/>
          <w:b/>
          <w:bCs/>
          <w:sz w:val="24"/>
          <w:szCs w:val="24"/>
          <w:highlight w:val="none"/>
        </w:rPr>
        <w:t>备案证书</w:t>
      </w:r>
      <w:r>
        <w:rPr>
          <w:rFonts w:hint="eastAsia" w:ascii="宋体" w:hAnsi="宋体" w:eastAsia="宋体" w:cs="宋体"/>
          <w:sz w:val="24"/>
          <w:szCs w:val="24"/>
          <w:highlight w:val="none"/>
        </w:rPr>
        <w:t>；</w:t>
      </w:r>
      <w:r>
        <w:rPr>
          <w:rFonts w:hint="eastAsia" w:ascii="宋体" w:hAnsi="宋体" w:eastAsia="宋体" w:cs="宋体"/>
          <w:b w:val="0"/>
          <w:bCs w:val="0"/>
          <w:sz w:val="24"/>
          <w:szCs w:val="24"/>
          <w:highlight w:val="none"/>
        </w:rPr>
        <w:t>注册地在外省检定（校准）机构</w:t>
      </w:r>
      <w:r>
        <w:rPr>
          <w:rFonts w:hint="eastAsia" w:ascii="宋体" w:hAnsi="宋体" w:eastAsia="宋体" w:cs="宋体"/>
          <w:sz w:val="24"/>
          <w:szCs w:val="24"/>
          <w:highlight w:val="none"/>
        </w:rPr>
        <w:t>，除提供当地市场监管部门颁发计量校准机构备案证书，还需经浙江省市场监督管理局登记备案，未备案的，谢绝竞标。</w:t>
      </w:r>
    </w:p>
    <w:p>
      <w:pPr>
        <w:pStyle w:val="4"/>
        <w:keepNext w:val="0"/>
        <w:keepLines w:val="0"/>
        <w:pageBreakBefore w:val="0"/>
        <w:tabs>
          <w:tab w:val="left" w:pos="720"/>
        </w:tabs>
        <w:kinsoku/>
        <w:wordWrap/>
        <w:overflowPunct/>
        <w:topLinePunct w:val="0"/>
        <w:autoSpaceDE/>
        <w:autoSpaceDN/>
        <w:bidi w:val="0"/>
        <w:adjustRightInd/>
        <w:snapToGrid/>
        <w:spacing w:line="360" w:lineRule="exact"/>
        <w:ind w:firstLine="232" w:firstLineChars="1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具备省级以上</w:t>
      </w:r>
      <w:r>
        <w:rPr>
          <w:rFonts w:hint="eastAsia" w:ascii="宋体" w:hAnsi="宋体" w:eastAsia="宋体" w:cs="宋体"/>
          <w:color w:val="000000"/>
          <w:sz w:val="24"/>
          <w:szCs w:val="24"/>
          <w:highlight w:val="none"/>
        </w:rPr>
        <w:t>二级</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及以上</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注册计量师证书</w:t>
      </w:r>
      <w:r>
        <w:rPr>
          <w:rFonts w:hint="eastAsia" w:ascii="宋体" w:hAnsi="宋体" w:eastAsia="宋体" w:cs="宋体"/>
          <w:color w:val="000000"/>
          <w:sz w:val="24"/>
          <w:szCs w:val="24"/>
          <w:highlight w:val="none"/>
          <w:lang w:val="en-US" w:eastAsia="zh-CN"/>
        </w:rPr>
        <w:t>2人</w:t>
      </w:r>
      <w:r>
        <w:rPr>
          <w:rFonts w:hint="eastAsia" w:ascii="宋体" w:hAnsi="宋体" w:eastAsia="宋体" w:cs="宋体"/>
          <w:color w:val="000000"/>
          <w:sz w:val="24"/>
          <w:szCs w:val="24"/>
          <w:highlight w:val="none"/>
        </w:rPr>
        <w:t>，并提供</w:t>
      </w:r>
      <w:r>
        <w:rPr>
          <w:rFonts w:hint="eastAsia" w:ascii="宋体" w:hAnsi="宋体" w:eastAsia="宋体" w:cs="宋体"/>
          <w:color w:val="000000"/>
          <w:sz w:val="24"/>
          <w:szCs w:val="24"/>
          <w:highlight w:val="none"/>
          <w:lang w:val="en-US" w:eastAsia="zh-CN"/>
        </w:rPr>
        <w:t>近</w:t>
      </w:r>
      <w:r>
        <w:rPr>
          <w:rFonts w:hint="eastAsia" w:ascii="宋体" w:hAnsi="宋体" w:eastAsia="宋体" w:cs="宋体"/>
          <w:color w:val="000000"/>
          <w:sz w:val="24"/>
          <w:szCs w:val="24"/>
          <w:highlight w:val="none"/>
        </w:rPr>
        <w:t>3个月内社保证明</w:t>
      </w:r>
      <w:r>
        <w:rPr>
          <w:rFonts w:hint="eastAsia" w:ascii="宋体" w:hAnsi="宋体" w:eastAsia="宋体" w:cs="宋体"/>
          <w:color w:val="000000"/>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kern w:val="2"/>
          <w:sz w:val="24"/>
          <w:szCs w:val="24"/>
          <w:highlight w:val="none"/>
          <w:lang w:val="en-US" w:eastAsia="zh-CN" w:bidi="ar-SA"/>
        </w:rPr>
        <w:t>(</w:t>
      </w:r>
      <w:r>
        <w:rPr>
          <w:rFonts w:hint="eastAsia" w:ascii="宋体" w:hAnsi="宋体" w:cs="宋体"/>
          <w:kern w:val="2"/>
          <w:sz w:val="24"/>
          <w:szCs w:val="24"/>
          <w:highlight w:val="none"/>
          <w:lang w:val="en-US" w:eastAsia="zh-CN" w:bidi="ar-SA"/>
        </w:rPr>
        <w:t>6</w:t>
      </w:r>
      <w:r>
        <w:rPr>
          <w:rFonts w:hint="eastAsia" w:ascii="宋体" w:hAnsi="宋体" w:eastAsia="宋体" w:cs="宋体"/>
          <w:kern w:val="2"/>
          <w:sz w:val="24"/>
          <w:szCs w:val="24"/>
          <w:highlight w:val="none"/>
          <w:lang w:val="en-US" w:eastAsia="zh-CN" w:bidi="ar-SA"/>
        </w:rPr>
        <w:t>)供应商书面承诺：</w:t>
      </w:r>
      <w:r>
        <w:rPr>
          <w:rFonts w:hint="eastAsia" w:ascii="宋体" w:hAnsi="宋体" w:eastAsia="宋体" w:cs="宋体"/>
          <w:sz w:val="24"/>
          <w:szCs w:val="24"/>
          <w:highlight w:val="none"/>
        </w:rPr>
        <w:t>计量检定/校准/检测服务符合相关技术法规要求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检定</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校准</w:t>
      </w:r>
      <w:r>
        <w:rPr>
          <w:rFonts w:hint="eastAsia" w:ascii="宋体" w:hAnsi="宋体" w:eastAsia="宋体" w:cs="宋体"/>
          <w:kern w:val="0"/>
          <w:sz w:val="24"/>
          <w:szCs w:val="24"/>
          <w:highlight w:val="none"/>
        </w:rPr>
        <w:t>）报告正确率确保95%以上</w:t>
      </w:r>
      <w:r>
        <w:rPr>
          <w:rFonts w:hint="eastAsia" w:ascii="宋体" w:hAnsi="宋体" w:eastAsia="宋体" w:cs="宋体"/>
          <w:kern w:val="0"/>
          <w:sz w:val="24"/>
          <w:szCs w:val="24"/>
          <w:highlight w:val="none"/>
          <w:lang w:eastAsia="zh-CN"/>
        </w:rPr>
        <w:t>；</w:t>
      </w:r>
      <w:r>
        <w:rPr>
          <w:rFonts w:hint="eastAsia" w:ascii="宋体" w:hAnsi="宋体" w:eastAsia="宋体" w:cs="宋体"/>
          <w:sz w:val="24"/>
          <w:szCs w:val="24"/>
          <w:highlight w:val="none"/>
          <w:lang w:val="en-US" w:eastAsia="zh-CN"/>
        </w:rPr>
        <w:t>确保所有计量检测设备正常、稳定的工作，确保所有检测数据准确、有效。</w:t>
      </w:r>
      <w:r>
        <w:rPr>
          <w:rFonts w:hint="eastAsia" w:ascii="宋体" w:hAnsi="宋体" w:eastAsia="宋体" w:cs="宋体"/>
          <w:sz w:val="24"/>
          <w:szCs w:val="24"/>
          <w:highlight w:val="none"/>
        </w:rPr>
        <w:t>承诺提供量值溯源方面的专家技术咨询，并举例说明如何对仪器检定或校准的结果进行确认</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其他服务承诺（包括承诺可提供免费小型修理校调服务、送检不合格的计量器具不出报告或其它服务）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响应本条所有文件，格式自拟</w:t>
      </w:r>
      <w:r>
        <w:rPr>
          <w:rFonts w:hint="eastAsia" w:ascii="宋体" w:hAnsi="宋体" w:eastAsia="宋体" w:cs="宋体"/>
          <w:sz w:val="24"/>
          <w:szCs w:val="24"/>
          <w:highlight w:val="none"/>
          <w:lang w:eastAsia="zh-CN"/>
        </w:rPr>
        <w:t>）</w:t>
      </w:r>
    </w:p>
    <w:p>
      <w:pPr>
        <w:pStyle w:val="4"/>
        <w:keepNext w:val="0"/>
        <w:keepLines w:val="0"/>
        <w:pageBreakBefore w:val="0"/>
        <w:tabs>
          <w:tab w:val="left" w:pos="720"/>
        </w:tabs>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bookmarkStart w:id="3" w:name="_GoBack"/>
      <w:r>
        <w:rPr>
          <w:rFonts w:hint="eastAsia" w:ascii="宋体" w:hAnsi="宋体" w:eastAsia="宋体" w:cs="宋体"/>
          <w:b/>
          <w:bCs/>
          <w:color w:val="auto"/>
          <w:sz w:val="24"/>
          <w:szCs w:val="24"/>
          <w:highlight w:val="none"/>
          <w:shd w:val="clear" w:color="auto" w:fill="FFFFFF"/>
        </w:rPr>
        <w:t>证明材料：参与报价的供应商须提供</w:t>
      </w:r>
      <w:r>
        <w:rPr>
          <w:rFonts w:hint="eastAsia" w:ascii="宋体" w:hAnsi="宋体" w:eastAsia="宋体" w:cs="宋体"/>
          <w:b/>
          <w:bCs/>
          <w:color w:val="auto"/>
          <w:sz w:val="24"/>
          <w:szCs w:val="24"/>
          <w:highlight w:val="none"/>
          <w:shd w:val="clear" w:color="auto" w:fill="FFFFFF"/>
          <w:lang w:eastAsia="zh-CN"/>
        </w:rPr>
        <w:t>营业执照复印件、报价一览表（</w:t>
      </w:r>
      <w:r>
        <w:rPr>
          <w:rFonts w:hint="eastAsia" w:ascii="宋体" w:hAnsi="宋体" w:eastAsia="宋体" w:cs="宋体"/>
          <w:b/>
          <w:bCs/>
          <w:color w:val="auto"/>
          <w:sz w:val="24"/>
          <w:szCs w:val="24"/>
          <w:highlight w:val="none"/>
          <w:shd w:val="clear" w:color="auto" w:fill="FFFFFF"/>
        </w:rPr>
        <w:t>格式详见附件</w:t>
      </w:r>
      <w:r>
        <w:rPr>
          <w:rFonts w:hint="eastAsia" w:ascii="宋体" w:hAnsi="宋体" w:eastAsia="宋体" w:cs="宋体"/>
          <w:b/>
          <w:bCs/>
          <w:color w:val="auto"/>
          <w:sz w:val="24"/>
          <w:szCs w:val="24"/>
          <w:highlight w:val="none"/>
          <w:shd w:val="clear" w:color="auto" w:fill="FFFFFF"/>
          <w:lang w:eastAsia="zh-CN"/>
        </w:rPr>
        <w:t>）、备案证书复印件（如浙江省外单位需提供当地及浙江省备案证书）、</w:t>
      </w:r>
      <w:r>
        <w:rPr>
          <w:rFonts w:hint="eastAsia" w:ascii="宋体" w:hAnsi="宋体" w:eastAsia="宋体" w:cs="宋体"/>
          <w:b/>
          <w:bCs/>
          <w:color w:val="auto"/>
          <w:sz w:val="24"/>
          <w:szCs w:val="24"/>
          <w:highlight w:val="none"/>
          <w:shd w:val="clear" w:color="auto" w:fill="FFFFFF"/>
          <w:lang w:val="en-US" w:eastAsia="zh-CN"/>
        </w:rPr>
        <w:t>省级以上</w:t>
      </w:r>
      <w:r>
        <w:rPr>
          <w:rFonts w:hint="eastAsia" w:ascii="宋体" w:hAnsi="宋体" w:eastAsia="宋体" w:cs="宋体"/>
          <w:b/>
          <w:bCs/>
          <w:color w:val="auto"/>
          <w:sz w:val="24"/>
          <w:szCs w:val="24"/>
          <w:highlight w:val="none"/>
          <w:shd w:val="clear" w:color="auto" w:fill="FFFFFF"/>
          <w:lang w:eastAsia="zh-CN"/>
        </w:rPr>
        <w:t>二级（</w:t>
      </w:r>
      <w:r>
        <w:rPr>
          <w:rFonts w:hint="eastAsia" w:ascii="宋体" w:hAnsi="宋体" w:eastAsia="宋体" w:cs="宋体"/>
          <w:b/>
          <w:bCs/>
          <w:color w:val="auto"/>
          <w:sz w:val="24"/>
          <w:szCs w:val="24"/>
          <w:highlight w:val="none"/>
          <w:shd w:val="clear" w:color="auto" w:fill="FFFFFF"/>
          <w:lang w:val="en-US" w:eastAsia="zh-CN"/>
        </w:rPr>
        <w:t>及以上</w:t>
      </w:r>
      <w:r>
        <w:rPr>
          <w:rFonts w:hint="eastAsia" w:ascii="宋体" w:hAnsi="宋体" w:eastAsia="宋体" w:cs="宋体"/>
          <w:b/>
          <w:bCs/>
          <w:color w:val="auto"/>
          <w:sz w:val="24"/>
          <w:szCs w:val="24"/>
          <w:highlight w:val="none"/>
          <w:shd w:val="clear" w:color="auto" w:fill="FFFFFF"/>
          <w:lang w:eastAsia="zh-CN"/>
        </w:rPr>
        <w:t>）注册计量师证书（</w:t>
      </w:r>
      <w:r>
        <w:rPr>
          <w:rFonts w:hint="eastAsia" w:ascii="宋体" w:hAnsi="宋体" w:eastAsia="宋体" w:cs="宋体"/>
          <w:b/>
          <w:bCs/>
          <w:color w:val="auto"/>
          <w:sz w:val="24"/>
          <w:szCs w:val="24"/>
          <w:highlight w:val="none"/>
          <w:shd w:val="clear" w:color="auto" w:fill="FFFFFF"/>
          <w:lang w:val="en-US" w:eastAsia="zh-CN"/>
        </w:rPr>
        <w:t>2人</w:t>
      </w:r>
      <w:r>
        <w:rPr>
          <w:rFonts w:hint="eastAsia" w:ascii="宋体" w:hAnsi="宋体" w:eastAsia="宋体" w:cs="宋体"/>
          <w:b/>
          <w:bCs/>
          <w:color w:val="auto"/>
          <w:sz w:val="24"/>
          <w:szCs w:val="24"/>
          <w:highlight w:val="none"/>
          <w:shd w:val="clear" w:color="auto" w:fill="FFFFFF"/>
          <w:lang w:eastAsia="zh-CN"/>
        </w:rPr>
        <w:t>）、</w:t>
      </w:r>
      <w:r>
        <w:rPr>
          <w:rFonts w:hint="eastAsia" w:ascii="宋体" w:hAnsi="宋体" w:eastAsia="宋体" w:cs="宋体"/>
          <w:b/>
          <w:bCs/>
          <w:color w:val="auto"/>
          <w:sz w:val="24"/>
          <w:szCs w:val="24"/>
          <w:highlight w:val="none"/>
          <w:shd w:val="clear" w:color="auto" w:fill="FFFFFF"/>
          <w:lang w:val="en-US" w:eastAsia="zh-CN"/>
        </w:rPr>
        <w:t>3个月内</w:t>
      </w:r>
      <w:r>
        <w:rPr>
          <w:rFonts w:hint="eastAsia" w:ascii="宋体" w:hAnsi="宋体" w:eastAsia="宋体" w:cs="宋体"/>
          <w:b/>
          <w:bCs/>
          <w:color w:val="auto"/>
          <w:sz w:val="24"/>
          <w:szCs w:val="24"/>
          <w:highlight w:val="none"/>
          <w:shd w:val="clear" w:color="auto" w:fill="FFFFFF"/>
          <w:lang w:eastAsia="zh-CN"/>
        </w:rPr>
        <w:t>社保证明、供应商书面承诺书（格式自拟）</w:t>
      </w:r>
      <w:r>
        <w:rPr>
          <w:rFonts w:hint="eastAsia" w:ascii="宋体" w:hAnsi="宋体" w:eastAsia="宋体" w:cs="宋体"/>
          <w:b/>
          <w:bCs/>
          <w:color w:val="auto"/>
          <w:sz w:val="24"/>
          <w:szCs w:val="24"/>
          <w:highlight w:val="none"/>
          <w:shd w:val="clear" w:color="auto" w:fill="FFFFFF"/>
          <w:lang w:val="en-US" w:eastAsia="zh-CN"/>
        </w:rPr>
        <w:t>及诚信承诺书（格式详见附件） ，</w:t>
      </w:r>
      <w:r>
        <w:rPr>
          <w:rFonts w:hint="eastAsia" w:ascii="宋体" w:hAnsi="宋体" w:eastAsia="宋体" w:cs="宋体"/>
          <w:b/>
          <w:bCs/>
          <w:color w:val="auto"/>
          <w:sz w:val="24"/>
          <w:szCs w:val="24"/>
          <w:highlight w:val="none"/>
          <w:shd w:val="clear" w:color="auto" w:fill="FFFFFF"/>
        </w:rPr>
        <w:t>以上资料需加盖公章，所提供的资料必须真实有效，若发现弄虚作假则取消投标资格；未上传（或上传不齐全）以上资料，响应无效，取消中标资格。投标人投标报价以及提供材料均应依据本商务需求要求，资料弄虚作假、随意乱报价、未及时配合招标人签订合同等情形，取消中标资格，上报乐采云平台，对供应商进行扣分等处罚。</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highlight w:val="none"/>
          <w:shd w:val="clear" w:color="auto" w:fill="FFFFFF"/>
        </w:rPr>
      </w:pPr>
      <w:r>
        <w:rPr>
          <w:rFonts w:hint="eastAsia" w:ascii="宋体" w:hAnsi="宋体" w:cs="宋体"/>
          <w:b/>
          <w:bCs/>
          <w:color w:val="auto"/>
          <w:sz w:val="24"/>
          <w:szCs w:val="24"/>
          <w:highlight w:val="none"/>
          <w:shd w:val="clear" w:color="auto" w:fill="FFFFFF"/>
          <w:lang w:val="en-US" w:eastAsia="zh-CN"/>
        </w:rPr>
        <w:t>四、</w:t>
      </w:r>
      <w:r>
        <w:rPr>
          <w:rFonts w:hint="eastAsia" w:ascii="宋体" w:hAnsi="宋体" w:eastAsia="宋体" w:cs="宋体"/>
          <w:b/>
          <w:bCs/>
          <w:color w:val="auto"/>
          <w:sz w:val="24"/>
          <w:szCs w:val="24"/>
          <w:highlight w:val="none"/>
          <w:shd w:val="clear" w:color="auto" w:fill="FFFFFF"/>
        </w:rPr>
        <w:t>服务期：</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服务期限为一年（具体时间以合同签订为准）。</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highlight w:val="none"/>
          <w:shd w:val="clear" w:color="auto" w:fill="FFFFFF"/>
        </w:rPr>
      </w:pPr>
      <w:r>
        <w:rPr>
          <w:rFonts w:hint="eastAsia" w:ascii="宋体" w:hAnsi="宋体" w:cs="宋体"/>
          <w:b/>
          <w:bCs/>
          <w:color w:val="auto"/>
          <w:sz w:val="24"/>
          <w:szCs w:val="24"/>
          <w:highlight w:val="none"/>
          <w:shd w:val="clear" w:color="auto" w:fill="FFFFFF"/>
          <w:lang w:val="en-US" w:eastAsia="zh-CN"/>
        </w:rPr>
        <w:t>五、</w:t>
      </w:r>
      <w:r>
        <w:rPr>
          <w:rFonts w:hint="eastAsia" w:ascii="宋体" w:hAnsi="宋体" w:eastAsia="宋体" w:cs="宋体"/>
          <w:b/>
          <w:bCs/>
          <w:color w:val="auto"/>
          <w:sz w:val="24"/>
          <w:szCs w:val="24"/>
          <w:highlight w:val="none"/>
          <w:shd w:val="clear" w:color="auto" w:fill="FFFFFF"/>
        </w:rPr>
        <w:t>报价说明</w:t>
      </w:r>
    </w:p>
    <w:p>
      <w:pPr>
        <w:keepNext w:val="0"/>
        <w:keepLines w:val="0"/>
        <w:pageBreakBefore w:val="0"/>
        <w:numPr>
          <w:ilvl w:val="0"/>
          <w:numId w:val="1"/>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本次报价要求为按照单价</w:t>
      </w:r>
      <w:r>
        <w:rPr>
          <w:rFonts w:hint="eastAsia" w:ascii="宋体" w:hAnsi="宋体" w:eastAsia="宋体" w:cs="宋体"/>
          <w:color w:val="auto"/>
          <w:sz w:val="24"/>
          <w:szCs w:val="24"/>
          <w:highlight w:val="none"/>
          <w:shd w:val="clear" w:color="auto" w:fill="FFFFFF"/>
          <w:lang w:val="en-US" w:eastAsia="zh-CN"/>
        </w:rPr>
        <w:t>最高限价</w:t>
      </w:r>
      <w:r>
        <w:rPr>
          <w:rFonts w:hint="eastAsia" w:ascii="宋体" w:hAnsi="宋体" w:eastAsia="宋体" w:cs="宋体"/>
          <w:color w:val="auto"/>
          <w:sz w:val="24"/>
          <w:szCs w:val="24"/>
          <w:highlight w:val="none"/>
          <w:shd w:val="clear" w:color="auto" w:fill="FFFFFF"/>
        </w:rPr>
        <w:t>统一下浮报价，任一项超过</w:t>
      </w:r>
      <w:r>
        <w:rPr>
          <w:rFonts w:hint="eastAsia" w:ascii="宋体" w:hAnsi="宋体" w:eastAsia="宋体" w:cs="宋体"/>
          <w:color w:val="auto"/>
          <w:sz w:val="24"/>
          <w:szCs w:val="24"/>
          <w:highlight w:val="none"/>
          <w:shd w:val="clear" w:color="auto" w:fill="FFFFFF"/>
          <w:lang w:val="en-US" w:eastAsia="zh-CN"/>
        </w:rPr>
        <w:t>单价最高限价的</w:t>
      </w:r>
      <w:r>
        <w:rPr>
          <w:rFonts w:hint="eastAsia" w:ascii="宋体" w:hAnsi="宋体" w:eastAsia="宋体" w:cs="宋体"/>
          <w:color w:val="auto"/>
          <w:sz w:val="24"/>
          <w:szCs w:val="24"/>
          <w:highlight w:val="none"/>
          <w:shd w:val="clear" w:color="auto" w:fill="FFFFFF"/>
        </w:rPr>
        <w:t>为无效报价</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即</w:t>
      </w:r>
      <w:r>
        <w:rPr>
          <w:rFonts w:hint="eastAsia" w:ascii="宋体" w:hAnsi="宋体" w:eastAsia="宋体" w:cs="宋体"/>
          <w:color w:val="auto"/>
          <w:sz w:val="24"/>
          <w:szCs w:val="24"/>
          <w:highlight w:val="none"/>
          <w:shd w:val="clear" w:color="auto" w:fill="FFFFFF"/>
          <w:lang w:val="zh-CN"/>
        </w:rPr>
        <w:t>投标</w:t>
      </w:r>
      <w:r>
        <w:rPr>
          <w:rFonts w:hint="eastAsia" w:ascii="宋体" w:hAnsi="宋体" w:eastAsia="宋体" w:cs="宋体"/>
          <w:color w:val="auto"/>
          <w:sz w:val="24"/>
          <w:szCs w:val="24"/>
          <w:highlight w:val="none"/>
          <w:shd w:val="clear" w:color="auto" w:fill="FFFFFF"/>
          <w:lang w:val="en-US" w:eastAsia="zh-CN"/>
        </w:rPr>
        <w:t>报价</w:t>
      </w:r>
      <w:r>
        <w:rPr>
          <w:rFonts w:hint="eastAsia" w:ascii="宋体" w:hAnsi="宋体" w:eastAsia="宋体" w:cs="宋体"/>
          <w:color w:val="auto"/>
          <w:sz w:val="24"/>
          <w:szCs w:val="24"/>
          <w:highlight w:val="none"/>
          <w:shd w:val="clear" w:color="auto" w:fill="FFFFFF"/>
          <w:lang w:val="zh-CN"/>
        </w:rPr>
        <w:t>单价=各种规格最高限价</w:t>
      </w:r>
      <w:r>
        <w:rPr>
          <w:rFonts w:hint="eastAsia" w:ascii="宋体" w:hAnsi="宋体" w:eastAsia="宋体" w:cs="宋体"/>
          <w:color w:val="auto"/>
          <w:sz w:val="24"/>
          <w:szCs w:val="24"/>
          <w:highlight w:val="none"/>
          <w:shd w:val="clear" w:color="auto" w:fill="FFFFFF"/>
          <w:lang w:val="en-US" w:eastAsia="zh-CN"/>
        </w:rPr>
        <w:t>单价</w:t>
      </w:r>
      <w:r>
        <w:rPr>
          <w:rFonts w:hint="eastAsia" w:ascii="宋体" w:hAnsi="宋体" w:eastAsia="宋体" w:cs="宋体"/>
          <w:color w:val="auto"/>
          <w:sz w:val="24"/>
          <w:szCs w:val="24"/>
          <w:highlight w:val="none"/>
          <w:shd w:val="clear" w:color="auto" w:fill="FFFFFF"/>
          <w:lang w:val="zh-CN"/>
        </w:rPr>
        <w:t>*（1-投标</w:t>
      </w:r>
      <w:r>
        <w:rPr>
          <w:rFonts w:hint="eastAsia" w:ascii="宋体" w:hAnsi="宋体" w:eastAsia="宋体" w:cs="宋体"/>
          <w:color w:val="auto"/>
          <w:sz w:val="24"/>
          <w:szCs w:val="24"/>
          <w:highlight w:val="none"/>
          <w:shd w:val="clear" w:color="auto" w:fill="FFFFFF"/>
          <w:lang w:val="en-US" w:eastAsia="zh-CN"/>
        </w:rPr>
        <w:t>报价</w:t>
      </w:r>
      <w:r>
        <w:rPr>
          <w:rFonts w:hint="eastAsia" w:ascii="宋体" w:hAnsi="宋体" w:eastAsia="宋体" w:cs="宋体"/>
          <w:color w:val="auto"/>
          <w:sz w:val="24"/>
          <w:szCs w:val="24"/>
          <w:highlight w:val="none"/>
          <w:shd w:val="clear" w:color="auto" w:fill="FFFFFF"/>
          <w:lang w:val="zh-CN"/>
        </w:rPr>
        <w:t>统一下浮率</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b/>
          <w:bCs/>
          <w:color w:val="auto"/>
          <w:sz w:val="24"/>
          <w:szCs w:val="24"/>
          <w:highlight w:val="none"/>
          <w:shd w:val="clear" w:color="auto" w:fill="FFFFFF"/>
        </w:rPr>
        <w:t>每项单价下浮幅度均须一致</w:t>
      </w:r>
      <w:r>
        <w:rPr>
          <w:rFonts w:hint="eastAsia" w:ascii="宋体" w:hAnsi="宋体" w:eastAsia="宋体" w:cs="宋体"/>
          <w:color w:val="auto"/>
          <w:sz w:val="24"/>
          <w:szCs w:val="24"/>
          <w:highlight w:val="none"/>
          <w:shd w:val="clear" w:color="auto" w:fill="FFFFFF"/>
        </w:rPr>
        <w:t>，下浮率由报价单位自行考虑]。参与报价的供应商须在报价清单中明确</w:t>
      </w:r>
      <w:r>
        <w:rPr>
          <w:rFonts w:hint="eastAsia" w:ascii="宋体" w:hAnsi="宋体" w:eastAsia="宋体" w:cs="宋体"/>
          <w:b/>
          <w:bCs/>
          <w:color w:val="auto"/>
          <w:sz w:val="24"/>
          <w:szCs w:val="24"/>
          <w:highlight w:val="none"/>
          <w:shd w:val="clear" w:color="auto" w:fill="FFFFFF"/>
          <w:lang w:val="en-US" w:eastAsia="zh-CN"/>
        </w:rPr>
        <w:t>投标报价</w:t>
      </w:r>
      <w:r>
        <w:rPr>
          <w:rFonts w:hint="eastAsia" w:ascii="宋体" w:hAnsi="宋体" w:eastAsia="宋体" w:cs="宋体"/>
          <w:b/>
          <w:bCs/>
          <w:color w:val="auto"/>
          <w:sz w:val="24"/>
          <w:szCs w:val="24"/>
          <w:highlight w:val="none"/>
          <w:shd w:val="clear" w:color="auto" w:fill="FFFFFF"/>
        </w:rPr>
        <w:t>统一下浮率</w:t>
      </w:r>
      <w:r>
        <w:rPr>
          <w:rFonts w:hint="eastAsia" w:ascii="宋体" w:hAnsi="宋体" w:eastAsia="宋体" w:cs="宋体"/>
          <w:color w:val="auto"/>
          <w:sz w:val="24"/>
          <w:szCs w:val="24"/>
          <w:highlight w:val="none"/>
          <w:shd w:val="clear" w:color="auto" w:fill="FFFFFF"/>
        </w:rPr>
        <w:t>。</w:t>
      </w:r>
    </w:p>
    <w:p>
      <w:pPr>
        <w:pStyle w:val="11"/>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t>投标单价及合价可保留整数元。</w:t>
      </w:r>
    </w:p>
    <w:p>
      <w:pPr>
        <w:keepNext w:val="0"/>
        <w:keepLines w:val="0"/>
        <w:pageBreakBefore w:val="0"/>
        <w:numPr>
          <w:ilvl w:val="0"/>
          <w:numId w:val="1"/>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本次报价为综合单价，报价必须包</w:t>
      </w:r>
      <w:bookmarkEnd w:id="3"/>
      <w:r>
        <w:rPr>
          <w:rFonts w:hint="eastAsia" w:ascii="宋体" w:hAnsi="宋体" w:eastAsia="宋体" w:cs="宋体"/>
          <w:color w:val="000000"/>
          <w:sz w:val="24"/>
          <w:szCs w:val="24"/>
          <w:highlight w:val="none"/>
          <w:shd w:val="clear" w:color="auto" w:fill="FFFFFF"/>
        </w:rPr>
        <w:t>括所有与本项目服务相关的、有关本项目实施所涉及的一切费用。报价应为完成本项目所发生的各项费用之和，应包括设备鉴定、校准、交通费、利润、税金、合同条款规定的保险、政策性文件规定及合同包含的所有风险、责任及措施、应支付的专利权、版权或其他知识产权一切费用等费用，以及可能发生的各种费用。</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（3）本项目采购的服务采用中标价一次性 (固定单价)确定，服务期间如遇国家政策性调价，市场材料价格发生变化等，本项目均不予调整。（具体供应货物数量以最终双方签收数量为准，价格按中标价格结算）。</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sz w:val="24"/>
          <w:szCs w:val="24"/>
          <w:highlight w:val="none"/>
          <w:shd w:val="clear" w:color="auto" w:fill="FFFFFF"/>
        </w:rPr>
      </w:pPr>
      <w:r>
        <w:rPr>
          <w:rFonts w:hint="eastAsia" w:ascii="宋体" w:hAnsi="宋体" w:cs="宋体"/>
          <w:b/>
          <w:bCs/>
          <w:color w:val="000000"/>
          <w:sz w:val="24"/>
          <w:szCs w:val="24"/>
          <w:highlight w:val="none"/>
          <w:shd w:val="clear" w:color="auto" w:fill="FFFFFF"/>
          <w:lang w:val="en-US" w:eastAsia="zh-CN"/>
        </w:rPr>
        <w:t>六、</w:t>
      </w:r>
      <w:r>
        <w:rPr>
          <w:rFonts w:hint="eastAsia" w:ascii="宋体" w:hAnsi="宋体" w:eastAsia="宋体" w:cs="宋体"/>
          <w:b/>
          <w:bCs/>
          <w:color w:val="000000"/>
          <w:sz w:val="24"/>
          <w:szCs w:val="24"/>
          <w:highlight w:val="none"/>
          <w:shd w:val="clear" w:color="auto" w:fill="FFFFFF"/>
        </w:rPr>
        <w:t>技术规范及要求：</w:t>
      </w:r>
    </w:p>
    <w:p>
      <w:pPr>
        <w:pStyle w:val="11"/>
        <w:keepNext w:val="0"/>
        <w:keepLines w:val="0"/>
        <w:pageBreakBefore w:val="0"/>
        <w:kinsoku/>
        <w:wordWrap/>
        <w:overflowPunct/>
        <w:topLinePunct w:val="0"/>
        <w:autoSpaceDE/>
        <w:autoSpaceDN/>
        <w:bidi w:val="0"/>
        <w:adjustRightInd/>
        <w:snapToGrid/>
        <w:spacing w:after="0"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1.中标人在工作过程中，应执行中华人民共和国强制性标准及现行的行业标准、规范和相关规定。 </w:t>
      </w:r>
    </w:p>
    <w:p>
      <w:pPr>
        <w:pStyle w:val="11"/>
        <w:keepNext w:val="0"/>
        <w:keepLines w:val="0"/>
        <w:pageBreakBefore w:val="0"/>
        <w:kinsoku/>
        <w:wordWrap/>
        <w:overflowPunct/>
        <w:topLinePunct w:val="0"/>
        <w:autoSpaceDE/>
        <w:autoSpaceDN/>
        <w:bidi w:val="0"/>
        <w:adjustRightInd/>
        <w:snapToGrid/>
        <w:spacing w:after="0"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2.在合同履行过程中，项目实施所引用的标准或规范如有修改或新颁，除国家、行业、浙江省强制性标准必须执行外，其他新颁标准或规范是否采用应由招标人决定，中标人应按招标人的决定执行。</w:t>
      </w:r>
    </w:p>
    <w:p>
      <w:pPr>
        <w:keepNext w:val="0"/>
        <w:keepLines w:val="0"/>
        <w:pageBreakBefore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lang w:val="en-US" w:eastAsia="zh-CN"/>
        </w:rPr>
        <w:t>检定</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校准</w:t>
      </w:r>
      <w:r>
        <w:rPr>
          <w:rFonts w:hint="eastAsia" w:ascii="宋体" w:hAnsi="宋体" w:eastAsia="宋体" w:cs="宋体"/>
          <w:kern w:val="0"/>
          <w:sz w:val="24"/>
          <w:szCs w:val="24"/>
          <w:highlight w:val="none"/>
        </w:rPr>
        <w:t>）报告正确率确保95%以上，如达不到要求，扣除履约保证金。</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sz w:val="24"/>
          <w:szCs w:val="24"/>
          <w:highlight w:val="none"/>
          <w:shd w:val="clear" w:color="auto" w:fill="FFFFFF"/>
        </w:rPr>
      </w:pPr>
      <w:r>
        <w:rPr>
          <w:rFonts w:hint="eastAsia" w:ascii="宋体" w:hAnsi="宋体" w:cs="宋体"/>
          <w:b/>
          <w:bCs/>
          <w:color w:val="000000"/>
          <w:sz w:val="24"/>
          <w:szCs w:val="24"/>
          <w:highlight w:val="none"/>
          <w:shd w:val="clear" w:color="auto" w:fill="FFFFFF"/>
          <w:lang w:eastAsia="zh-CN"/>
        </w:rPr>
        <w:t>七、</w:t>
      </w:r>
      <w:r>
        <w:rPr>
          <w:rFonts w:hint="eastAsia" w:ascii="宋体" w:hAnsi="宋体" w:eastAsia="宋体" w:cs="宋体"/>
          <w:b/>
          <w:bCs/>
          <w:color w:val="000000"/>
          <w:sz w:val="24"/>
          <w:szCs w:val="24"/>
          <w:highlight w:val="none"/>
          <w:shd w:val="clear" w:color="auto" w:fill="FFFFFF"/>
        </w:rPr>
        <w:t>合同价款的支付方式</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shd w:val="clear" w:color="auto" w:fill="FFFFFF"/>
        </w:rPr>
        <w:t>在合同中明确</w:t>
      </w:r>
      <w:r>
        <w:rPr>
          <w:rFonts w:hint="eastAsia" w:ascii="宋体" w:hAnsi="宋体" w:cs="宋体"/>
          <w:color w:val="000000"/>
          <w:sz w:val="24"/>
          <w:szCs w:val="24"/>
          <w:highlight w:val="none"/>
          <w:shd w:val="clear" w:color="auto" w:fill="FFFFFF"/>
          <w:lang w:eastAsia="zh-CN"/>
        </w:rPr>
        <w:t>，</w:t>
      </w:r>
      <w:r>
        <w:rPr>
          <w:rFonts w:hint="eastAsia" w:ascii="宋体" w:hAnsi="宋体" w:cs="宋体"/>
          <w:color w:val="000000"/>
          <w:sz w:val="24"/>
          <w:szCs w:val="24"/>
          <w:highlight w:val="none"/>
          <w:shd w:val="clear" w:color="auto" w:fill="FFFFFF"/>
          <w:lang w:val="en-US" w:eastAsia="zh-CN"/>
        </w:rPr>
        <w:t>最终以合同签订为准</w:t>
      </w:r>
      <w:r>
        <w:rPr>
          <w:rFonts w:hint="eastAsia" w:ascii="宋体" w:hAnsi="宋体" w:eastAsia="宋体" w:cs="宋体"/>
          <w:color w:val="000000"/>
          <w:sz w:val="24"/>
          <w:szCs w:val="24"/>
          <w:highlight w:val="none"/>
          <w:shd w:val="clear" w:color="auto" w:fill="FFFFFF"/>
        </w:rPr>
        <w:t>。</w:t>
      </w:r>
    </w:p>
    <w:p>
      <w:pPr>
        <w:keepNext w:val="0"/>
        <w:keepLines w:val="0"/>
        <w:pageBreakBefore w:val="0"/>
        <w:numPr>
          <w:ilvl w:val="255"/>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sz w:val="24"/>
          <w:szCs w:val="24"/>
          <w:highlight w:val="none"/>
          <w:shd w:val="clear" w:color="auto" w:fill="FFFFFF"/>
        </w:rPr>
      </w:pPr>
      <w:r>
        <w:rPr>
          <w:rFonts w:hint="eastAsia" w:ascii="宋体" w:hAnsi="宋体" w:cs="宋体"/>
          <w:b/>
          <w:bCs/>
          <w:color w:val="000000"/>
          <w:sz w:val="24"/>
          <w:szCs w:val="24"/>
          <w:highlight w:val="none"/>
          <w:shd w:val="clear" w:color="auto" w:fill="FFFFFF"/>
          <w:lang w:eastAsia="zh-CN"/>
        </w:rPr>
        <w:t>八、</w:t>
      </w:r>
      <w:r>
        <w:rPr>
          <w:rFonts w:hint="eastAsia" w:ascii="宋体" w:hAnsi="宋体" w:eastAsia="宋体" w:cs="宋体"/>
          <w:b/>
          <w:bCs/>
          <w:color w:val="000000"/>
          <w:sz w:val="24"/>
          <w:szCs w:val="24"/>
          <w:highlight w:val="none"/>
          <w:shd w:val="clear" w:color="auto" w:fill="FFFFFF"/>
        </w:rPr>
        <w:t>履约保证金</w:t>
      </w:r>
    </w:p>
    <w:p>
      <w:pPr>
        <w:pStyle w:val="2"/>
        <w:keepNext w:val="0"/>
        <w:keepLines w:val="0"/>
        <w:pageBreakBefore w:val="0"/>
        <w:numPr>
          <w:ilvl w:val="255"/>
          <w:numId w:val="0"/>
        </w:numPr>
        <w:kinsoku/>
        <w:wordWrap/>
        <w:overflowPunct/>
        <w:topLinePunct w:val="0"/>
        <w:autoSpaceDE/>
        <w:autoSpaceDN/>
        <w:bidi w:val="0"/>
        <w:adjustRightInd/>
        <w:snapToGrid/>
        <w:spacing w:after="0" w:line="360" w:lineRule="exact"/>
        <w:ind w:firstLine="480" w:firstLineChars="200"/>
        <w:textAlignment w:val="auto"/>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在签订合同之前，由中标供应商提交人民币</w:t>
      </w:r>
      <w:r>
        <w:rPr>
          <w:rFonts w:hint="eastAsia" w:ascii="宋体" w:hAnsi="宋体" w:eastAsia="宋体" w:cs="宋体"/>
          <w:color w:val="000000"/>
          <w:sz w:val="24"/>
          <w:szCs w:val="24"/>
          <w:highlight w:val="none"/>
          <w:u w:val="single"/>
          <w:shd w:val="clear" w:color="auto" w:fill="FFFFFF"/>
          <w:lang w:val="en-US" w:eastAsia="zh-CN"/>
        </w:rPr>
        <w:t>中标价的10%</w:t>
      </w:r>
      <w:r>
        <w:rPr>
          <w:rFonts w:hint="eastAsia" w:ascii="宋体" w:hAnsi="宋体" w:eastAsia="宋体" w:cs="宋体"/>
          <w:color w:val="000000"/>
          <w:sz w:val="24"/>
          <w:szCs w:val="24"/>
          <w:highlight w:val="none"/>
          <w:shd w:val="clear" w:color="auto" w:fill="FFFFFF"/>
        </w:rPr>
        <w:t>（交给采购单位）作为履约保证金，履约保证金在合同期满，且提供的所有服务验收合格后，一个月内无息退还。</w:t>
      </w:r>
    </w:p>
    <w:p>
      <w:pPr>
        <w:keepNext w:val="0"/>
        <w:keepLines w:val="0"/>
        <w:pageBreakBefore w:val="0"/>
        <w:numPr>
          <w:ilvl w:val="255"/>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sz w:val="24"/>
          <w:szCs w:val="24"/>
          <w:highlight w:val="none"/>
          <w:shd w:val="clear" w:color="auto" w:fill="FFFFFF"/>
        </w:rPr>
      </w:pPr>
      <w:r>
        <w:rPr>
          <w:rFonts w:hint="eastAsia" w:ascii="宋体" w:hAnsi="宋体" w:cs="宋体"/>
          <w:b/>
          <w:bCs/>
          <w:color w:val="000000"/>
          <w:sz w:val="24"/>
          <w:szCs w:val="24"/>
          <w:highlight w:val="none"/>
          <w:shd w:val="clear" w:color="auto" w:fill="FFFFFF"/>
          <w:lang w:eastAsia="zh-CN"/>
        </w:rPr>
        <w:t>九、</w:t>
      </w:r>
      <w:r>
        <w:rPr>
          <w:rFonts w:hint="eastAsia" w:ascii="宋体" w:hAnsi="宋体" w:eastAsia="宋体" w:cs="宋体"/>
          <w:b/>
          <w:bCs/>
          <w:color w:val="000000"/>
          <w:sz w:val="24"/>
          <w:szCs w:val="24"/>
          <w:highlight w:val="none"/>
          <w:shd w:val="clear" w:color="auto" w:fill="FFFFFF"/>
        </w:rPr>
        <w:t>注意事项</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报价单位必须符合以上商务要求，如有不符项，采购单位有权做废标处理。报价单位必须认真审核所有商务及清单要求，如明知不满足询价要求进行恶意竞争的，将根据《政采云平台电子卖场权益维护及纠纷处理规则》的规定报相关部门处理。</w:t>
      </w:r>
    </w:p>
    <w:p>
      <w:pPr>
        <w:pStyle w:val="2"/>
        <w:keepNext w:val="0"/>
        <w:keepLines w:val="0"/>
        <w:pageBreakBefore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eastAsia="宋体" w:cs="宋体"/>
          <w:b/>
          <w:bCs/>
          <w:color w:val="000000"/>
          <w:kern w:val="2"/>
          <w:sz w:val="24"/>
          <w:szCs w:val="24"/>
          <w:highlight w:val="none"/>
          <w:shd w:val="clear" w:color="auto" w:fill="FFFFFF"/>
          <w:lang w:val="en-US" w:eastAsia="zh-CN" w:bidi="ar-SA"/>
        </w:rPr>
      </w:pPr>
      <w:r>
        <w:rPr>
          <w:rFonts w:hint="eastAsia" w:ascii="宋体" w:hAnsi="宋体" w:eastAsia="宋体" w:cs="宋体"/>
          <w:b/>
          <w:bCs/>
          <w:color w:val="000000"/>
          <w:kern w:val="2"/>
          <w:sz w:val="24"/>
          <w:szCs w:val="24"/>
          <w:highlight w:val="none"/>
          <w:shd w:val="clear" w:color="auto" w:fill="FFFFFF"/>
          <w:lang w:val="en-US" w:eastAsia="zh-CN" w:bidi="ar-SA"/>
        </w:rPr>
        <w:t>十.补充说明</w:t>
      </w:r>
    </w:p>
    <w:p>
      <w:pPr>
        <w:pStyle w:val="4"/>
        <w:keepNext w:val="0"/>
        <w:keepLines w:val="0"/>
        <w:pageBreakBefore w:val="0"/>
        <w:numPr>
          <w:ilvl w:val="0"/>
          <w:numId w:val="0"/>
        </w:numPr>
        <w:tabs>
          <w:tab w:val="left" w:pos="720"/>
        </w:tabs>
        <w:kinsoku/>
        <w:wordWrap/>
        <w:overflowPunct/>
        <w:topLinePunct w:val="0"/>
        <w:autoSpaceDE/>
        <w:autoSpaceDN/>
        <w:bidi w:val="0"/>
        <w:adjustRightInd/>
        <w:snapToGrid/>
        <w:spacing w:line="360" w:lineRule="exact"/>
        <w:ind w:firstLine="232" w:firstLineChars="1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在服务合同期内，若因变更试验场所（公司原址拆迁或公司合并需要），需重新检定（校准），由中标单位在合同期内继续完成服务，不再重新组织招标，结算单价不变（按中标价），服务费用按实际工作量乘以单价计算。</w:t>
      </w:r>
    </w:p>
    <w:p>
      <w:pPr>
        <w:pStyle w:val="2"/>
        <w:keepNext w:val="0"/>
        <w:keepLines w:val="0"/>
        <w:pageBreakBefore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eastAsia="宋体" w:cs="宋体"/>
          <w:b/>
          <w:bCs/>
          <w:color w:val="000000"/>
          <w:kern w:val="2"/>
          <w:sz w:val="24"/>
          <w:szCs w:val="24"/>
          <w:highlight w:val="none"/>
          <w:shd w:val="clear" w:color="auto" w:fill="FFFFFF"/>
          <w:lang w:val="en-US" w:eastAsia="zh-CN" w:bidi="ar-SA"/>
        </w:rPr>
      </w:pPr>
      <w:r>
        <w:rPr>
          <w:rFonts w:hint="eastAsia" w:ascii="宋体" w:hAnsi="宋体" w:eastAsia="宋体" w:cs="宋体"/>
          <w:b/>
          <w:bCs/>
          <w:color w:val="000000"/>
          <w:kern w:val="2"/>
          <w:sz w:val="24"/>
          <w:szCs w:val="24"/>
          <w:highlight w:val="none"/>
          <w:shd w:val="clear" w:color="auto" w:fill="FFFFFF"/>
          <w:lang w:val="en-US" w:eastAsia="zh-CN" w:bidi="ar-SA"/>
        </w:rPr>
        <w:t>十一、合同主要条款（本合同为合同样稿，最终稿由双方协商后确定）</w:t>
      </w:r>
    </w:p>
    <w:p>
      <w:pPr>
        <w:jc w:val="both"/>
        <w:rPr>
          <w:rFonts w:hint="eastAsia" w:ascii="宋体" w:hAnsi="宋体" w:eastAsia="宋体" w:cs="宋体"/>
          <w:sz w:val="24"/>
          <w:szCs w:val="24"/>
        </w:rPr>
      </w:pPr>
      <w:r>
        <w:rPr>
          <w:rFonts w:hint="eastAsia" w:ascii="宋体" w:hAnsi="宋体" w:eastAsia="宋体" w:cs="宋体"/>
          <w:sz w:val="24"/>
          <w:szCs w:val="24"/>
          <w:lang w:eastAsia="zh-CN"/>
        </w:rPr>
        <w:t>合同编号：</w:t>
      </w:r>
      <w:r>
        <w:rPr>
          <w:rFonts w:hint="eastAsia" w:ascii="宋体" w:hAnsi="宋体" w:eastAsia="宋体" w:cs="宋体"/>
          <w:sz w:val="24"/>
          <w:szCs w:val="24"/>
        </w:rPr>
        <w:t>HTFYJCSBJ</w:t>
      </w:r>
      <w:r>
        <w:rPr>
          <w:rFonts w:hint="eastAsia" w:ascii="宋体" w:hAnsi="宋体" w:eastAsia="宋体" w:cs="宋体"/>
          <w:sz w:val="24"/>
          <w:szCs w:val="24"/>
          <w:lang w:val="en-US" w:eastAsia="zh-CN"/>
        </w:rPr>
        <w:t>D</w:t>
      </w: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甲方：杭州富阳建筑工程质量检测有限公司</w:t>
      </w:r>
    </w:p>
    <w:p>
      <w:pPr>
        <w:rPr>
          <w:rFonts w:hint="eastAsia" w:ascii="宋体" w:hAnsi="宋体" w:eastAsia="宋体" w:cs="宋体"/>
          <w:sz w:val="24"/>
          <w:szCs w:val="24"/>
        </w:rPr>
      </w:pPr>
      <w:r>
        <w:rPr>
          <w:rFonts w:hint="eastAsia" w:ascii="宋体" w:hAnsi="宋体" w:eastAsia="宋体" w:cs="宋体"/>
          <w:sz w:val="24"/>
          <w:szCs w:val="24"/>
        </w:rPr>
        <w:t>乙方：</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为了保证检测结果的准确有效、可追溯性，</w:t>
      </w:r>
      <w:r>
        <w:rPr>
          <w:rFonts w:hint="eastAsia" w:ascii="宋体" w:hAnsi="宋体" w:eastAsia="宋体" w:cs="宋体"/>
          <w:sz w:val="24"/>
          <w:szCs w:val="24"/>
        </w:rPr>
        <w:t>根据《民法典·合同编》、《中华人民共和国计量法》、《浙江省检验机构管理条例》（2015修正）及其他相关计量、校准法规、规章的有关规定，合同双方就甲方的检测设备的进行计量检定/校准/检测服务，经协商一致，甲乙双方共同签订本合同。</w:t>
      </w:r>
    </w:p>
    <w:p>
      <w:pPr>
        <w:spacing w:line="560" w:lineRule="exact"/>
        <w:rPr>
          <w:rFonts w:hint="eastAsia" w:ascii="宋体" w:hAnsi="宋体" w:eastAsia="宋体" w:cs="宋体"/>
          <w:b/>
          <w:bCs/>
          <w:sz w:val="24"/>
          <w:szCs w:val="24"/>
        </w:rPr>
      </w:pPr>
      <w:r>
        <w:rPr>
          <w:rFonts w:hint="eastAsia" w:ascii="宋体" w:hAnsi="宋体" w:eastAsia="宋体" w:cs="宋体"/>
          <w:b/>
          <w:bCs/>
          <w:sz w:val="24"/>
          <w:szCs w:val="24"/>
        </w:rPr>
        <w:t>一、服务的内容和要求</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1、乙方根据甲方所需检测设备的检定/校准/检测要求，提供检测设备的计量检定/校准/检测服务，并对测试设备的管理工作提出建设性意见。</w:t>
      </w:r>
    </w:p>
    <w:p>
      <w:pPr>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2、甲方要求乙方提供的计量检定/校准/检测服务符合相关技术法规要求。</w:t>
      </w:r>
      <w:r>
        <w:rPr>
          <w:rFonts w:hint="eastAsia" w:ascii="宋体" w:hAnsi="宋体" w:eastAsia="宋体" w:cs="宋体"/>
          <w:sz w:val="24"/>
          <w:szCs w:val="24"/>
          <w:lang w:val="en-US" w:eastAsia="zh-CN"/>
        </w:rPr>
        <w:t>确保所有计量检测设备正常、稳定的工作，确保所有检测数据准确、有效。</w:t>
      </w:r>
    </w:p>
    <w:p>
      <w:pPr>
        <w:spacing w:line="560" w:lineRule="exact"/>
        <w:rPr>
          <w:rFonts w:hint="eastAsia" w:ascii="宋体" w:hAnsi="宋体" w:eastAsia="宋体" w:cs="宋体"/>
          <w:b/>
          <w:bCs/>
          <w:sz w:val="24"/>
          <w:szCs w:val="24"/>
        </w:rPr>
      </w:pPr>
      <w:r>
        <w:rPr>
          <w:rFonts w:hint="eastAsia" w:ascii="宋体" w:hAnsi="宋体" w:eastAsia="宋体" w:cs="宋体"/>
          <w:b/>
          <w:bCs/>
          <w:sz w:val="24"/>
          <w:szCs w:val="24"/>
        </w:rPr>
        <w:t>二、履行服务期限和地点</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本合同服务期自</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月 </w:t>
      </w:r>
      <w:r>
        <w:rPr>
          <w:rFonts w:hint="eastAsia" w:ascii="宋体" w:hAnsi="宋体" w:eastAsia="宋体" w:cs="宋体"/>
          <w:sz w:val="24"/>
          <w:szCs w:val="24"/>
          <w:u w:val="single"/>
        </w:rPr>
        <w:t xml:space="preserve">   </w:t>
      </w:r>
      <w:r>
        <w:rPr>
          <w:rFonts w:hint="eastAsia" w:ascii="宋体" w:hAnsi="宋体" w:eastAsia="宋体" w:cs="宋体"/>
          <w:sz w:val="24"/>
          <w:szCs w:val="24"/>
        </w:rPr>
        <w:t>日至</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日（至全部仪器设备检定</w:t>
      </w:r>
      <w:r>
        <w:rPr>
          <w:rFonts w:hint="eastAsia" w:ascii="宋体" w:hAnsi="宋体" w:eastAsia="宋体" w:cs="宋体"/>
          <w:sz w:val="24"/>
          <w:szCs w:val="24"/>
          <w:lang w:val="en-US" w:eastAsia="zh-CN"/>
        </w:rPr>
        <w:t>/</w:t>
      </w:r>
      <w:r>
        <w:rPr>
          <w:rFonts w:hint="eastAsia" w:ascii="宋体" w:hAnsi="宋体" w:eastAsia="宋体" w:cs="宋体"/>
          <w:sz w:val="24"/>
          <w:szCs w:val="24"/>
        </w:rPr>
        <w:t>校准结束），根据工作计划的安排分别在甲乙双方所在地履行服务。</w:t>
      </w:r>
    </w:p>
    <w:p>
      <w:pPr>
        <w:spacing w:line="560" w:lineRule="exact"/>
        <w:rPr>
          <w:rFonts w:hint="eastAsia" w:ascii="宋体" w:hAnsi="宋体" w:eastAsia="宋体" w:cs="宋体"/>
          <w:sz w:val="24"/>
          <w:szCs w:val="24"/>
        </w:rPr>
      </w:pPr>
      <w:r>
        <w:rPr>
          <w:rFonts w:hint="eastAsia" w:ascii="宋体" w:hAnsi="宋体" w:eastAsia="宋体" w:cs="宋体"/>
          <w:sz w:val="24"/>
          <w:szCs w:val="24"/>
        </w:rPr>
        <w:t>三、履约保证金</w:t>
      </w:r>
    </w:p>
    <w:p>
      <w:pPr>
        <w:pStyle w:val="2"/>
        <w:numPr>
          <w:ilvl w:val="0"/>
          <w:numId w:val="0"/>
        </w:numPr>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合同签订之日起七日内，乙方需向甲方缴纳履约保证金人民币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元整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中标价10%</w:t>
      </w:r>
      <w:r>
        <w:rPr>
          <w:rFonts w:hint="eastAsia" w:ascii="宋体" w:hAnsi="宋体" w:eastAsia="宋体" w:cs="宋体"/>
          <w:sz w:val="24"/>
          <w:szCs w:val="24"/>
          <w:lang w:eastAsia="zh-CN"/>
        </w:rPr>
        <w:t>）</w:t>
      </w:r>
      <w:r>
        <w:rPr>
          <w:rFonts w:hint="eastAsia" w:ascii="宋体" w:hAnsi="宋体" w:eastAsia="宋体" w:cs="宋体"/>
          <w:sz w:val="24"/>
          <w:szCs w:val="24"/>
        </w:rPr>
        <w:t>，履约保证金在合同期满，且提供的所有服务验收合格后，一个月内无息退还。</w:t>
      </w:r>
    </w:p>
    <w:p>
      <w:pPr>
        <w:spacing w:line="560" w:lineRule="exact"/>
        <w:rPr>
          <w:rFonts w:hint="eastAsia" w:ascii="宋体" w:hAnsi="宋体" w:eastAsia="宋体" w:cs="宋体"/>
          <w:b/>
          <w:bCs/>
          <w:sz w:val="24"/>
          <w:szCs w:val="24"/>
        </w:rPr>
      </w:pPr>
      <w:r>
        <w:rPr>
          <w:rFonts w:hint="eastAsia" w:ascii="宋体" w:hAnsi="宋体" w:eastAsia="宋体" w:cs="宋体"/>
          <w:b/>
          <w:bCs/>
          <w:sz w:val="24"/>
          <w:szCs w:val="24"/>
        </w:rPr>
        <w:t>四、乙方责任</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1、根据甲方检测设备实际情况，同甲方协商制定检定/校准/检测工作计划。</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2、指导甲方按相关要求编制周期检定计划。</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3、指导甲方对测试设备进行规范性管理。</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4、所出具检定/校准/检测证书符合相关要求，能够满足甲方计量认证要求。</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检定</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校准</w:t>
      </w:r>
      <w:r>
        <w:rPr>
          <w:rFonts w:hint="eastAsia" w:ascii="宋体" w:hAnsi="宋体" w:eastAsia="宋体" w:cs="宋体"/>
          <w:kern w:val="0"/>
          <w:sz w:val="24"/>
          <w:szCs w:val="24"/>
        </w:rPr>
        <w:t>）报告正确率确保95%以上，如达不到要求，扣除履约保证金。</w:t>
      </w:r>
    </w:p>
    <w:p>
      <w:pPr>
        <w:spacing w:line="560" w:lineRule="exact"/>
        <w:rPr>
          <w:rFonts w:hint="eastAsia" w:ascii="宋体" w:hAnsi="宋体" w:eastAsia="宋体" w:cs="宋体"/>
          <w:b/>
          <w:bCs/>
          <w:sz w:val="24"/>
          <w:szCs w:val="24"/>
        </w:rPr>
      </w:pPr>
      <w:r>
        <w:rPr>
          <w:rFonts w:hint="eastAsia" w:ascii="宋体" w:hAnsi="宋体" w:eastAsia="宋体" w:cs="宋体"/>
          <w:b/>
          <w:bCs/>
          <w:sz w:val="24"/>
          <w:szCs w:val="24"/>
        </w:rPr>
        <w:t>五、甲方责任</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1、按双方共同制定的检定/校准/检测工作计划执行各项工作。</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2、向乙方提供涉及检定/校准/检测所必需的资料、文件和满足现场检定/校准/检测所需要的场所、环境条件等工作条件。</w:t>
      </w:r>
    </w:p>
    <w:p>
      <w:pPr>
        <w:tabs>
          <w:tab w:val="left" w:pos="540"/>
        </w:tabs>
        <w:spacing w:line="56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3、按本合同的规定向乙方支付检定/校准/检测服务费。</w:t>
      </w:r>
    </w:p>
    <w:p>
      <w:pPr>
        <w:spacing w:line="56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4、本合同生效后，不应与其他检定机构再次签订类似项目的委托检定/校准服务合同。</w:t>
      </w:r>
    </w:p>
    <w:p>
      <w:pPr>
        <w:spacing w:line="560" w:lineRule="exact"/>
        <w:rPr>
          <w:rFonts w:hint="eastAsia" w:ascii="宋体" w:hAnsi="宋体" w:eastAsia="宋体" w:cs="宋体"/>
          <w:b/>
          <w:bCs/>
          <w:sz w:val="24"/>
          <w:szCs w:val="24"/>
        </w:rPr>
      </w:pPr>
      <w:r>
        <w:rPr>
          <w:rFonts w:hint="eastAsia" w:ascii="宋体" w:hAnsi="宋体" w:eastAsia="宋体" w:cs="宋体"/>
          <w:b/>
          <w:bCs/>
          <w:sz w:val="24"/>
          <w:szCs w:val="24"/>
        </w:rPr>
        <w:t>六、合同的附件</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在合同执行过程中，经双方确认的测试设备清单、周期检定（校准）计划，乙方的相关资质证明、协议实施记录及有关备忘录均作为本合同的附件。</w:t>
      </w:r>
    </w:p>
    <w:p>
      <w:pPr>
        <w:spacing w:line="560" w:lineRule="exact"/>
        <w:rPr>
          <w:rFonts w:hint="eastAsia" w:ascii="宋体" w:hAnsi="宋体" w:eastAsia="宋体" w:cs="宋体"/>
          <w:b/>
          <w:bCs/>
          <w:sz w:val="24"/>
          <w:szCs w:val="24"/>
        </w:rPr>
      </w:pPr>
      <w:r>
        <w:rPr>
          <w:rFonts w:hint="eastAsia" w:ascii="宋体" w:hAnsi="宋体" w:eastAsia="宋体" w:cs="宋体"/>
          <w:b/>
          <w:bCs/>
          <w:sz w:val="24"/>
          <w:szCs w:val="24"/>
        </w:rPr>
        <w:t>七、合同费用及付款方式</w:t>
      </w:r>
    </w:p>
    <w:p>
      <w:pPr>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1、本次合同费用为中标价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元整。 </w:t>
      </w:r>
    </w:p>
    <w:p>
      <w:pPr>
        <w:spacing w:line="560" w:lineRule="exact"/>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合同内检定（校准）</w:t>
      </w:r>
      <w:r>
        <w:rPr>
          <w:rFonts w:hint="eastAsia" w:ascii="宋体" w:hAnsi="宋体" w:eastAsia="宋体" w:cs="宋体"/>
          <w:sz w:val="24"/>
          <w:szCs w:val="24"/>
        </w:rPr>
        <w:t>设备要求</w:t>
      </w:r>
      <w:r>
        <w:rPr>
          <w:rFonts w:hint="eastAsia" w:ascii="宋体" w:hAnsi="宋体" w:eastAsia="宋体" w:cs="宋体"/>
          <w:sz w:val="24"/>
          <w:szCs w:val="24"/>
          <w:lang w:val="en-US" w:eastAsia="zh-CN"/>
        </w:rPr>
        <w:t>检定/校准</w:t>
      </w:r>
      <w:r>
        <w:rPr>
          <w:rFonts w:hint="eastAsia" w:ascii="宋体" w:hAnsi="宋体" w:eastAsia="宋体" w:cs="宋体"/>
          <w:sz w:val="24"/>
          <w:szCs w:val="24"/>
        </w:rPr>
        <w:t>机构委派人员来杭州富阳建筑工程质量检测有限公司仪器设备现场检测，现场检测不了的，来回搬运费应包含在报价内，自行前往接送；年度需2次以上</w:t>
      </w:r>
      <w:r>
        <w:rPr>
          <w:rFonts w:hint="eastAsia" w:ascii="宋体" w:hAnsi="宋体" w:eastAsia="宋体" w:cs="宋体"/>
          <w:sz w:val="24"/>
          <w:szCs w:val="24"/>
          <w:lang w:val="en-US" w:eastAsia="zh-CN"/>
        </w:rPr>
        <w:t>检定</w:t>
      </w:r>
      <w:r>
        <w:rPr>
          <w:rFonts w:hint="eastAsia" w:ascii="宋体" w:hAnsi="宋体" w:eastAsia="宋体" w:cs="宋体"/>
          <w:sz w:val="24"/>
          <w:szCs w:val="24"/>
        </w:rPr>
        <w:t>（</w:t>
      </w:r>
      <w:r>
        <w:rPr>
          <w:rFonts w:hint="eastAsia" w:ascii="宋体" w:hAnsi="宋体" w:eastAsia="宋体" w:cs="宋体"/>
          <w:sz w:val="24"/>
          <w:szCs w:val="24"/>
          <w:lang w:val="en-US" w:eastAsia="zh-CN"/>
        </w:rPr>
        <w:t>校准</w:t>
      </w:r>
      <w:r>
        <w:rPr>
          <w:rFonts w:hint="eastAsia" w:ascii="宋体" w:hAnsi="宋体" w:eastAsia="宋体" w:cs="宋体"/>
          <w:sz w:val="24"/>
          <w:szCs w:val="24"/>
        </w:rPr>
        <w:t>）设备，</w:t>
      </w:r>
      <w:r>
        <w:rPr>
          <w:rFonts w:hint="eastAsia" w:ascii="宋体" w:hAnsi="宋体" w:eastAsia="宋体" w:cs="宋体"/>
          <w:sz w:val="24"/>
          <w:szCs w:val="24"/>
          <w:lang w:val="en-US" w:eastAsia="zh-CN"/>
        </w:rPr>
        <w:t>需按规定间隔时间进行</w:t>
      </w:r>
      <w:r>
        <w:rPr>
          <w:rFonts w:hint="eastAsia" w:ascii="宋体" w:hAnsi="宋体" w:eastAsia="宋体" w:cs="宋体"/>
          <w:sz w:val="24"/>
          <w:szCs w:val="24"/>
        </w:rPr>
        <w:t>；如增加设备，按同类设备报价参照执行，无比较新设备参照市场价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需3家以上单位询价</w:t>
      </w:r>
      <w:r>
        <w:rPr>
          <w:rFonts w:hint="eastAsia" w:ascii="宋体" w:hAnsi="宋体" w:eastAsia="宋体" w:cs="宋体"/>
          <w:sz w:val="24"/>
          <w:szCs w:val="24"/>
          <w:lang w:eastAsia="zh-CN"/>
        </w:rPr>
        <w:t>）</w:t>
      </w:r>
      <w:r>
        <w:rPr>
          <w:rFonts w:hint="eastAsia" w:ascii="宋体" w:hAnsi="宋体" w:eastAsia="宋体" w:cs="宋体"/>
          <w:sz w:val="24"/>
          <w:szCs w:val="24"/>
        </w:rPr>
        <w:t>下浮20%</w:t>
      </w:r>
    </w:p>
    <w:p>
      <w:pPr>
        <w:spacing w:line="560" w:lineRule="exact"/>
        <w:ind w:left="561" w:leftChars="267"/>
        <w:rPr>
          <w:rFonts w:hint="eastAsia" w:ascii="宋体" w:hAnsi="宋体" w:eastAsia="宋体" w:cs="宋体"/>
          <w:sz w:val="24"/>
          <w:szCs w:val="24"/>
        </w:rPr>
      </w:pPr>
      <w:r>
        <w:rPr>
          <w:rFonts w:hint="eastAsia" w:ascii="宋体" w:hAnsi="宋体" w:eastAsia="宋体" w:cs="宋体"/>
          <w:sz w:val="24"/>
          <w:szCs w:val="24"/>
        </w:rPr>
        <w:t>3、对需要修理或更换的检测设备，经双方协议处理。</w:t>
      </w:r>
    </w:p>
    <w:p>
      <w:pPr>
        <w:spacing w:line="560" w:lineRule="exact"/>
        <w:ind w:firstLine="561"/>
        <w:jc w:val="left"/>
        <w:rPr>
          <w:rFonts w:hint="eastAsia" w:ascii="宋体" w:hAnsi="宋体" w:eastAsia="宋体" w:cs="宋体"/>
          <w:sz w:val="24"/>
          <w:szCs w:val="24"/>
        </w:rPr>
      </w:pPr>
      <w:r>
        <w:rPr>
          <w:rFonts w:hint="eastAsia" w:ascii="宋体" w:hAnsi="宋体" w:eastAsia="宋体" w:cs="宋体"/>
          <w:sz w:val="24"/>
          <w:szCs w:val="24"/>
        </w:rPr>
        <w:t>4、乙方提供抵扣税率为增值税</w:t>
      </w:r>
      <w:r>
        <w:rPr>
          <w:rFonts w:hint="eastAsia" w:ascii="宋体" w:hAnsi="宋体" w:eastAsia="宋体" w:cs="宋体"/>
          <w:sz w:val="24"/>
          <w:szCs w:val="24"/>
          <w:u w:val="single"/>
        </w:rPr>
        <w:t xml:space="preserve">    </w:t>
      </w:r>
      <w:r>
        <w:rPr>
          <w:rFonts w:hint="eastAsia" w:ascii="宋体" w:hAnsi="宋体" w:eastAsia="宋体" w:cs="宋体"/>
          <w:sz w:val="24"/>
          <w:szCs w:val="24"/>
        </w:rPr>
        <w:t>%的专用发票，全部仪器设备检定校准结束，并提交满足乙方计量认证要求报告（所有服务验收合格），甲方10日之内向乙方付清所有设备检定/校准费用。</w:t>
      </w:r>
    </w:p>
    <w:p>
      <w:pPr>
        <w:spacing w:line="560" w:lineRule="exact"/>
        <w:rPr>
          <w:rFonts w:hint="eastAsia" w:ascii="宋体" w:hAnsi="宋体" w:eastAsia="宋体" w:cs="宋体"/>
          <w:b/>
          <w:bCs/>
          <w:sz w:val="24"/>
          <w:szCs w:val="24"/>
        </w:rPr>
      </w:pPr>
      <w:r>
        <w:rPr>
          <w:rFonts w:hint="eastAsia" w:ascii="宋体" w:hAnsi="宋体" w:eastAsia="宋体" w:cs="宋体"/>
          <w:b/>
          <w:bCs/>
          <w:sz w:val="24"/>
          <w:szCs w:val="24"/>
        </w:rPr>
        <w:t>八、争议的处理</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在合同的履行过程中发生争议时，双方应协商解决，也可请求双方的主管部门进行调解，若还不能解决，在合同/协议及约定的履行过程中发生争议时，</w:t>
      </w:r>
      <w:r>
        <w:rPr>
          <w:rFonts w:hint="eastAsia" w:ascii="宋体" w:hAnsi="宋体" w:eastAsia="宋体" w:cs="宋体"/>
          <w:sz w:val="24"/>
          <w:szCs w:val="24"/>
          <w:lang w:val="en-US" w:eastAsia="zh-CN"/>
        </w:rPr>
        <w:t>双</w:t>
      </w:r>
      <w:r>
        <w:rPr>
          <w:rFonts w:hint="eastAsia" w:ascii="宋体" w:hAnsi="宋体" w:eastAsia="宋体" w:cs="宋体"/>
          <w:sz w:val="24"/>
          <w:szCs w:val="24"/>
        </w:rPr>
        <w:t>方应协商解决，若协商不能解决，则向合同履行地人民法院起诉处理。</w:t>
      </w:r>
    </w:p>
    <w:p>
      <w:pPr>
        <w:spacing w:line="560" w:lineRule="exact"/>
        <w:rPr>
          <w:rFonts w:hint="eastAsia" w:ascii="宋体" w:hAnsi="宋体" w:eastAsia="宋体" w:cs="宋体"/>
          <w:b/>
          <w:bCs/>
          <w:sz w:val="24"/>
          <w:szCs w:val="24"/>
        </w:rPr>
      </w:pPr>
      <w:r>
        <w:rPr>
          <w:rFonts w:hint="eastAsia" w:ascii="宋体" w:hAnsi="宋体" w:eastAsia="宋体" w:cs="宋体"/>
          <w:b/>
          <w:bCs/>
          <w:sz w:val="24"/>
          <w:szCs w:val="24"/>
        </w:rPr>
        <w:t>九、其他</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1、本协议一式四份，甲乙双方各执二份。</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2、本合同未尽事宜，另行协商补充。</w:t>
      </w:r>
    </w:p>
    <w:p>
      <w:pPr>
        <w:spacing w:line="500" w:lineRule="exact"/>
        <w:rPr>
          <w:rFonts w:hint="eastAsia" w:ascii="宋体" w:hAnsi="宋体" w:eastAsia="宋体" w:cs="宋体"/>
          <w:sz w:val="24"/>
          <w:szCs w:val="24"/>
        </w:rPr>
      </w:pPr>
      <w:r>
        <w:rPr>
          <w:rFonts w:hint="eastAsia" w:ascii="宋体" w:hAnsi="宋体" w:eastAsia="宋体" w:cs="宋体"/>
          <w:sz w:val="24"/>
          <w:szCs w:val="24"/>
        </w:rPr>
        <w:t xml:space="preserve">   （以下为签章页，无正文）</w:t>
      </w:r>
    </w:p>
    <w:p>
      <w:pPr>
        <w:rPr>
          <w:rFonts w:hint="eastAsia" w:ascii="宋体" w:hAnsi="宋体" w:eastAsia="宋体" w:cs="宋体"/>
          <w:sz w:val="24"/>
          <w:szCs w:val="24"/>
        </w:rPr>
        <w:sectPr>
          <w:footerReference r:id="rId3" w:type="default"/>
          <w:pgSz w:w="11906" w:h="16838"/>
          <w:pgMar w:top="1418" w:right="1588" w:bottom="1418" w:left="1474" w:header="851" w:footer="992" w:gutter="0"/>
          <w:pgNumType w:start="1"/>
          <w:cols w:space="720" w:num="1"/>
          <w:docGrid w:type="lines" w:linePitch="312" w:charSpace="0"/>
        </w:sectPr>
      </w:pPr>
    </w:p>
    <w:p>
      <w:pPr>
        <w:spacing w:line="140" w:lineRule="exact"/>
        <w:rPr>
          <w:rFonts w:hint="eastAsia" w:ascii="宋体" w:hAnsi="宋体" w:eastAsia="宋体" w:cs="宋体"/>
          <w:sz w:val="24"/>
          <w:szCs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85"/>
        <w:gridCol w:w="2144"/>
        <w:gridCol w:w="271"/>
        <w:gridCol w:w="105"/>
        <w:gridCol w:w="1575"/>
        <w:gridCol w:w="193"/>
        <w:gridCol w:w="32"/>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843"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甲</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方</w:t>
            </w:r>
          </w:p>
          <w:p>
            <w:pPr>
              <w:jc w:val="center"/>
              <w:rPr>
                <w:rFonts w:hint="eastAsia" w:ascii="宋体" w:hAnsi="宋体" w:eastAsia="宋体" w:cs="宋体"/>
                <w:sz w:val="24"/>
                <w:szCs w:val="24"/>
              </w:rPr>
            </w:pPr>
          </w:p>
        </w:tc>
        <w:tc>
          <w:tcPr>
            <w:tcW w:w="17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6432" w:type="dxa"/>
            <w:gridSpan w:val="7"/>
            <w:noWrap w:val="0"/>
            <w:vAlign w:val="center"/>
          </w:tcPr>
          <w:p>
            <w:pPr>
              <w:jc w:val="right"/>
              <w:rPr>
                <w:rFonts w:hint="eastAsia" w:ascii="宋体" w:hAnsi="宋体" w:eastAsia="宋体" w:cs="宋体"/>
                <w:sz w:val="24"/>
                <w:szCs w:val="24"/>
              </w:rPr>
            </w:pPr>
            <w:r>
              <w:rPr>
                <w:rFonts w:hint="eastAsia" w:ascii="宋体" w:hAnsi="宋体" w:eastAsia="宋体" w:cs="宋体"/>
                <w:sz w:val="24"/>
                <w:szCs w:val="24"/>
              </w:rPr>
              <w:t>杭州富阳建筑工程质量检测有限公司（公章）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843" w:type="dxa"/>
            <w:vMerge w:val="continue"/>
            <w:noWrap w:val="0"/>
            <w:vAlign w:val="center"/>
          </w:tcPr>
          <w:p>
            <w:pPr>
              <w:jc w:val="center"/>
              <w:rPr>
                <w:rFonts w:hint="eastAsia" w:ascii="宋体" w:hAnsi="宋体" w:eastAsia="宋体" w:cs="宋体"/>
                <w:sz w:val="24"/>
                <w:szCs w:val="24"/>
              </w:rPr>
            </w:pPr>
          </w:p>
        </w:tc>
        <w:tc>
          <w:tcPr>
            <w:tcW w:w="17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2415" w:type="dxa"/>
            <w:gridSpan w:val="2"/>
            <w:noWrap w:val="0"/>
            <w:vAlign w:val="center"/>
          </w:tcPr>
          <w:p>
            <w:pPr>
              <w:jc w:val="center"/>
              <w:rPr>
                <w:rFonts w:hint="eastAsia" w:ascii="宋体" w:hAnsi="宋体" w:eastAsia="宋体" w:cs="宋体"/>
                <w:sz w:val="24"/>
                <w:szCs w:val="24"/>
              </w:rPr>
            </w:pPr>
          </w:p>
        </w:tc>
        <w:tc>
          <w:tcPr>
            <w:tcW w:w="1680"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委托代理人</w:t>
            </w:r>
          </w:p>
        </w:tc>
        <w:tc>
          <w:tcPr>
            <w:tcW w:w="2337" w:type="dxa"/>
            <w:gridSpan w:val="3"/>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843" w:type="dxa"/>
            <w:vMerge w:val="continue"/>
            <w:noWrap w:val="0"/>
            <w:vAlign w:val="center"/>
          </w:tcPr>
          <w:p>
            <w:pPr>
              <w:jc w:val="center"/>
              <w:rPr>
                <w:rFonts w:hint="eastAsia" w:ascii="宋体" w:hAnsi="宋体" w:eastAsia="宋体" w:cs="宋体"/>
                <w:sz w:val="24"/>
                <w:szCs w:val="24"/>
              </w:rPr>
            </w:pPr>
          </w:p>
        </w:tc>
        <w:tc>
          <w:tcPr>
            <w:tcW w:w="17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 系 人</w:t>
            </w:r>
          </w:p>
        </w:tc>
        <w:tc>
          <w:tcPr>
            <w:tcW w:w="6432" w:type="dxa"/>
            <w:gridSpan w:val="7"/>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843" w:type="dxa"/>
            <w:vMerge w:val="continue"/>
            <w:noWrap w:val="0"/>
            <w:vAlign w:val="center"/>
          </w:tcPr>
          <w:p>
            <w:pPr>
              <w:jc w:val="center"/>
              <w:rPr>
                <w:rFonts w:hint="eastAsia" w:ascii="宋体" w:hAnsi="宋体" w:eastAsia="宋体" w:cs="宋体"/>
                <w:sz w:val="24"/>
                <w:szCs w:val="24"/>
              </w:rPr>
            </w:pPr>
          </w:p>
        </w:tc>
        <w:tc>
          <w:tcPr>
            <w:tcW w:w="1785"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地    址</w:t>
            </w:r>
          </w:p>
        </w:tc>
        <w:tc>
          <w:tcPr>
            <w:tcW w:w="6432" w:type="dxa"/>
            <w:gridSpan w:val="7"/>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trPr>
        <w:tc>
          <w:tcPr>
            <w:tcW w:w="843" w:type="dxa"/>
            <w:vMerge w:val="continue"/>
            <w:noWrap w:val="0"/>
            <w:vAlign w:val="center"/>
          </w:tcPr>
          <w:p>
            <w:pPr>
              <w:jc w:val="center"/>
              <w:rPr>
                <w:rFonts w:hint="eastAsia" w:ascii="宋体" w:hAnsi="宋体" w:eastAsia="宋体" w:cs="宋体"/>
                <w:sz w:val="24"/>
                <w:szCs w:val="24"/>
              </w:rPr>
            </w:pPr>
          </w:p>
        </w:tc>
        <w:tc>
          <w:tcPr>
            <w:tcW w:w="17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2144" w:type="dxa"/>
            <w:noWrap w:val="0"/>
            <w:vAlign w:val="center"/>
          </w:tcPr>
          <w:p>
            <w:pPr>
              <w:jc w:val="center"/>
              <w:rPr>
                <w:rFonts w:hint="eastAsia" w:ascii="宋体" w:hAnsi="宋体" w:eastAsia="宋体" w:cs="宋体"/>
                <w:sz w:val="24"/>
                <w:szCs w:val="24"/>
              </w:rPr>
            </w:pPr>
          </w:p>
        </w:tc>
        <w:tc>
          <w:tcPr>
            <w:tcW w:w="2144"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传    真</w:t>
            </w:r>
          </w:p>
        </w:tc>
        <w:tc>
          <w:tcPr>
            <w:tcW w:w="2144"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43" w:type="dxa"/>
            <w:vMerge w:val="continue"/>
            <w:noWrap w:val="0"/>
            <w:vAlign w:val="center"/>
          </w:tcPr>
          <w:p>
            <w:pPr>
              <w:jc w:val="center"/>
              <w:rPr>
                <w:rFonts w:hint="eastAsia" w:ascii="宋体" w:hAnsi="宋体" w:eastAsia="宋体" w:cs="宋体"/>
                <w:sz w:val="24"/>
                <w:szCs w:val="24"/>
              </w:rPr>
            </w:pPr>
          </w:p>
        </w:tc>
        <w:tc>
          <w:tcPr>
            <w:tcW w:w="17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6432" w:type="dxa"/>
            <w:gridSpan w:val="7"/>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843" w:type="dxa"/>
            <w:vMerge w:val="continue"/>
            <w:noWrap w:val="0"/>
            <w:vAlign w:val="center"/>
          </w:tcPr>
          <w:p>
            <w:pPr>
              <w:jc w:val="center"/>
              <w:rPr>
                <w:rFonts w:hint="eastAsia" w:ascii="宋体" w:hAnsi="宋体" w:eastAsia="宋体" w:cs="宋体"/>
                <w:sz w:val="24"/>
                <w:szCs w:val="24"/>
              </w:rPr>
            </w:pPr>
          </w:p>
        </w:tc>
        <w:tc>
          <w:tcPr>
            <w:tcW w:w="17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帐    号</w:t>
            </w:r>
          </w:p>
        </w:tc>
        <w:tc>
          <w:tcPr>
            <w:tcW w:w="6432" w:type="dxa"/>
            <w:gridSpan w:val="7"/>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843"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乙</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方</w:t>
            </w:r>
          </w:p>
          <w:p>
            <w:pPr>
              <w:jc w:val="center"/>
              <w:rPr>
                <w:rFonts w:hint="eastAsia" w:ascii="宋体" w:hAnsi="宋体" w:eastAsia="宋体" w:cs="宋体"/>
                <w:sz w:val="24"/>
                <w:szCs w:val="24"/>
              </w:rPr>
            </w:pPr>
          </w:p>
        </w:tc>
        <w:tc>
          <w:tcPr>
            <w:tcW w:w="17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6432" w:type="dxa"/>
            <w:gridSpan w:val="7"/>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843" w:type="dxa"/>
            <w:vMerge w:val="continue"/>
            <w:noWrap w:val="0"/>
            <w:vAlign w:val="center"/>
          </w:tcPr>
          <w:p>
            <w:pPr>
              <w:jc w:val="center"/>
              <w:rPr>
                <w:rFonts w:hint="eastAsia" w:ascii="宋体" w:hAnsi="宋体" w:eastAsia="宋体" w:cs="宋体"/>
                <w:sz w:val="24"/>
                <w:szCs w:val="24"/>
              </w:rPr>
            </w:pPr>
          </w:p>
        </w:tc>
        <w:tc>
          <w:tcPr>
            <w:tcW w:w="17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2520" w:type="dxa"/>
            <w:gridSpan w:val="3"/>
            <w:noWrap w:val="0"/>
            <w:vAlign w:val="center"/>
          </w:tcPr>
          <w:p>
            <w:pPr>
              <w:jc w:val="center"/>
              <w:rPr>
                <w:rFonts w:hint="eastAsia" w:ascii="宋体" w:hAnsi="宋体" w:eastAsia="宋体" w:cs="宋体"/>
                <w:sz w:val="24"/>
                <w:szCs w:val="24"/>
              </w:rPr>
            </w:pPr>
          </w:p>
        </w:tc>
        <w:tc>
          <w:tcPr>
            <w:tcW w:w="18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委托代理人</w:t>
            </w:r>
          </w:p>
        </w:tc>
        <w:tc>
          <w:tcPr>
            <w:tcW w:w="2112"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843" w:type="dxa"/>
            <w:vMerge w:val="continue"/>
            <w:noWrap w:val="0"/>
            <w:vAlign w:val="center"/>
          </w:tcPr>
          <w:p>
            <w:pPr>
              <w:jc w:val="center"/>
              <w:rPr>
                <w:rFonts w:hint="eastAsia" w:ascii="宋体" w:hAnsi="宋体" w:eastAsia="宋体" w:cs="宋体"/>
                <w:sz w:val="24"/>
                <w:szCs w:val="24"/>
              </w:rPr>
            </w:pPr>
          </w:p>
        </w:tc>
        <w:tc>
          <w:tcPr>
            <w:tcW w:w="17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 系 人</w:t>
            </w:r>
          </w:p>
        </w:tc>
        <w:tc>
          <w:tcPr>
            <w:tcW w:w="6432" w:type="dxa"/>
            <w:gridSpan w:val="7"/>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843" w:type="dxa"/>
            <w:vMerge w:val="continue"/>
            <w:noWrap w:val="0"/>
            <w:vAlign w:val="center"/>
          </w:tcPr>
          <w:p>
            <w:pPr>
              <w:jc w:val="center"/>
              <w:rPr>
                <w:rFonts w:hint="eastAsia" w:ascii="宋体" w:hAnsi="宋体" w:eastAsia="宋体" w:cs="宋体"/>
                <w:sz w:val="24"/>
                <w:szCs w:val="24"/>
              </w:rPr>
            </w:pPr>
          </w:p>
        </w:tc>
        <w:tc>
          <w:tcPr>
            <w:tcW w:w="17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2520" w:type="dxa"/>
            <w:gridSpan w:val="3"/>
            <w:noWrap w:val="0"/>
            <w:vAlign w:val="center"/>
          </w:tcPr>
          <w:p>
            <w:pPr>
              <w:jc w:val="center"/>
              <w:rPr>
                <w:rFonts w:hint="eastAsia" w:ascii="宋体" w:hAnsi="宋体" w:eastAsia="宋体" w:cs="宋体"/>
                <w:sz w:val="24"/>
                <w:szCs w:val="24"/>
              </w:rPr>
            </w:pPr>
          </w:p>
        </w:tc>
        <w:tc>
          <w:tcPr>
            <w:tcW w:w="1800"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传  真</w:t>
            </w:r>
          </w:p>
        </w:tc>
        <w:tc>
          <w:tcPr>
            <w:tcW w:w="2112" w:type="dxa"/>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843" w:type="dxa"/>
            <w:vMerge w:val="continue"/>
            <w:noWrap w:val="0"/>
            <w:vAlign w:val="center"/>
          </w:tcPr>
          <w:p>
            <w:pPr>
              <w:jc w:val="center"/>
              <w:rPr>
                <w:rFonts w:hint="eastAsia" w:ascii="宋体" w:hAnsi="宋体" w:eastAsia="宋体" w:cs="宋体"/>
                <w:sz w:val="24"/>
                <w:szCs w:val="24"/>
              </w:rPr>
            </w:pPr>
          </w:p>
        </w:tc>
        <w:tc>
          <w:tcPr>
            <w:tcW w:w="17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地  址</w:t>
            </w:r>
          </w:p>
        </w:tc>
        <w:tc>
          <w:tcPr>
            <w:tcW w:w="6432" w:type="dxa"/>
            <w:gridSpan w:val="7"/>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843" w:type="dxa"/>
            <w:vMerge w:val="continue"/>
            <w:noWrap w:val="0"/>
            <w:vAlign w:val="center"/>
          </w:tcPr>
          <w:p>
            <w:pPr>
              <w:jc w:val="center"/>
              <w:rPr>
                <w:rFonts w:hint="eastAsia" w:ascii="宋体" w:hAnsi="宋体" w:eastAsia="宋体" w:cs="宋体"/>
                <w:sz w:val="24"/>
                <w:szCs w:val="24"/>
              </w:rPr>
            </w:pPr>
          </w:p>
        </w:tc>
        <w:tc>
          <w:tcPr>
            <w:tcW w:w="17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6432" w:type="dxa"/>
            <w:gridSpan w:val="7"/>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843" w:type="dxa"/>
            <w:vMerge w:val="continue"/>
            <w:noWrap w:val="0"/>
            <w:vAlign w:val="center"/>
          </w:tcPr>
          <w:p>
            <w:pPr>
              <w:jc w:val="center"/>
              <w:rPr>
                <w:rFonts w:hint="eastAsia" w:ascii="宋体" w:hAnsi="宋体" w:eastAsia="宋体" w:cs="宋体"/>
                <w:sz w:val="24"/>
                <w:szCs w:val="24"/>
              </w:rPr>
            </w:pPr>
          </w:p>
        </w:tc>
        <w:tc>
          <w:tcPr>
            <w:tcW w:w="17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帐    号</w:t>
            </w:r>
          </w:p>
        </w:tc>
        <w:tc>
          <w:tcPr>
            <w:tcW w:w="6432" w:type="dxa"/>
            <w:gridSpan w:val="7"/>
            <w:noWrap w:val="0"/>
            <w:vAlign w:val="center"/>
          </w:tcPr>
          <w:p>
            <w:pPr>
              <w:jc w:val="center"/>
              <w:rPr>
                <w:rFonts w:hint="eastAsia" w:ascii="宋体" w:hAnsi="宋体" w:eastAsia="宋体" w:cs="宋体"/>
                <w:sz w:val="24"/>
                <w:szCs w:val="24"/>
              </w:rPr>
            </w:pPr>
          </w:p>
        </w:tc>
      </w:tr>
    </w:tbl>
    <w:p>
      <w:pPr>
        <w:spacing w:line="500" w:lineRule="exact"/>
        <w:jc w:val="both"/>
        <w:rPr>
          <w:rFonts w:hint="eastAsia" w:ascii="宋体" w:hAnsi="宋体" w:eastAsia="宋体" w:cs="宋体"/>
          <w:sz w:val="24"/>
          <w:szCs w:val="24"/>
        </w:rPr>
      </w:pPr>
      <w:r>
        <w:rPr>
          <w:rFonts w:hint="eastAsia" w:ascii="宋体" w:hAnsi="宋体" w:eastAsia="宋体" w:cs="宋体"/>
          <w:sz w:val="24"/>
          <w:szCs w:val="24"/>
        </w:rPr>
        <w:t>签订地点：</w:t>
      </w:r>
      <w:r>
        <w:rPr>
          <w:rFonts w:hint="eastAsia" w:ascii="宋体" w:hAnsi="宋体" w:eastAsia="宋体" w:cs="宋体"/>
          <w:sz w:val="24"/>
          <w:szCs w:val="24"/>
          <w:u w:val="single"/>
        </w:rPr>
        <w:tab/>
      </w:r>
      <w:r>
        <w:rPr>
          <w:rFonts w:hint="eastAsia" w:ascii="宋体" w:hAnsi="宋体" w:eastAsia="宋体" w:cs="宋体"/>
          <w:sz w:val="24"/>
          <w:szCs w:val="24"/>
          <w:u w:val="single"/>
        </w:rPr>
        <w:t>浙江</w:t>
      </w:r>
      <w:r>
        <w:rPr>
          <w:rFonts w:hint="eastAsia" w:ascii="宋体" w:hAnsi="宋体" w:eastAsia="宋体" w:cs="宋体"/>
          <w:sz w:val="24"/>
          <w:szCs w:val="24"/>
          <w:u w:val="single"/>
        </w:rPr>
        <w:tab/>
      </w:r>
      <w:r>
        <w:rPr>
          <w:rFonts w:hint="eastAsia" w:ascii="宋体" w:hAnsi="宋体" w:eastAsia="宋体" w:cs="宋体"/>
          <w:sz w:val="24"/>
          <w:szCs w:val="24"/>
        </w:rPr>
        <w:t>省</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杭州 </w:t>
      </w:r>
      <w:r>
        <w:rPr>
          <w:rFonts w:hint="eastAsia" w:ascii="宋体" w:hAnsi="宋体" w:eastAsia="宋体" w:cs="宋体"/>
          <w:sz w:val="24"/>
          <w:szCs w:val="24"/>
        </w:rPr>
        <w:t>市</w:t>
      </w:r>
      <w:r>
        <w:rPr>
          <w:rFonts w:hint="eastAsia" w:ascii="宋体" w:hAnsi="宋体" w:eastAsia="宋体" w:cs="宋体"/>
          <w:sz w:val="24"/>
          <w:szCs w:val="24"/>
          <w:u w:val="single"/>
        </w:rPr>
        <w:t xml:space="preserve">  富阳  </w:t>
      </w:r>
      <w:r>
        <w:rPr>
          <w:rFonts w:hint="eastAsia" w:ascii="宋体" w:hAnsi="宋体" w:eastAsia="宋体" w:cs="宋体"/>
          <w:sz w:val="24"/>
          <w:szCs w:val="24"/>
        </w:rPr>
        <w:t>（区\县）</w:t>
      </w:r>
    </w:p>
    <w:p>
      <w:pPr>
        <w:rPr>
          <w:rFonts w:hint="eastAsia" w:ascii="宋体" w:hAnsi="宋体" w:eastAsia="宋体" w:cs="宋体"/>
          <w:sz w:val="24"/>
          <w:szCs w:val="24"/>
        </w:rPr>
      </w:pPr>
      <w:r>
        <w:rPr>
          <w:rFonts w:hint="eastAsia" w:ascii="宋体" w:hAnsi="宋体" w:eastAsia="宋体" w:cs="宋体"/>
          <w:sz w:val="24"/>
          <w:szCs w:val="24"/>
        </w:rPr>
        <w:t xml:space="preserve">签订日期： </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年</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rPr>
          <w:rFonts w:hint="eastAsia" w:ascii="宋体" w:hAnsi="宋体" w:eastAsia="宋体" w:cs="宋体"/>
          <w:sz w:val="24"/>
          <w:szCs w:val="24"/>
        </w:rPr>
      </w:pPr>
    </w:p>
    <w:p>
      <w:pPr>
        <w:widowControl/>
        <w:spacing w:line="540" w:lineRule="exact"/>
        <w:jc w:val="center"/>
        <w:rPr>
          <w:rFonts w:hint="eastAsia" w:ascii="宋体" w:hAnsi="宋体" w:eastAsia="宋体" w:cs="宋体"/>
          <w:bCs/>
          <w:kern w:val="0"/>
          <w:sz w:val="24"/>
          <w:szCs w:val="24"/>
        </w:rPr>
      </w:pPr>
    </w:p>
    <w:p>
      <w:pPr>
        <w:widowControl/>
        <w:spacing w:line="54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廉政合同</w:t>
      </w:r>
    </w:p>
    <w:p>
      <w:pPr>
        <w:widowControl/>
        <w:spacing w:line="540" w:lineRule="exact"/>
        <w:rPr>
          <w:rFonts w:hint="eastAsia" w:ascii="宋体" w:hAnsi="宋体" w:eastAsia="宋体" w:cs="宋体"/>
          <w:kern w:val="0"/>
          <w:sz w:val="24"/>
          <w:szCs w:val="24"/>
        </w:rPr>
      </w:pPr>
      <w:r>
        <w:rPr>
          <w:rFonts w:hint="eastAsia" w:ascii="宋体" w:hAnsi="宋体" w:eastAsia="宋体" w:cs="宋体"/>
          <w:kern w:val="0"/>
          <w:sz w:val="24"/>
          <w:szCs w:val="24"/>
        </w:rPr>
        <w:t>甲方：杭州富阳建筑工程质量检测有限公司</w:t>
      </w:r>
    </w:p>
    <w:p>
      <w:pPr>
        <w:widowControl/>
        <w:spacing w:line="54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乙方：  </w:t>
      </w:r>
    </w:p>
    <w:p>
      <w:pPr>
        <w:widowControl/>
        <w:spacing w:line="540" w:lineRule="exact"/>
        <w:ind w:firstLine="560"/>
        <w:jc w:val="left"/>
        <w:rPr>
          <w:rFonts w:hint="eastAsia" w:ascii="宋体" w:hAnsi="宋体" w:eastAsia="宋体" w:cs="宋体"/>
          <w:kern w:val="0"/>
          <w:sz w:val="24"/>
          <w:szCs w:val="24"/>
        </w:rPr>
      </w:pPr>
      <w:r>
        <w:rPr>
          <w:rFonts w:hint="eastAsia" w:ascii="宋体" w:hAnsi="宋体" w:eastAsia="宋体" w:cs="宋体"/>
          <w:kern w:val="0"/>
          <w:sz w:val="24"/>
          <w:szCs w:val="24"/>
        </w:rPr>
        <w:t>为规范合同签订和履约过程中的各项活动，防止发生各种谋取不正当利益的违法、违纪行为，保护国家、集体和甲乙双方的合法权益，根据国家有关政策、法律法规和廉政建设的各项规定，双方协商一致签订廉政合同，作为甲乙双方共同遵守的行为准则。</w:t>
      </w:r>
    </w:p>
    <w:p>
      <w:pPr>
        <w:widowControl/>
        <w:spacing w:line="540" w:lineRule="exact"/>
        <w:ind w:firstLine="560"/>
        <w:jc w:val="left"/>
        <w:rPr>
          <w:rFonts w:hint="eastAsia" w:ascii="宋体" w:hAnsi="宋体" w:eastAsia="宋体" w:cs="宋体"/>
          <w:kern w:val="0"/>
          <w:sz w:val="24"/>
          <w:szCs w:val="24"/>
        </w:rPr>
      </w:pPr>
      <w:r>
        <w:rPr>
          <w:rFonts w:hint="eastAsia" w:ascii="宋体" w:hAnsi="宋体" w:eastAsia="宋体" w:cs="宋体"/>
          <w:kern w:val="0"/>
          <w:sz w:val="24"/>
          <w:szCs w:val="24"/>
        </w:rPr>
        <w:t>一、适用范围</w:t>
      </w:r>
    </w:p>
    <w:p>
      <w:pPr>
        <w:widowControl/>
        <w:spacing w:line="540" w:lineRule="exact"/>
        <w:ind w:firstLine="560"/>
        <w:jc w:val="left"/>
        <w:rPr>
          <w:rFonts w:hint="eastAsia" w:ascii="宋体" w:hAnsi="宋体" w:eastAsia="宋体" w:cs="宋体"/>
          <w:kern w:val="0"/>
          <w:sz w:val="24"/>
          <w:szCs w:val="24"/>
        </w:rPr>
      </w:pPr>
      <w:r>
        <w:rPr>
          <w:rFonts w:hint="eastAsia" w:ascii="宋体" w:hAnsi="宋体" w:eastAsia="宋体" w:cs="宋体"/>
          <w:kern w:val="0"/>
          <w:sz w:val="24"/>
          <w:szCs w:val="24"/>
        </w:rPr>
        <w:t>本合同适用于甲方所有工作人员、乙方及其所有工作人员</w:t>
      </w:r>
    </w:p>
    <w:p>
      <w:pPr>
        <w:widowControl/>
        <w:spacing w:line="540" w:lineRule="exact"/>
        <w:ind w:firstLine="560"/>
        <w:jc w:val="left"/>
        <w:rPr>
          <w:rFonts w:hint="eastAsia" w:ascii="宋体" w:hAnsi="宋体" w:eastAsia="宋体" w:cs="宋体"/>
          <w:kern w:val="0"/>
          <w:sz w:val="24"/>
          <w:szCs w:val="24"/>
        </w:rPr>
      </w:pPr>
      <w:r>
        <w:rPr>
          <w:rFonts w:hint="eastAsia" w:ascii="宋体" w:hAnsi="宋体" w:eastAsia="宋体" w:cs="宋体"/>
          <w:kern w:val="0"/>
          <w:sz w:val="24"/>
          <w:szCs w:val="24"/>
        </w:rPr>
        <w:t>二、甲、乙双方的权利和义务</w:t>
      </w:r>
    </w:p>
    <w:p>
      <w:pPr>
        <w:widowControl/>
        <w:spacing w:line="540" w:lineRule="exact"/>
        <w:ind w:firstLine="560"/>
        <w:jc w:val="left"/>
        <w:rPr>
          <w:rFonts w:hint="eastAsia" w:ascii="宋体" w:hAnsi="宋体" w:eastAsia="宋体" w:cs="宋体"/>
          <w:kern w:val="0"/>
          <w:sz w:val="24"/>
          <w:szCs w:val="24"/>
        </w:rPr>
      </w:pPr>
      <w:r>
        <w:rPr>
          <w:rFonts w:hint="eastAsia" w:ascii="宋体" w:hAnsi="宋体" w:eastAsia="宋体" w:cs="宋体"/>
          <w:kern w:val="0"/>
          <w:sz w:val="24"/>
          <w:szCs w:val="24"/>
        </w:rPr>
        <w:t>1、甲乙双方应严格遵守党的政策规定和国家有关法律法规。</w:t>
      </w:r>
    </w:p>
    <w:p>
      <w:pPr>
        <w:widowControl/>
        <w:spacing w:line="540" w:lineRule="exact"/>
        <w:ind w:firstLine="560"/>
        <w:jc w:val="left"/>
        <w:rPr>
          <w:rFonts w:hint="eastAsia" w:ascii="宋体" w:hAnsi="宋体" w:eastAsia="宋体" w:cs="宋体"/>
          <w:kern w:val="0"/>
          <w:sz w:val="24"/>
          <w:szCs w:val="24"/>
        </w:rPr>
      </w:pPr>
      <w:r>
        <w:rPr>
          <w:rFonts w:hint="eastAsia" w:ascii="宋体" w:hAnsi="宋体" w:eastAsia="宋体" w:cs="宋体"/>
          <w:kern w:val="0"/>
          <w:sz w:val="24"/>
          <w:szCs w:val="24"/>
        </w:rPr>
        <w:t>2、甲乙双方应严格执行项目的合同文件，自觉按合同办事。</w:t>
      </w:r>
    </w:p>
    <w:p>
      <w:pPr>
        <w:widowControl/>
        <w:spacing w:line="540" w:lineRule="exact"/>
        <w:ind w:firstLine="560"/>
        <w:jc w:val="left"/>
        <w:rPr>
          <w:rFonts w:hint="eastAsia" w:ascii="宋体" w:hAnsi="宋体" w:eastAsia="宋体" w:cs="宋体"/>
          <w:kern w:val="0"/>
          <w:sz w:val="24"/>
          <w:szCs w:val="24"/>
        </w:rPr>
      </w:pPr>
      <w:r>
        <w:rPr>
          <w:rFonts w:hint="eastAsia" w:ascii="宋体" w:hAnsi="宋体" w:eastAsia="宋体" w:cs="宋体"/>
          <w:kern w:val="0"/>
          <w:sz w:val="24"/>
          <w:szCs w:val="24"/>
        </w:rPr>
        <w:t>3、甲乙双方的业务活动应坚持公开、公平、公正、诚信、透明的原则。</w:t>
      </w:r>
    </w:p>
    <w:p>
      <w:pPr>
        <w:widowControl/>
        <w:spacing w:line="540" w:lineRule="exact"/>
        <w:ind w:firstLine="560"/>
        <w:jc w:val="left"/>
        <w:rPr>
          <w:rFonts w:hint="eastAsia" w:ascii="宋体" w:hAnsi="宋体" w:eastAsia="宋体" w:cs="宋体"/>
          <w:kern w:val="0"/>
          <w:sz w:val="24"/>
          <w:szCs w:val="24"/>
        </w:rPr>
      </w:pPr>
      <w:r>
        <w:rPr>
          <w:rFonts w:hint="eastAsia" w:ascii="宋体" w:hAnsi="宋体" w:eastAsia="宋体" w:cs="宋体"/>
          <w:kern w:val="0"/>
          <w:sz w:val="24"/>
          <w:szCs w:val="24"/>
        </w:rPr>
        <w:t>4、甲乙双方不得以任何理由向对方工作人员行贿或馈赠礼金、有价证券、贵重礼品。不得在对方报销任何应由个人支付的费用。</w:t>
      </w:r>
    </w:p>
    <w:p>
      <w:pPr>
        <w:widowControl/>
        <w:spacing w:line="540" w:lineRule="exact"/>
        <w:ind w:firstLine="560"/>
        <w:jc w:val="left"/>
        <w:rPr>
          <w:rFonts w:hint="eastAsia" w:ascii="宋体" w:hAnsi="宋体" w:eastAsia="宋体" w:cs="宋体"/>
          <w:kern w:val="0"/>
          <w:sz w:val="24"/>
          <w:szCs w:val="24"/>
        </w:rPr>
      </w:pPr>
      <w:r>
        <w:rPr>
          <w:rFonts w:hint="eastAsia" w:ascii="宋体" w:hAnsi="宋体" w:eastAsia="宋体" w:cs="宋体"/>
          <w:kern w:val="0"/>
          <w:sz w:val="24"/>
          <w:szCs w:val="24"/>
        </w:rPr>
        <w:t>5、甲乙双方不得参加有可能影响公正开展工作的宴请、娱乐或其它活动。</w:t>
      </w:r>
    </w:p>
    <w:p>
      <w:pPr>
        <w:widowControl/>
        <w:spacing w:line="540" w:lineRule="exact"/>
        <w:ind w:firstLine="560"/>
        <w:jc w:val="left"/>
        <w:rPr>
          <w:rFonts w:hint="eastAsia" w:ascii="宋体" w:hAnsi="宋体" w:eastAsia="宋体" w:cs="宋体"/>
          <w:kern w:val="0"/>
          <w:sz w:val="24"/>
          <w:szCs w:val="24"/>
        </w:rPr>
      </w:pPr>
      <w:r>
        <w:rPr>
          <w:rFonts w:hint="eastAsia" w:ascii="宋体" w:hAnsi="宋体" w:eastAsia="宋体" w:cs="宋体"/>
          <w:kern w:val="0"/>
          <w:sz w:val="24"/>
          <w:szCs w:val="24"/>
        </w:rPr>
        <w:t>6、甲乙双方不得以任何理由违反廉洁自律的有关规定。</w:t>
      </w:r>
    </w:p>
    <w:p>
      <w:pPr>
        <w:widowControl/>
        <w:spacing w:line="540" w:lineRule="exact"/>
        <w:ind w:firstLine="560"/>
        <w:jc w:val="left"/>
        <w:rPr>
          <w:rFonts w:hint="eastAsia" w:ascii="宋体" w:hAnsi="宋体" w:eastAsia="宋体" w:cs="宋体"/>
          <w:spacing w:val="-6"/>
          <w:kern w:val="0"/>
          <w:sz w:val="24"/>
          <w:szCs w:val="24"/>
        </w:rPr>
      </w:pPr>
      <w:r>
        <w:rPr>
          <w:rFonts w:hint="eastAsia" w:ascii="宋体" w:hAnsi="宋体" w:eastAsia="宋体" w:cs="宋体"/>
          <w:kern w:val="0"/>
          <w:sz w:val="24"/>
          <w:szCs w:val="24"/>
        </w:rPr>
        <w:t>7、甲乙双方发现对方严重违反本合同条款的行为，发现方有义务拒绝，有及时提醒对</w:t>
      </w:r>
      <w:r>
        <w:rPr>
          <w:rFonts w:hint="eastAsia" w:ascii="宋体" w:hAnsi="宋体" w:eastAsia="宋体" w:cs="宋体"/>
          <w:spacing w:val="-6"/>
          <w:kern w:val="0"/>
          <w:sz w:val="24"/>
          <w:szCs w:val="24"/>
        </w:rPr>
        <w:t xml:space="preserve">方、向其上级有关部门举报、建议给予处理并要求告知处理结果的权利。  </w:t>
      </w:r>
    </w:p>
    <w:p>
      <w:pPr>
        <w:widowControl/>
        <w:spacing w:line="540" w:lineRule="exact"/>
        <w:ind w:firstLine="56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甲方接受举报的途径如下：</w:t>
      </w:r>
    </w:p>
    <w:p>
      <w:pPr>
        <w:widowControl/>
        <w:spacing w:line="540" w:lineRule="exact"/>
        <w:ind w:firstLine="56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（1）受理电话：0571-63100788</w:t>
      </w:r>
    </w:p>
    <w:p>
      <w:pPr>
        <w:widowControl/>
        <w:spacing w:line="540" w:lineRule="exact"/>
        <w:ind w:firstLine="56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（2）受理地址：杭州市富阳区银湖街道高富路18号</w:t>
      </w:r>
    </w:p>
    <w:p>
      <w:pPr>
        <w:widowControl/>
        <w:spacing w:line="540" w:lineRule="exact"/>
        <w:ind w:firstLine="56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（3）受理邮箱：</w:t>
      </w:r>
    </w:p>
    <w:p>
      <w:pPr>
        <w:widowControl/>
        <w:spacing w:line="540" w:lineRule="exact"/>
        <w:ind w:firstLine="56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乙方接受举报的途径如下：</w:t>
      </w:r>
    </w:p>
    <w:p>
      <w:pPr>
        <w:widowControl/>
        <w:spacing w:line="540" w:lineRule="exact"/>
        <w:ind w:firstLine="56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（1）受理电话：</w:t>
      </w:r>
    </w:p>
    <w:p>
      <w:pPr>
        <w:widowControl/>
        <w:spacing w:line="540" w:lineRule="exact"/>
        <w:ind w:firstLine="56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（2）受理地址：</w:t>
      </w:r>
    </w:p>
    <w:p>
      <w:pPr>
        <w:widowControl/>
        <w:spacing w:line="540" w:lineRule="exact"/>
        <w:ind w:firstLine="56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（3）受理邮箱：</w:t>
      </w:r>
    </w:p>
    <w:p>
      <w:pPr>
        <w:widowControl/>
        <w:spacing w:line="540" w:lineRule="exact"/>
        <w:ind w:firstLine="560"/>
        <w:jc w:val="left"/>
        <w:rPr>
          <w:rFonts w:hint="eastAsia" w:ascii="宋体" w:hAnsi="宋体" w:eastAsia="宋体" w:cs="宋体"/>
          <w:kern w:val="0"/>
          <w:sz w:val="24"/>
          <w:szCs w:val="24"/>
        </w:rPr>
      </w:pPr>
      <w:r>
        <w:rPr>
          <w:rFonts w:hint="eastAsia" w:ascii="宋体" w:hAnsi="宋体" w:eastAsia="宋体" w:cs="宋体"/>
          <w:kern w:val="0"/>
          <w:sz w:val="24"/>
          <w:szCs w:val="24"/>
        </w:rPr>
        <w:t>三、违约责任</w:t>
      </w:r>
    </w:p>
    <w:p>
      <w:pPr>
        <w:widowControl/>
        <w:spacing w:line="540" w:lineRule="exact"/>
        <w:ind w:firstLine="560"/>
        <w:jc w:val="left"/>
        <w:rPr>
          <w:rFonts w:hint="eastAsia" w:ascii="宋体" w:hAnsi="宋体" w:eastAsia="宋体" w:cs="宋体"/>
          <w:kern w:val="0"/>
          <w:sz w:val="24"/>
          <w:szCs w:val="24"/>
        </w:rPr>
      </w:pPr>
      <w:r>
        <w:rPr>
          <w:rFonts w:hint="eastAsia" w:ascii="宋体" w:hAnsi="宋体" w:eastAsia="宋体" w:cs="宋体"/>
          <w:kern w:val="0"/>
          <w:sz w:val="24"/>
          <w:szCs w:val="24"/>
        </w:rPr>
        <w:t>1、甲、乙双方及其工作人员违反本合同有关规定的，无违规方有权根据具体情节的严重程度和造成的后果要求违规方按照合同总金额的1-5%支付违约金，并承担因此给对方造成的全部损失。同时无违规方有权采取终止或解除合同，限制再次合作或将对方列入黑名单等各项措施。</w:t>
      </w:r>
    </w:p>
    <w:p>
      <w:pPr>
        <w:widowControl/>
        <w:spacing w:line="540" w:lineRule="exact"/>
        <w:ind w:firstLine="560"/>
        <w:jc w:val="left"/>
        <w:rPr>
          <w:rFonts w:hint="eastAsia" w:ascii="宋体" w:hAnsi="宋体" w:eastAsia="宋体" w:cs="宋体"/>
          <w:kern w:val="0"/>
          <w:sz w:val="24"/>
          <w:szCs w:val="24"/>
        </w:rPr>
      </w:pPr>
      <w:r>
        <w:rPr>
          <w:rFonts w:hint="eastAsia" w:ascii="宋体" w:hAnsi="宋体" w:eastAsia="宋体" w:cs="宋体"/>
          <w:kern w:val="0"/>
          <w:sz w:val="24"/>
          <w:szCs w:val="24"/>
        </w:rPr>
        <w:t>2、甲、乙双方及其工作人员违反本合同有关规定的，按管理权限，依据有关规定给予经济处罚或追究党纪政纪责任；涉嫌犯罪的，移交司法机关追究刑事责任；给双方单位造成经济损失的，应予以赔偿。</w:t>
      </w:r>
    </w:p>
    <w:p>
      <w:pPr>
        <w:widowControl/>
        <w:spacing w:line="540" w:lineRule="exact"/>
        <w:ind w:firstLine="560"/>
        <w:jc w:val="left"/>
        <w:rPr>
          <w:rFonts w:hint="eastAsia" w:ascii="宋体" w:hAnsi="宋体" w:eastAsia="宋体" w:cs="宋体"/>
          <w:kern w:val="0"/>
          <w:sz w:val="24"/>
          <w:szCs w:val="24"/>
        </w:rPr>
      </w:pPr>
      <w:r>
        <w:rPr>
          <w:rFonts w:hint="eastAsia" w:ascii="宋体" w:hAnsi="宋体" w:eastAsia="宋体" w:cs="宋体"/>
          <w:kern w:val="0"/>
          <w:sz w:val="24"/>
          <w:szCs w:val="24"/>
        </w:rPr>
        <w:t>四、解释说明</w:t>
      </w:r>
    </w:p>
    <w:p>
      <w:pPr>
        <w:jc w:val="center"/>
        <w:rPr>
          <w:rFonts w:hint="eastAsia" w:ascii="宋体" w:hAnsi="宋体" w:eastAsia="宋体" w:cs="宋体"/>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1、本廉政合同作为</w:t>
      </w:r>
      <w:r>
        <w:rPr>
          <w:rFonts w:hint="eastAsia" w:ascii="宋体" w:hAnsi="宋体" w:eastAsia="宋体" w:cs="宋体"/>
          <w:kern w:val="0"/>
          <w:sz w:val="24"/>
          <w:szCs w:val="24"/>
          <w:u w:val="single"/>
        </w:rPr>
        <w:t>计量检定/校准服务协议</w:t>
      </w:r>
      <w:r>
        <w:rPr>
          <w:rFonts w:hint="eastAsia" w:ascii="宋体" w:hAnsi="宋体" w:eastAsia="宋体" w:cs="宋体"/>
          <w:sz w:val="24"/>
          <w:szCs w:val="24"/>
        </w:rPr>
        <w:t>（HTFYJCSBJ</w:t>
      </w:r>
      <w:r>
        <w:rPr>
          <w:rFonts w:hint="eastAsia" w:ascii="宋体" w:hAnsi="宋体" w:eastAsia="宋体" w:cs="宋体"/>
          <w:sz w:val="24"/>
          <w:szCs w:val="24"/>
          <w:lang w:val="en-US" w:eastAsia="zh-CN"/>
        </w:rPr>
        <w:t>D</w:t>
      </w: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的附件，与合同具有同等法律效力，经合同双方签字后生效。</w:t>
      </w:r>
    </w:p>
    <w:p>
      <w:pPr>
        <w:widowControl/>
        <w:spacing w:line="5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2、本合同一式四份，由甲、乙双方各执一份，送交甲乙双方的监督单位各一份。</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spacing w:line="54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甲方单位（盖章）：               乙方单位（盖章）：</w:t>
      </w:r>
    </w:p>
    <w:p>
      <w:pPr>
        <w:widowControl/>
        <w:spacing w:line="54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法定代表人：                    法定代表人：</w:t>
      </w:r>
    </w:p>
    <w:p>
      <w:pPr>
        <w:widowControl/>
        <w:spacing w:line="54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日期：  年  月  日              日期：  年  月   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4"/>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附件：报价一览表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2023年度杭州富阳建筑工程质量检测有限公司设备检定（校准）服务采购项目</w:t>
      </w:r>
    </w:p>
    <w:p>
      <w:pPr>
        <w:pStyle w:val="2"/>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报价清单</w:t>
      </w:r>
    </w:p>
    <w:tbl>
      <w:tblPr>
        <w:tblStyle w:val="12"/>
        <w:tblW w:w="110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0"/>
        <w:gridCol w:w="1680"/>
        <w:gridCol w:w="1365"/>
        <w:gridCol w:w="1350"/>
        <w:gridCol w:w="1215"/>
        <w:gridCol w:w="1380"/>
        <w:gridCol w:w="1155"/>
        <w:gridCol w:w="1140"/>
        <w:gridCol w:w="11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设备名称</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型  号</w:t>
            </w:r>
          </w:p>
        </w:tc>
        <w:tc>
          <w:tcPr>
            <w:tcW w:w="1350" w:type="dxa"/>
            <w:tcBorders>
              <w:righ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台（套）·次</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最高限价单价（元）</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投标</w:t>
            </w:r>
            <w:r>
              <w:rPr>
                <w:rFonts w:hint="eastAsia" w:ascii="宋体" w:hAnsi="宋体" w:eastAsia="宋体" w:cs="宋体"/>
                <w:b w:val="0"/>
                <w:bCs w:val="0"/>
                <w:color w:val="auto"/>
                <w:sz w:val="21"/>
                <w:szCs w:val="21"/>
                <w:highlight w:val="none"/>
                <w:lang w:eastAsia="zh-CN"/>
              </w:rPr>
              <w:t>报价单价（</w:t>
            </w:r>
            <w:r>
              <w:rPr>
                <w:rFonts w:hint="eastAsia" w:ascii="宋体" w:hAnsi="宋体" w:eastAsia="宋体" w:cs="宋体"/>
                <w:b w:val="0"/>
                <w:bCs w:val="0"/>
                <w:color w:val="auto"/>
                <w:sz w:val="21"/>
                <w:szCs w:val="21"/>
                <w:highlight w:val="none"/>
                <w:lang w:val="en-US" w:eastAsia="zh-CN"/>
              </w:rPr>
              <w:t>元/台（套）·次</w:t>
            </w:r>
            <w:r>
              <w:rPr>
                <w:rFonts w:hint="eastAsia" w:ascii="宋体" w:hAnsi="宋体" w:eastAsia="宋体" w:cs="宋体"/>
                <w:b w:val="0"/>
                <w:bCs w:val="0"/>
                <w:color w:val="auto"/>
                <w:sz w:val="21"/>
                <w:szCs w:val="21"/>
                <w:highlight w:val="none"/>
                <w:lang w:eastAsia="zh-CN"/>
              </w:rPr>
              <w:t>）</w:t>
            </w:r>
          </w:p>
        </w:tc>
        <w:tc>
          <w:tcPr>
            <w:tcW w:w="115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单项合计（元）</w:t>
            </w: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无检定（校准）资质项，请打√</w:t>
            </w:r>
          </w:p>
        </w:tc>
        <w:tc>
          <w:tcPr>
            <w:tcW w:w="1159" w:type="dxa"/>
            <w:tcBorders>
              <w:left w:val="single" w:color="auto" w:sz="4" w:space="0"/>
            </w:tcBorders>
            <w:noWrap w:val="0"/>
            <w:vAlign w:val="center"/>
          </w:tcPr>
          <w:p>
            <w:pPr>
              <w:spacing w:line="0" w:lineRule="atLeas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液压式压力试验机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YE-500A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567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钢角尺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300mm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钢角尺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300mm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钢直尺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1000mm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砖用卡尺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ZK-1</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31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游标卡尺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32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游标卡尺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32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连续标点机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130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温湿度表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WHM5</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69 </w:t>
            </w:r>
          </w:p>
        </w:tc>
        <w:tc>
          <w:tcPr>
            <w:tcW w:w="1380" w:type="dxa"/>
            <w:tcBorders>
              <w:left w:val="single" w:color="auto" w:sz="4" w:space="0"/>
            </w:tcBorders>
            <w:noWrap w:val="0"/>
            <w:vAlign w:val="center"/>
          </w:tcPr>
          <w:p>
            <w:pPr>
              <w:spacing w:line="0" w:lineRule="atLeast"/>
              <w:jc w:val="center"/>
              <w:rPr>
                <w:rFonts w:hint="eastAsia"/>
                <w:color w:val="auto"/>
                <w:highlight w:val="none"/>
              </w:rPr>
            </w:pPr>
          </w:p>
        </w:tc>
        <w:tc>
          <w:tcPr>
            <w:tcW w:w="1155" w:type="dxa"/>
            <w:tcBorders>
              <w:left w:val="single" w:color="auto" w:sz="4" w:space="0"/>
            </w:tcBorders>
            <w:noWrap w:val="0"/>
            <w:vAlign w:val="center"/>
          </w:tcPr>
          <w:p>
            <w:pPr>
              <w:spacing w:line="0" w:lineRule="atLeast"/>
              <w:jc w:val="center"/>
              <w:rPr>
                <w:rFonts w:hint="eastAsia"/>
                <w:color w:val="auto"/>
                <w:highlight w:val="none"/>
              </w:rPr>
            </w:pPr>
          </w:p>
        </w:tc>
        <w:tc>
          <w:tcPr>
            <w:tcW w:w="1140" w:type="dxa"/>
            <w:tcBorders>
              <w:left w:val="single" w:color="auto" w:sz="4" w:space="0"/>
            </w:tcBorders>
            <w:noWrap w:val="0"/>
            <w:vAlign w:val="center"/>
          </w:tcPr>
          <w:p>
            <w:pPr>
              <w:spacing w:line="0" w:lineRule="atLeast"/>
              <w:jc w:val="center"/>
              <w:rPr>
                <w:rFonts w:hint="eastAsia"/>
                <w:color w:val="auto"/>
                <w:highlight w:val="none"/>
              </w:rPr>
            </w:pPr>
          </w:p>
        </w:tc>
        <w:tc>
          <w:tcPr>
            <w:tcW w:w="1159"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18"/>
                <w:szCs w:val="18"/>
                <w:highlight w:val="none"/>
                <w:lang w:val="en-US" w:eastAsia="zh-CN"/>
              </w:rPr>
            </w:pPr>
            <w:r>
              <w:rPr>
                <w:rFonts w:hint="eastAsia"/>
                <w:color w:val="auto"/>
                <w:sz w:val="18"/>
                <w:szCs w:val="18"/>
                <w:highlight w:val="none"/>
              </w:rPr>
              <w:t>数显</w:t>
            </w:r>
            <w:r>
              <w:rPr>
                <w:rFonts w:hint="eastAsia"/>
                <w:color w:val="auto"/>
                <w:sz w:val="18"/>
                <w:szCs w:val="18"/>
                <w:highlight w:val="none"/>
                <w:lang w:val="en-US" w:eastAsia="zh-CN"/>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温湿度表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WHM5</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69 </w:t>
            </w:r>
          </w:p>
        </w:tc>
        <w:tc>
          <w:tcPr>
            <w:tcW w:w="1380" w:type="dxa"/>
            <w:tcBorders>
              <w:left w:val="single" w:color="auto" w:sz="4" w:space="0"/>
            </w:tcBorders>
            <w:noWrap w:val="0"/>
            <w:vAlign w:val="center"/>
          </w:tcPr>
          <w:p>
            <w:pPr>
              <w:spacing w:line="0" w:lineRule="atLeast"/>
              <w:jc w:val="center"/>
              <w:rPr>
                <w:rFonts w:hint="eastAsia"/>
                <w:color w:val="auto"/>
                <w:highlight w:val="none"/>
              </w:rPr>
            </w:pPr>
          </w:p>
        </w:tc>
        <w:tc>
          <w:tcPr>
            <w:tcW w:w="1155" w:type="dxa"/>
            <w:tcBorders>
              <w:left w:val="single" w:color="auto" w:sz="4" w:space="0"/>
            </w:tcBorders>
            <w:noWrap w:val="0"/>
            <w:vAlign w:val="center"/>
          </w:tcPr>
          <w:p>
            <w:pPr>
              <w:spacing w:line="0" w:lineRule="atLeast"/>
              <w:jc w:val="center"/>
              <w:rPr>
                <w:rFonts w:hint="eastAsia"/>
                <w:color w:val="auto"/>
                <w:highlight w:val="none"/>
              </w:rPr>
            </w:pPr>
          </w:p>
        </w:tc>
        <w:tc>
          <w:tcPr>
            <w:tcW w:w="1140" w:type="dxa"/>
            <w:tcBorders>
              <w:left w:val="single" w:color="auto" w:sz="4" w:space="0"/>
            </w:tcBorders>
            <w:noWrap w:val="0"/>
            <w:vAlign w:val="center"/>
          </w:tcPr>
          <w:p>
            <w:pPr>
              <w:spacing w:line="0" w:lineRule="atLeast"/>
              <w:jc w:val="center"/>
              <w:rPr>
                <w:rFonts w:hint="eastAsia"/>
                <w:color w:val="auto"/>
                <w:highlight w:val="none"/>
              </w:rPr>
            </w:pPr>
          </w:p>
        </w:tc>
        <w:tc>
          <w:tcPr>
            <w:tcW w:w="1159"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18"/>
                <w:szCs w:val="18"/>
                <w:highlight w:val="none"/>
                <w:lang w:val="en-US" w:eastAsia="zh-CN"/>
              </w:rPr>
            </w:pPr>
            <w:r>
              <w:rPr>
                <w:rFonts w:hint="eastAsia"/>
                <w:color w:val="auto"/>
                <w:sz w:val="18"/>
                <w:szCs w:val="18"/>
                <w:highlight w:val="none"/>
              </w:rPr>
              <w:t>数显</w:t>
            </w:r>
            <w:r>
              <w:rPr>
                <w:rFonts w:hint="eastAsia"/>
                <w:color w:val="auto"/>
                <w:sz w:val="18"/>
                <w:szCs w:val="18"/>
                <w:highlight w:val="none"/>
                <w:lang w:val="en-US" w:eastAsia="zh-CN"/>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温湿度表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WHM5</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69 </w:t>
            </w:r>
          </w:p>
        </w:tc>
        <w:tc>
          <w:tcPr>
            <w:tcW w:w="1380" w:type="dxa"/>
            <w:tcBorders>
              <w:left w:val="single" w:color="auto" w:sz="4" w:space="0"/>
            </w:tcBorders>
            <w:noWrap w:val="0"/>
            <w:vAlign w:val="center"/>
          </w:tcPr>
          <w:p>
            <w:pPr>
              <w:spacing w:line="0" w:lineRule="atLeast"/>
              <w:jc w:val="center"/>
              <w:rPr>
                <w:rFonts w:hint="eastAsia"/>
                <w:color w:val="auto"/>
                <w:highlight w:val="none"/>
              </w:rPr>
            </w:pPr>
          </w:p>
        </w:tc>
        <w:tc>
          <w:tcPr>
            <w:tcW w:w="1155" w:type="dxa"/>
            <w:tcBorders>
              <w:left w:val="single" w:color="auto" w:sz="4" w:space="0"/>
            </w:tcBorders>
            <w:noWrap w:val="0"/>
            <w:vAlign w:val="center"/>
          </w:tcPr>
          <w:p>
            <w:pPr>
              <w:spacing w:line="0" w:lineRule="atLeast"/>
              <w:jc w:val="center"/>
              <w:rPr>
                <w:rFonts w:hint="eastAsia"/>
                <w:color w:val="auto"/>
                <w:highlight w:val="none"/>
              </w:rPr>
            </w:pPr>
          </w:p>
        </w:tc>
        <w:tc>
          <w:tcPr>
            <w:tcW w:w="1140" w:type="dxa"/>
            <w:tcBorders>
              <w:left w:val="single" w:color="auto" w:sz="4" w:space="0"/>
            </w:tcBorders>
            <w:noWrap w:val="0"/>
            <w:vAlign w:val="center"/>
          </w:tcPr>
          <w:p>
            <w:pPr>
              <w:spacing w:line="0" w:lineRule="atLeast"/>
              <w:jc w:val="center"/>
              <w:rPr>
                <w:rFonts w:hint="eastAsia"/>
                <w:color w:val="auto"/>
                <w:highlight w:val="none"/>
              </w:rPr>
            </w:pPr>
          </w:p>
        </w:tc>
        <w:tc>
          <w:tcPr>
            <w:tcW w:w="1159"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18"/>
                <w:szCs w:val="18"/>
                <w:highlight w:val="none"/>
                <w:lang w:val="en-US" w:eastAsia="zh-CN"/>
              </w:rPr>
            </w:pPr>
            <w:r>
              <w:rPr>
                <w:rFonts w:hint="eastAsia"/>
                <w:color w:val="auto"/>
                <w:sz w:val="18"/>
                <w:szCs w:val="18"/>
                <w:highlight w:val="none"/>
              </w:rPr>
              <w:t>数显</w:t>
            </w:r>
            <w:r>
              <w:rPr>
                <w:rFonts w:hint="eastAsia"/>
                <w:color w:val="auto"/>
                <w:sz w:val="18"/>
                <w:szCs w:val="18"/>
                <w:highlight w:val="none"/>
                <w:lang w:val="en-US" w:eastAsia="zh-CN"/>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水泥胶砂搅拌机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JJ-5</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215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4"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电动抗折试验机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DKZ-5000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390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水泥胶砂流动度测定仪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NLD-3</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量筒</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250ml</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38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架盘天平</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5000g/5g</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106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水泥稠度凝结测定仪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293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量水器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（115-150）ml</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193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水泥试件</w:t>
            </w:r>
            <w:r>
              <w:rPr>
                <w:rFonts w:hint="eastAsia" w:ascii="宋体" w:hAnsi="宋体" w:eastAsia="宋体" w:cs="宋体"/>
                <w:b w:val="0"/>
                <w:bCs w:val="0"/>
                <w:color w:val="auto"/>
                <w:sz w:val="21"/>
                <w:szCs w:val="21"/>
                <w:highlight w:val="none"/>
                <w:lang w:eastAsia="zh-CN"/>
              </w:rPr>
              <w:t>水</w:t>
            </w:r>
            <w:r>
              <w:rPr>
                <w:rFonts w:hint="eastAsia" w:ascii="宋体" w:hAnsi="宋体" w:eastAsia="宋体" w:cs="宋体"/>
                <w:b w:val="0"/>
                <w:bCs w:val="0"/>
                <w:color w:val="auto"/>
                <w:sz w:val="21"/>
                <w:szCs w:val="21"/>
                <w:highlight w:val="none"/>
              </w:rPr>
              <w:t>养护箱</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SBY-32B</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水泥细度负压筛析</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FYS-150C</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215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设备名称</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型  号</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台（套）·次</w:t>
            </w:r>
          </w:p>
        </w:tc>
        <w:tc>
          <w:tcPr>
            <w:tcW w:w="121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最高限价单价（元）</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投标</w:t>
            </w:r>
            <w:r>
              <w:rPr>
                <w:rFonts w:hint="eastAsia" w:ascii="宋体" w:hAnsi="宋体" w:eastAsia="宋体" w:cs="宋体"/>
                <w:b w:val="0"/>
                <w:bCs w:val="0"/>
                <w:color w:val="auto"/>
                <w:sz w:val="21"/>
                <w:szCs w:val="21"/>
                <w:highlight w:val="none"/>
                <w:lang w:eastAsia="zh-CN"/>
              </w:rPr>
              <w:t>报价单价（</w:t>
            </w:r>
            <w:r>
              <w:rPr>
                <w:rFonts w:hint="eastAsia" w:ascii="宋体" w:hAnsi="宋体" w:eastAsia="宋体" w:cs="宋体"/>
                <w:b w:val="0"/>
                <w:bCs w:val="0"/>
                <w:color w:val="auto"/>
                <w:sz w:val="21"/>
                <w:szCs w:val="21"/>
                <w:highlight w:val="none"/>
                <w:lang w:val="en-US" w:eastAsia="zh-CN"/>
              </w:rPr>
              <w:t>元/台（套）·次</w:t>
            </w:r>
            <w:r>
              <w:rPr>
                <w:rFonts w:hint="eastAsia" w:ascii="宋体" w:hAnsi="宋体" w:eastAsia="宋体" w:cs="宋体"/>
                <w:b w:val="0"/>
                <w:bCs w:val="0"/>
                <w:color w:val="auto"/>
                <w:sz w:val="21"/>
                <w:szCs w:val="21"/>
                <w:highlight w:val="none"/>
                <w:lang w:eastAsia="zh-CN"/>
              </w:rPr>
              <w:t>）</w:t>
            </w: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单项合计（元）</w:t>
            </w: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无检定（校准）资质项，请打√</w:t>
            </w:r>
          </w:p>
        </w:tc>
        <w:tc>
          <w:tcPr>
            <w:tcW w:w="1159" w:type="dxa"/>
            <w:tcBorders>
              <w:left w:val="single" w:color="auto" w:sz="4" w:space="0"/>
            </w:tcBorders>
            <w:noWrap w:val="0"/>
            <w:vAlign w:val="center"/>
          </w:tcPr>
          <w:p>
            <w:pPr>
              <w:spacing w:line="0" w:lineRule="atLeas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21</w:t>
            </w:r>
          </w:p>
        </w:tc>
        <w:tc>
          <w:tcPr>
            <w:tcW w:w="1680" w:type="dxa"/>
            <w:noWrap w:val="0"/>
            <w:vAlign w:val="center"/>
          </w:tcPr>
          <w:p>
            <w:pPr>
              <w:overflowPunct w:val="0"/>
              <w:spacing w:line="2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砝码</w:t>
            </w:r>
          </w:p>
        </w:tc>
        <w:tc>
          <w:tcPr>
            <w:tcW w:w="1365" w:type="dxa"/>
            <w:noWrap w:val="0"/>
            <w:vAlign w:val="center"/>
          </w:tcPr>
          <w:p>
            <w:pPr>
              <w:overflowPunct w:val="0"/>
              <w:spacing w:line="2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1g-2kg</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282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混凝土渗透仪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HS40A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混凝土渗透仪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HS-4型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混凝土渗透仪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HS-4型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电子天平</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DT1000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173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26</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电子天平</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DT2000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173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电子天平</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LP203</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173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台秤</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TGT-500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123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台秤</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TGT-100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113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量筒</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100ml</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38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混合胶砂试件标准养护箱</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JBY-30B</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静水力学天平</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8SJ-5Kg-1</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173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震击式标准振筛机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ZBSX-92A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273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单卧轴强制式搅拌机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SJD60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281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砼试验用振动台</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ZH.DG-80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418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砂浆稠度测定仪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SC145</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273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国家标准砂石筛</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363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国家标准石子筛</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397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电热鼓风恒温干燥箱</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101-1型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电热鼓风恒温干燥箱</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101-2型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容量瓶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500ml</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玻璃温度计</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59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混凝土贯入阻力仪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ZG-1</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360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设备名称</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型  号</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台（套）·次</w:t>
            </w:r>
          </w:p>
        </w:tc>
        <w:tc>
          <w:tcPr>
            <w:tcW w:w="121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最高限价单价（元）</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投标</w:t>
            </w:r>
            <w:r>
              <w:rPr>
                <w:rFonts w:hint="eastAsia" w:ascii="宋体" w:hAnsi="宋体" w:eastAsia="宋体" w:cs="宋体"/>
                <w:b w:val="0"/>
                <w:bCs w:val="0"/>
                <w:color w:val="auto"/>
                <w:sz w:val="21"/>
                <w:szCs w:val="21"/>
                <w:highlight w:val="none"/>
                <w:lang w:eastAsia="zh-CN"/>
              </w:rPr>
              <w:t>报价单价（</w:t>
            </w:r>
            <w:r>
              <w:rPr>
                <w:rFonts w:hint="eastAsia" w:ascii="宋体" w:hAnsi="宋体" w:eastAsia="宋体" w:cs="宋体"/>
                <w:b w:val="0"/>
                <w:bCs w:val="0"/>
                <w:color w:val="auto"/>
                <w:sz w:val="21"/>
                <w:szCs w:val="21"/>
                <w:highlight w:val="none"/>
                <w:lang w:val="en-US" w:eastAsia="zh-CN"/>
              </w:rPr>
              <w:t>元/台（套）·次</w:t>
            </w:r>
            <w:r>
              <w:rPr>
                <w:rFonts w:hint="eastAsia" w:ascii="宋体" w:hAnsi="宋体" w:eastAsia="宋体" w:cs="宋体"/>
                <w:b w:val="0"/>
                <w:bCs w:val="0"/>
                <w:color w:val="auto"/>
                <w:sz w:val="21"/>
                <w:szCs w:val="21"/>
                <w:highlight w:val="none"/>
                <w:lang w:eastAsia="zh-CN"/>
              </w:rPr>
              <w:t>）</w:t>
            </w: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单项合计（元）</w:t>
            </w: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无检定（校准）资质项，请打√</w:t>
            </w: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预置式扭矩板手</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AC20-100N.m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239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扭矩扳手</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AC20-100N.m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239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数字式扭矩板手</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DTT-1000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273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透水仪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TSY-87</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260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拉力试验机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XL-250A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423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低温冷冻箱</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BC/BD-188</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手提式测厚计</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TSC-10型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257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激光测距仪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DISTO D2</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593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贯入式砂浆强度检测仪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SJY800A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锚杆拉力计</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ZY-20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231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收缩膨胀仪（百分表）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SP175</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135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大量程百分表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0-30mm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103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微机控制电子万能试验仪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WPW-50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电子天平</w:t>
            </w:r>
          </w:p>
        </w:tc>
        <w:tc>
          <w:tcPr>
            <w:tcW w:w="1365"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JJ200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223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稳态热传递性质测定装置</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WRCD-1212</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抗冲击检测仪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WQKC</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380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建筑饰面砖粘结强度检测仪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SZY-10B</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390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建筑外窗保温性能检测装置</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BWJ</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767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中空玻璃露点仪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ZBLD</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导热系数测定仪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DRCD-3030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安全帽冲击吸收及耐穿透性能试验仪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AQM-CJ</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安全帽侧向刚性试验仪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AQM-GX型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323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序号</w:t>
            </w:r>
          </w:p>
        </w:tc>
        <w:tc>
          <w:tcPr>
            <w:tcW w:w="1680" w:type="dxa"/>
            <w:noWrap w:val="0"/>
            <w:vAlign w:val="center"/>
          </w:tcPr>
          <w:p>
            <w:pPr>
              <w:spacing w:line="0" w:lineRule="atLeas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设备名称</w:t>
            </w:r>
          </w:p>
        </w:tc>
        <w:tc>
          <w:tcPr>
            <w:tcW w:w="1365" w:type="dxa"/>
            <w:noWrap w:val="0"/>
            <w:vAlign w:val="center"/>
          </w:tcPr>
          <w:p>
            <w:pPr>
              <w:spacing w:line="0" w:lineRule="atLeas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型  号</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p>
            <w:pPr>
              <w:spacing w:line="0" w:lineRule="atLeas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台（套）·次</w:t>
            </w:r>
          </w:p>
        </w:tc>
        <w:tc>
          <w:tcPr>
            <w:tcW w:w="121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最高限价单价（元）</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w:t>
            </w:r>
            <w:r>
              <w:rPr>
                <w:rFonts w:hint="eastAsia" w:ascii="宋体" w:hAnsi="宋体" w:eastAsia="宋体" w:cs="宋体"/>
                <w:b w:val="0"/>
                <w:bCs w:val="0"/>
                <w:color w:val="auto"/>
                <w:sz w:val="21"/>
                <w:szCs w:val="21"/>
                <w:highlight w:val="none"/>
                <w:lang w:eastAsia="zh-CN"/>
              </w:rPr>
              <w:t>报价单价（</w:t>
            </w:r>
            <w:r>
              <w:rPr>
                <w:rFonts w:hint="eastAsia" w:ascii="宋体" w:hAnsi="宋体" w:eastAsia="宋体" w:cs="宋体"/>
                <w:b w:val="0"/>
                <w:bCs w:val="0"/>
                <w:color w:val="auto"/>
                <w:sz w:val="21"/>
                <w:szCs w:val="21"/>
                <w:highlight w:val="none"/>
                <w:lang w:val="en-US" w:eastAsia="zh-CN"/>
              </w:rPr>
              <w:t>元/台（套）·次</w:t>
            </w:r>
            <w:r>
              <w:rPr>
                <w:rFonts w:hint="eastAsia" w:ascii="宋体" w:hAnsi="宋体" w:eastAsia="宋体" w:cs="宋体"/>
                <w:b w:val="0"/>
                <w:bCs w:val="0"/>
                <w:color w:val="auto"/>
                <w:sz w:val="21"/>
                <w:szCs w:val="21"/>
                <w:highlight w:val="none"/>
                <w:lang w:eastAsia="zh-CN"/>
              </w:rPr>
              <w:t>）</w:t>
            </w: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单项合计（元）</w:t>
            </w: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无检定（校准）资质项，请打√</w:t>
            </w: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安全帽高温预处理箱</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A705C</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安全帽低温水浸泡预处理箱</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A705D</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安全帽紫外线老化箱</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A705B</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台式投影仪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JTT/D</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487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直流电阻电桥</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QJ57P</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557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门窗现场气密性检测仪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MCSQ-2020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350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空盒气压表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DYM3</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583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微机控制门窗试验机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ZMC-5000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绝缘电阻表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ZC25型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243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手动试压泵</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SB-2.5</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223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基桩动测仪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RS-1616K（S）</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677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经纬仪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DE2A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基桩测斜仪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CX-3C</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非金属超声检测分析仪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NM-4A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803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全站仪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RTS112SR5L</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1287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ind w:firstLine="315" w:firstLineChars="15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大量程百分表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0-50mm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大量程百分表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0-50mm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大量程百分表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0-50mm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大量程百分表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0-50mm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大量程百分表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0-50mm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大量程百分表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0-50mm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大量程百分表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0-50mm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大量程百分表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0-50mm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4"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设备名称</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型  号</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台（套）·次</w:t>
            </w:r>
          </w:p>
        </w:tc>
        <w:tc>
          <w:tcPr>
            <w:tcW w:w="121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最高限价单价（元）</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投标</w:t>
            </w:r>
            <w:r>
              <w:rPr>
                <w:rFonts w:hint="eastAsia" w:ascii="宋体" w:hAnsi="宋体" w:eastAsia="宋体" w:cs="宋体"/>
                <w:b w:val="0"/>
                <w:bCs w:val="0"/>
                <w:color w:val="auto"/>
                <w:sz w:val="21"/>
                <w:szCs w:val="21"/>
                <w:highlight w:val="none"/>
                <w:lang w:eastAsia="zh-CN"/>
              </w:rPr>
              <w:t>报价单价（</w:t>
            </w:r>
            <w:r>
              <w:rPr>
                <w:rFonts w:hint="eastAsia" w:ascii="宋体" w:hAnsi="宋体" w:eastAsia="宋体" w:cs="宋体"/>
                <w:b w:val="0"/>
                <w:bCs w:val="0"/>
                <w:color w:val="auto"/>
                <w:sz w:val="21"/>
                <w:szCs w:val="21"/>
                <w:highlight w:val="none"/>
                <w:lang w:val="en-US" w:eastAsia="zh-CN"/>
              </w:rPr>
              <w:t>元/台（套）·次</w:t>
            </w:r>
            <w:r>
              <w:rPr>
                <w:rFonts w:hint="eastAsia" w:ascii="宋体" w:hAnsi="宋体" w:eastAsia="宋体" w:cs="宋体"/>
                <w:b w:val="0"/>
                <w:bCs w:val="0"/>
                <w:color w:val="auto"/>
                <w:sz w:val="21"/>
                <w:szCs w:val="21"/>
                <w:highlight w:val="none"/>
                <w:lang w:eastAsia="zh-CN"/>
              </w:rPr>
              <w:t>）</w:t>
            </w: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单项合计（元）</w:t>
            </w: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无检定（校准）资质项，请打√</w:t>
            </w: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大量程百分表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0-50mm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大量程百分表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0-50mm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洛氏硬度计</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HR-150A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295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冲击试验机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JB-300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247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静态应变仪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CM-1A-20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483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涂层测厚仪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TT220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157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力传感器（千斤顶+反力架）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FQS-320-20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413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轴力计</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BLR-1</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467</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超声波探伤仪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SF650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418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紫外辐照试验箱</w:t>
            </w:r>
          </w:p>
        </w:tc>
        <w:tc>
          <w:tcPr>
            <w:tcW w:w="1365"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ZE-II</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367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带压力表千斤顶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Y-150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227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第一次，必须来本公司现场检测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带压力表千斤顶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Y-150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227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第二次，必须来本公司现场检测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高低温恒温水浴</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HWY-30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数控超级低温恒温槽</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SDC-6型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电子天平</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JY31001</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173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9"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塞尺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（0.02-1.00）mm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94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固定比重瓶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100ml</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90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国家新标准土壤筛</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（0.07-60）mm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533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千分表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（0-1）mm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微机静载锚固试验机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STMGT-1</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780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电动重型击实仪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JZ-2D型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260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马歇尔自动击实仪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MJ-IZ型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270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序号</w:t>
            </w:r>
          </w:p>
        </w:tc>
        <w:tc>
          <w:tcPr>
            <w:tcW w:w="1680" w:type="dxa"/>
            <w:noWrap w:val="0"/>
            <w:vAlign w:val="center"/>
          </w:tcPr>
          <w:p>
            <w:pPr>
              <w:spacing w:line="0" w:lineRule="atLeas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设备名称</w:t>
            </w:r>
          </w:p>
        </w:tc>
        <w:tc>
          <w:tcPr>
            <w:tcW w:w="1365" w:type="dxa"/>
            <w:noWrap w:val="0"/>
            <w:vAlign w:val="center"/>
          </w:tcPr>
          <w:p>
            <w:pPr>
              <w:spacing w:line="0" w:lineRule="atLeas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型  号</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台（套）·次</w:t>
            </w:r>
          </w:p>
        </w:tc>
        <w:tc>
          <w:tcPr>
            <w:tcW w:w="121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最高限价单价（元）</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w:t>
            </w:r>
            <w:r>
              <w:rPr>
                <w:rFonts w:hint="eastAsia" w:ascii="宋体" w:hAnsi="宋体" w:eastAsia="宋体" w:cs="宋体"/>
                <w:b w:val="0"/>
                <w:bCs w:val="0"/>
                <w:color w:val="auto"/>
                <w:sz w:val="21"/>
                <w:szCs w:val="21"/>
                <w:highlight w:val="none"/>
                <w:lang w:eastAsia="zh-CN"/>
              </w:rPr>
              <w:t>报价单价（</w:t>
            </w:r>
            <w:r>
              <w:rPr>
                <w:rFonts w:hint="eastAsia" w:ascii="宋体" w:hAnsi="宋体" w:eastAsia="宋体" w:cs="宋体"/>
                <w:b w:val="0"/>
                <w:bCs w:val="0"/>
                <w:color w:val="auto"/>
                <w:sz w:val="21"/>
                <w:szCs w:val="21"/>
                <w:highlight w:val="none"/>
                <w:lang w:val="en-US" w:eastAsia="zh-CN"/>
              </w:rPr>
              <w:t>元/台（套）·次</w:t>
            </w:r>
            <w:r>
              <w:rPr>
                <w:rFonts w:hint="eastAsia" w:ascii="宋体" w:hAnsi="宋体" w:eastAsia="宋体" w:cs="宋体"/>
                <w:b w:val="0"/>
                <w:bCs w:val="0"/>
                <w:color w:val="auto"/>
                <w:sz w:val="21"/>
                <w:szCs w:val="21"/>
                <w:highlight w:val="none"/>
                <w:lang w:eastAsia="zh-CN"/>
              </w:rPr>
              <w:t>）</w:t>
            </w: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单项合计（元）</w:t>
            </w: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无检定（校准）资质项，请打√</w:t>
            </w: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混凝土氯离子含量快速测定仪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SSX-CLU</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667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光电式液塑限测定仪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LP-100D</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273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沥青自动针入度仪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LZR-III</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317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容积升</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103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沥青粗集料压碎值试验仪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290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多功能电动脱模机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293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弯沉值测定仪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5.4m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73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弯沉值测定仪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5.4m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73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数显智能千分表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（0-10）mm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45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120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钢卷尺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121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弯沉值测定仪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3.6m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223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122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沥青混合物拌和机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LSD-HJBIV型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281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123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恒温双数显沥青延伸度仪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SY2.0型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387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124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沥青软化点测定仪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LRH-2型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420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125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沥青旋转薄膜烘箱</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LBH-1型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126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全自动沥青混合料稳定度仪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HC-5B型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303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127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数控沥青混合料快速分离机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LF-5型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329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128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机械秒表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64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129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环刀仪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200cm</w:t>
            </w:r>
            <w:r>
              <w:rPr>
                <w:rFonts w:hint="eastAsia" w:ascii="宋体" w:hAnsi="宋体" w:eastAsia="宋体" w:cs="宋体"/>
                <w:b w:val="0"/>
                <w:bCs w:val="0"/>
                <w:color w:val="auto"/>
                <w:sz w:val="21"/>
                <w:szCs w:val="21"/>
                <w:highlight w:val="none"/>
                <w:vertAlign w:val="superscript"/>
              </w:rPr>
              <w:t>3</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243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130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灌砂桶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285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131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弯沉值试验仪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LW-3.6型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223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132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建筑保温材料不燃性能测试仪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JCB-2</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设备名称</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型  号</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台（套）·次</w:t>
            </w:r>
          </w:p>
        </w:tc>
        <w:tc>
          <w:tcPr>
            <w:tcW w:w="121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最高限价单价（元）</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投标</w:t>
            </w:r>
            <w:r>
              <w:rPr>
                <w:rFonts w:hint="eastAsia" w:ascii="宋体" w:hAnsi="宋体" w:eastAsia="宋体" w:cs="宋体"/>
                <w:b w:val="0"/>
                <w:bCs w:val="0"/>
                <w:color w:val="auto"/>
                <w:sz w:val="21"/>
                <w:szCs w:val="21"/>
                <w:highlight w:val="none"/>
                <w:lang w:eastAsia="zh-CN"/>
              </w:rPr>
              <w:t>报价单价（</w:t>
            </w:r>
            <w:r>
              <w:rPr>
                <w:rFonts w:hint="eastAsia" w:ascii="宋体" w:hAnsi="宋体" w:eastAsia="宋体" w:cs="宋体"/>
                <w:b w:val="0"/>
                <w:bCs w:val="0"/>
                <w:color w:val="auto"/>
                <w:sz w:val="21"/>
                <w:szCs w:val="21"/>
                <w:highlight w:val="none"/>
                <w:lang w:val="en-US" w:eastAsia="zh-CN"/>
              </w:rPr>
              <w:t>元/台（套）·次</w:t>
            </w:r>
            <w:r>
              <w:rPr>
                <w:rFonts w:hint="eastAsia" w:ascii="宋体" w:hAnsi="宋体" w:eastAsia="宋体" w:cs="宋体"/>
                <w:b w:val="0"/>
                <w:bCs w:val="0"/>
                <w:color w:val="auto"/>
                <w:sz w:val="21"/>
                <w:szCs w:val="21"/>
                <w:highlight w:val="none"/>
                <w:lang w:eastAsia="zh-CN"/>
              </w:rPr>
              <w:t>）</w:t>
            </w: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单项合计（元）</w:t>
            </w: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无检定（校准）资质项，请打√</w:t>
            </w: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133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建筑制品单体燃烧试验装置</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DT-1</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567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134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建筑保温材料可燃性试验仪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SSX-JRS-08</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467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135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氧指数测定仪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JF-3</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527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136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环刚度试验机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HGD-50kN</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457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137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窨井盖压力试验机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TSY-1000kN</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467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138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建筑可见光透射比、遮阳系数测试系统</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AFH3600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1093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139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塑料管材划线器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MTSH-7</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240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140</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落锤式冲击试验机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XJL-300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363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141</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建筑热工传热系数检测仪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SSX-CR</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527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箱式电阻炉</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SX-4-10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电子天平</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BSM120.4</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333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建材制品燃烧热值试验装置</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RZ-1</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667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路面材料强度试验仪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LQ-II</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513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直尺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78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电子天平</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30kg</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173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样品状态调解室</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633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混凝土渗透仪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HP-4.0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277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冰柜</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BC/BD-272</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氧压力表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（0-6）MPa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氧压力表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(0-25)MPa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153</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回弹仪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BY-HT225T/A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263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第一次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154</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回弹仪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BY-HT225T/A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263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第二次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设备名称</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型  号</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台（套）·次</w:t>
            </w:r>
          </w:p>
        </w:tc>
        <w:tc>
          <w:tcPr>
            <w:tcW w:w="121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最高限价单价（元）</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w:t>
            </w:r>
            <w:r>
              <w:rPr>
                <w:rFonts w:hint="eastAsia" w:ascii="宋体" w:hAnsi="宋体" w:eastAsia="宋体" w:cs="宋体"/>
                <w:b w:val="0"/>
                <w:bCs w:val="0"/>
                <w:color w:val="auto"/>
                <w:sz w:val="21"/>
                <w:szCs w:val="21"/>
                <w:highlight w:val="none"/>
                <w:lang w:eastAsia="zh-CN"/>
              </w:rPr>
              <w:t>报价单价（</w:t>
            </w:r>
            <w:r>
              <w:rPr>
                <w:rFonts w:hint="eastAsia" w:ascii="宋体" w:hAnsi="宋体" w:eastAsia="宋体" w:cs="宋体"/>
                <w:b w:val="0"/>
                <w:bCs w:val="0"/>
                <w:color w:val="auto"/>
                <w:sz w:val="21"/>
                <w:szCs w:val="21"/>
                <w:highlight w:val="none"/>
                <w:lang w:val="en-US" w:eastAsia="zh-CN"/>
              </w:rPr>
              <w:t>元/台（套）·次</w:t>
            </w:r>
            <w:r>
              <w:rPr>
                <w:rFonts w:hint="eastAsia" w:ascii="宋体" w:hAnsi="宋体" w:eastAsia="宋体" w:cs="宋体"/>
                <w:b w:val="0"/>
                <w:bCs w:val="0"/>
                <w:color w:val="auto"/>
                <w:sz w:val="21"/>
                <w:szCs w:val="21"/>
                <w:highlight w:val="none"/>
                <w:lang w:eastAsia="zh-CN"/>
              </w:rPr>
              <w:t>）</w:t>
            </w: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单项合计（元）</w:t>
            </w: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无检定（校准）资质项，请打√</w:t>
            </w: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回弹仪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BY-HT225T/A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263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第一次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回弹仪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BY-HT225T/A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263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第二次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一体式钢筋检测仪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LR-G200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263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混凝土渗透仪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HP-4.0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温湿</w:t>
            </w:r>
            <w:r>
              <w:rPr>
                <w:rFonts w:hint="eastAsia" w:ascii="宋体" w:hAnsi="宋体" w:eastAsia="宋体" w:cs="宋体"/>
                <w:b w:val="0"/>
                <w:bCs w:val="0"/>
                <w:color w:val="auto"/>
                <w:sz w:val="21"/>
                <w:szCs w:val="21"/>
                <w:highlight w:val="none"/>
                <w:lang w:val="en-US" w:eastAsia="zh-CN"/>
              </w:rPr>
              <w:t>度表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69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160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温湿</w:t>
            </w:r>
            <w:r>
              <w:rPr>
                <w:rFonts w:hint="eastAsia" w:ascii="宋体" w:hAnsi="宋体" w:eastAsia="宋体" w:cs="宋体"/>
                <w:b w:val="0"/>
                <w:bCs w:val="0"/>
                <w:color w:val="auto"/>
                <w:sz w:val="21"/>
                <w:szCs w:val="21"/>
                <w:highlight w:val="none"/>
                <w:lang w:val="en-US" w:eastAsia="zh-CN"/>
              </w:rPr>
              <w:t>度表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69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161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温湿</w:t>
            </w:r>
            <w:r>
              <w:rPr>
                <w:rFonts w:hint="eastAsia" w:ascii="宋体" w:hAnsi="宋体" w:eastAsia="宋体" w:cs="宋体"/>
                <w:b w:val="0"/>
                <w:bCs w:val="0"/>
                <w:color w:val="auto"/>
                <w:sz w:val="21"/>
                <w:szCs w:val="21"/>
                <w:highlight w:val="none"/>
                <w:lang w:val="en-US" w:eastAsia="zh-CN"/>
              </w:rPr>
              <w:t>度表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69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162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温湿</w:t>
            </w:r>
            <w:r>
              <w:rPr>
                <w:rFonts w:hint="eastAsia" w:ascii="宋体" w:hAnsi="宋体" w:eastAsia="宋体" w:cs="宋体"/>
                <w:b w:val="0"/>
                <w:bCs w:val="0"/>
                <w:color w:val="auto"/>
                <w:sz w:val="21"/>
                <w:szCs w:val="21"/>
                <w:highlight w:val="none"/>
                <w:lang w:val="en-US" w:eastAsia="zh-CN"/>
              </w:rPr>
              <w:t>度表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69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163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温湿</w:t>
            </w:r>
            <w:r>
              <w:rPr>
                <w:rFonts w:hint="eastAsia" w:ascii="宋体" w:hAnsi="宋体" w:eastAsia="宋体" w:cs="宋体"/>
                <w:b w:val="0"/>
                <w:bCs w:val="0"/>
                <w:color w:val="auto"/>
                <w:sz w:val="21"/>
                <w:szCs w:val="21"/>
                <w:highlight w:val="none"/>
                <w:lang w:val="en-US" w:eastAsia="zh-CN"/>
              </w:rPr>
              <w:t>度表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69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164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钢直尺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600mm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38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ind w:firstLine="210" w:firstLineChars="10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165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钢直尺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300mm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38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166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钢直尺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300mm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38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167</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shd w:val="clear" w:color="auto" w:fill="auto"/>
                <w:lang w:eastAsia="zh-CN"/>
              </w:rPr>
              <w:t>静载荷测试分析仪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shd w:val="clear" w:color="auto" w:fill="auto"/>
                <w:lang w:val="en-US" w:eastAsia="zh-CN"/>
              </w:rPr>
              <w:t>RS-JYE(0279E)</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700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168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沸煮箱</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FZ-31A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169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水泥胶砂振实台</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ZT-96</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320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170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量筒</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250ml</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171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水泥净浆搅拌机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NJ-160A</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303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172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雷氏夹测定仪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LD-50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277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173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恒温恒湿标准养护箱</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HBY-</w:t>
            </w:r>
            <w:r>
              <w:rPr>
                <w:rFonts w:hint="eastAsia" w:ascii="宋体" w:hAnsi="宋体" w:eastAsia="宋体" w:cs="宋体"/>
                <w:b w:val="0"/>
                <w:bCs w:val="0"/>
                <w:color w:val="auto"/>
                <w:sz w:val="21"/>
                <w:szCs w:val="21"/>
                <w:highlight w:val="none"/>
                <w:lang w:val="en-US" w:eastAsia="zh-CN"/>
              </w:rPr>
              <w:t>40B</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174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量筒</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100ml</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38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175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桩基静载荷测试分析仪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RS-JYE(0313E)</w:t>
            </w:r>
          </w:p>
        </w:tc>
        <w:tc>
          <w:tcPr>
            <w:tcW w:w="1350" w:type="dxa"/>
            <w:noWrap w:val="0"/>
            <w:vAlign w:val="center"/>
          </w:tcPr>
          <w:p>
            <w:pPr>
              <w:spacing w:line="0" w:lineRule="atLeast"/>
              <w:ind w:firstLine="420" w:firstLineChars="20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700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9"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176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100t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227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第一次，必须来本公司现场检测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设备名称</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型  号</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台（套）·次</w:t>
            </w:r>
          </w:p>
        </w:tc>
        <w:tc>
          <w:tcPr>
            <w:tcW w:w="121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最高限价单价（元）</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w:t>
            </w:r>
            <w:r>
              <w:rPr>
                <w:rFonts w:hint="eastAsia" w:ascii="宋体" w:hAnsi="宋体" w:eastAsia="宋体" w:cs="宋体"/>
                <w:b w:val="0"/>
                <w:bCs w:val="0"/>
                <w:color w:val="auto"/>
                <w:sz w:val="21"/>
                <w:szCs w:val="21"/>
                <w:highlight w:val="none"/>
                <w:lang w:eastAsia="zh-CN"/>
              </w:rPr>
              <w:t>报价单价（</w:t>
            </w:r>
            <w:r>
              <w:rPr>
                <w:rFonts w:hint="eastAsia" w:ascii="宋体" w:hAnsi="宋体" w:eastAsia="宋体" w:cs="宋体"/>
                <w:b w:val="0"/>
                <w:bCs w:val="0"/>
                <w:color w:val="auto"/>
                <w:sz w:val="21"/>
                <w:szCs w:val="21"/>
                <w:highlight w:val="none"/>
                <w:lang w:val="en-US" w:eastAsia="zh-CN"/>
              </w:rPr>
              <w:t>元/台（套）·次</w:t>
            </w:r>
            <w:r>
              <w:rPr>
                <w:rFonts w:hint="eastAsia" w:ascii="宋体" w:hAnsi="宋体" w:eastAsia="宋体" w:cs="宋体"/>
                <w:b w:val="0"/>
                <w:bCs w:val="0"/>
                <w:color w:val="auto"/>
                <w:sz w:val="21"/>
                <w:szCs w:val="21"/>
                <w:highlight w:val="none"/>
                <w:lang w:eastAsia="zh-CN"/>
              </w:rPr>
              <w:t>）</w:t>
            </w: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单项合计（元）</w:t>
            </w: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无检定（校准）资质项，请打√</w:t>
            </w: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177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100t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227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第二次，必须来本公司现场检测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178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500t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493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第一次，必须来本公司现场检测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179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500t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493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第二次，必须来本公司现场检测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180</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钢筋弯曲试验机弯芯冲头</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GB-40B</w:t>
            </w:r>
          </w:p>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24-216mm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187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181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shd w:val="clear" w:color="auto" w:fill="auto"/>
                <w:lang w:val="en-US" w:eastAsia="zh-CN"/>
              </w:rPr>
              <w:t>YD500-200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493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第一次，必须来本公司现场检测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182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shd w:val="clear" w:color="auto" w:fill="auto"/>
                <w:lang w:val="en-US" w:eastAsia="zh-CN"/>
              </w:rPr>
              <w:t>YD500-200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493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第二次，必须来本公司现场检测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183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分离式油压千斤顶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FQZ-30016</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440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第一次，必须来本公司现场检测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184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分离式油压千斤顶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FQZ-30016</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440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第二次，必须来本公司现场检测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9"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185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桩基静载荷测试分析仪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RS-JYE(0334E)</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800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4"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186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桩基静载荷测试分析仪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RS-JYE</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800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187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分离式油压千斤顶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FQS-50020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573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第一次，必须来本公司现场检测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188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分离式油压千斤顶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FQS-50020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573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第二次，必须来本公司现场检测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189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分离式油压千斤顶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FQS-50020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573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第一次，必须来本公司现场检测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190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分离式油压千斤顶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FQS-50020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573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第二次，必须来本公司现场检测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设备名称</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型  号</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台（套）·次</w:t>
            </w:r>
          </w:p>
        </w:tc>
        <w:tc>
          <w:tcPr>
            <w:tcW w:w="121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最高限价单价（元）</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投标</w:t>
            </w:r>
            <w:r>
              <w:rPr>
                <w:rFonts w:hint="eastAsia" w:ascii="宋体" w:hAnsi="宋体" w:eastAsia="宋体" w:cs="宋体"/>
                <w:b w:val="0"/>
                <w:bCs w:val="0"/>
                <w:color w:val="auto"/>
                <w:sz w:val="21"/>
                <w:szCs w:val="21"/>
                <w:highlight w:val="none"/>
                <w:lang w:eastAsia="zh-CN"/>
              </w:rPr>
              <w:t>报价单价（</w:t>
            </w:r>
            <w:r>
              <w:rPr>
                <w:rFonts w:hint="eastAsia" w:ascii="宋体" w:hAnsi="宋体" w:eastAsia="宋体" w:cs="宋体"/>
                <w:b w:val="0"/>
                <w:bCs w:val="0"/>
                <w:color w:val="auto"/>
                <w:sz w:val="21"/>
                <w:szCs w:val="21"/>
                <w:highlight w:val="none"/>
                <w:lang w:val="en-US" w:eastAsia="zh-CN"/>
              </w:rPr>
              <w:t>元/台（套）·次</w:t>
            </w:r>
            <w:r>
              <w:rPr>
                <w:rFonts w:hint="eastAsia" w:ascii="宋体" w:hAnsi="宋体" w:eastAsia="宋体" w:cs="宋体"/>
                <w:b w:val="0"/>
                <w:bCs w:val="0"/>
                <w:color w:val="auto"/>
                <w:sz w:val="21"/>
                <w:szCs w:val="21"/>
                <w:highlight w:val="none"/>
                <w:lang w:eastAsia="zh-CN"/>
              </w:rPr>
              <w:t>）</w:t>
            </w: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单项合计（元）</w:t>
            </w: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无检定（校准）资质项，请打√</w:t>
            </w: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191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电子计重秤</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JSB30-1</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237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192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基桩动测仪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RS-WP</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883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193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320T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421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第一次，必须来本公司现场检测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194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320T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421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第二次，必须来本公司现场检测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195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320T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421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第一次，必须来本公司现场检测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196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320T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421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第二次，必须来本公司现场检测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197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320T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421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第一次，必须来本公司现场检测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2"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198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千斤顶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320T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421 </w:t>
            </w:r>
          </w:p>
        </w:tc>
        <w:tc>
          <w:tcPr>
            <w:tcW w:w="138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40" w:type="dxa"/>
            <w:tcBorders>
              <w:left w:val="single" w:color="auto" w:sz="4" w:space="0"/>
            </w:tcBorders>
            <w:noWrap w:val="0"/>
            <w:vAlign w:val="center"/>
          </w:tcPr>
          <w:p>
            <w:pPr>
              <w:jc w:val="center"/>
              <w:rPr>
                <w:rFonts w:hint="eastAsia" w:ascii="宋体" w:hAnsi="宋体" w:eastAsia="宋体" w:cs="宋体"/>
                <w:b w:val="0"/>
                <w:bCs w:val="0"/>
                <w:color w:val="auto"/>
                <w:sz w:val="21"/>
                <w:szCs w:val="21"/>
                <w:highlight w:val="none"/>
                <w:lang w:val="en-US" w:eastAsia="zh-CN"/>
              </w:rPr>
            </w:pPr>
          </w:p>
        </w:tc>
        <w:tc>
          <w:tcPr>
            <w:tcW w:w="1159" w:type="dxa"/>
            <w:tcBorders>
              <w:left w:val="single" w:color="auto" w:sz="4" w:space="0"/>
            </w:tcBorders>
            <w:noWrap w:val="0"/>
            <w:vAlign w:val="center"/>
          </w:tcPr>
          <w:p>
            <w:pPr>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第二次，必须来本公司现场检测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199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混凝土抗渗仪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HP-4.0型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混凝土抗渗仪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HP-4.0型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ind w:firstLine="210" w:firstLineChars="100"/>
              <w:jc w:val="center"/>
              <w:rPr>
                <w:rFonts w:hint="eastAsia" w:ascii="宋体" w:hAnsi="宋体" w:eastAsia="宋体" w:cs="宋体"/>
                <w:b w:val="0"/>
                <w:bCs w:val="0"/>
                <w:color w:val="auto"/>
                <w:sz w:val="21"/>
                <w:szCs w:val="21"/>
                <w:highlight w:val="none"/>
              </w:rPr>
            </w:pPr>
          </w:p>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混凝土抗渗仪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HP-4.0型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混凝土抗渗仪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HP-4.0型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203</w:t>
            </w:r>
          </w:p>
          <w:p>
            <w:pPr>
              <w:spacing w:line="0" w:lineRule="atLeast"/>
              <w:ind w:firstLine="210" w:firstLineChars="100"/>
              <w:jc w:val="center"/>
              <w:rPr>
                <w:rFonts w:hint="eastAsia" w:ascii="宋体" w:hAnsi="宋体" w:eastAsia="宋体" w:cs="宋体"/>
                <w:b w:val="0"/>
                <w:bCs w:val="0"/>
                <w:color w:val="auto"/>
                <w:sz w:val="21"/>
                <w:szCs w:val="21"/>
                <w:highlight w:val="none"/>
              </w:rPr>
            </w:pP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混凝土抗渗仪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HP-4.0型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混凝土抗渗仪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HP-4.0型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shd w:val="clear" w:color="auto" w:fill="auto"/>
                <w:lang w:val="en-US" w:eastAsia="zh-CN"/>
              </w:rPr>
              <w:t>桩基静载荷测试分析仪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shd w:val="clear" w:color="auto" w:fill="auto"/>
                <w:lang w:val="en-US" w:eastAsia="zh-CN"/>
              </w:rPr>
              <w:t>RS-JYE</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800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shd w:val="clear" w:color="auto" w:fill="auto"/>
                <w:lang w:val="en-US" w:eastAsia="zh-CN"/>
              </w:rPr>
              <w:t>桩基静载荷测试分析仪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shd w:val="clear" w:color="auto" w:fill="auto"/>
                <w:lang w:val="en-US" w:eastAsia="zh-CN"/>
              </w:rPr>
              <w:t>RS-JYE</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800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桩基静载荷测试分析仪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RS-JYC</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800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序号</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设备名称</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型  号</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台（套）·次</w:t>
            </w:r>
          </w:p>
        </w:tc>
        <w:tc>
          <w:tcPr>
            <w:tcW w:w="121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最高限价单价（元）</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投标</w:t>
            </w:r>
            <w:r>
              <w:rPr>
                <w:rFonts w:hint="eastAsia" w:ascii="宋体" w:hAnsi="宋体" w:eastAsia="宋体" w:cs="宋体"/>
                <w:b w:val="0"/>
                <w:bCs w:val="0"/>
                <w:color w:val="auto"/>
                <w:sz w:val="21"/>
                <w:szCs w:val="21"/>
                <w:highlight w:val="none"/>
                <w:lang w:eastAsia="zh-CN"/>
              </w:rPr>
              <w:t>报价单价（</w:t>
            </w:r>
            <w:r>
              <w:rPr>
                <w:rFonts w:hint="eastAsia" w:ascii="宋体" w:hAnsi="宋体" w:eastAsia="宋体" w:cs="宋体"/>
                <w:b w:val="0"/>
                <w:bCs w:val="0"/>
                <w:color w:val="auto"/>
                <w:sz w:val="21"/>
                <w:szCs w:val="21"/>
                <w:highlight w:val="none"/>
                <w:lang w:val="en-US" w:eastAsia="zh-CN"/>
              </w:rPr>
              <w:t>元/台（套）·次</w:t>
            </w:r>
            <w:r>
              <w:rPr>
                <w:rFonts w:hint="eastAsia" w:ascii="宋体" w:hAnsi="宋体" w:eastAsia="宋体" w:cs="宋体"/>
                <w:b w:val="0"/>
                <w:bCs w:val="0"/>
                <w:color w:val="auto"/>
                <w:sz w:val="21"/>
                <w:szCs w:val="21"/>
                <w:highlight w:val="none"/>
                <w:lang w:eastAsia="zh-CN"/>
              </w:rPr>
              <w:t>）</w:t>
            </w: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单项合计（元）</w:t>
            </w: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无检定（校准）资质项，请打√</w:t>
            </w: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桩基静载荷测试分析仪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RS-JYE（1112E）</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800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桩基静载荷测试分析仪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RS-JYE(1111E)</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800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210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桩基静载荷测试分析仪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RS-JYE(0389E)</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800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211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万能游标角度尺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212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混凝土抗渗仪</w:t>
            </w:r>
          </w:p>
        </w:tc>
        <w:tc>
          <w:tcPr>
            <w:tcW w:w="1365"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HP-4.0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213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混凝土抗渗仪</w:t>
            </w:r>
          </w:p>
        </w:tc>
        <w:tc>
          <w:tcPr>
            <w:tcW w:w="1365"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HP-4.0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214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混凝土抗渗仪</w:t>
            </w:r>
          </w:p>
        </w:tc>
        <w:tc>
          <w:tcPr>
            <w:tcW w:w="1365"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HP-4.0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211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215</w:t>
            </w:r>
          </w:p>
        </w:tc>
        <w:tc>
          <w:tcPr>
            <w:tcW w:w="1680" w:type="dxa"/>
            <w:noWrap w:val="0"/>
            <w:vAlign w:val="center"/>
          </w:tcPr>
          <w:p>
            <w:pPr>
              <w:widowControl/>
              <w:jc w:val="center"/>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震击式标准振筛机</w:t>
            </w:r>
          </w:p>
        </w:tc>
        <w:tc>
          <w:tcPr>
            <w:tcW w:w="1365" w:type="dxa"/>
            <w:noWrap w:val="0"/>
            <w:vAlign w:val="center"/>
          </w:tcPr>
          <w:p>
            <w:pPr>
              <w:widowControl/>
              <w:jc w:val="center"/>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ZBSX-92A型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273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216</w:t>
            </w:r>
          </w:p>
        </w:tc>
        <w:tc>
          <w:tcPr>
            <w:tcW w:w="1680" w:type="dxa"/>
            <w:noWrap w:val="0"/>
            <w:vAlign w:val="center"/>
          </w:tcPr>
          <w:p>
            <w:pPr>
              <w:widowControl/>
              <w:jc w:val="center"/>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氯离子含量快速测定仪</w:t>
            </w:r>
          </w:p>
        </w:tc>
        <w:tc>
          <w:tcPr>
            <w:tcW w:w="1365" w:type="dxa"/>
            <w:noWrap w:val="0"/>
            <w:vAlign w:val="center"/>
          </w:tcPr>
          <w:p>
            <w:pPr>
              <w:widowControl/>
              <w:jc w:val="center"/>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CLU-V型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217</w:t>
            </w:r>
          </w:p>
        </w:tc>
        <w:tc>
          <w:tcPr>
            <w:tcW w:w="1680" w:type="dxa"/>
            <w:noWrap w:val="0"/>
            <w:vAlign w:val="center"/>
          </w:tcPr>
          <w:p>
            <w:pPr>
              <w:widowControl/>
              <w:jc w:val="center"/>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智能数显沥青针入度测定仪</w:t>
            </w:r>
          </w:p>
        </w:tc>
        <w:tc>
          <w:tcPr>
            <w:tcW w:w="1365" w:type="dxa"/>
            <w:noWrap w:val="0"/>
            <w:vAlign w:val="center"/>
          </w:tcPr>
          <w:p>
            <w:pPr>
              <w:widowControl/>
              <w:jc w:val="center"/>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IV-2000型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317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218</w:t>
            </w:r>
          </w:p>
        </w:tc>
        <w:tc>
          <w:tcPr>
            <w:tcW w:w="1680" w:type="dxa"/>
            <w:noWrap w:val="0"/>
            <w:vAlign w:val="center"/>
          </w:tcPr>
          <w:p>
            <w:pPr>
              <w:widowControl/>
              <w:jc w:val="center"/>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eastAsia="zh-CN"/>
              </w:rPr>
              <w:t>混凝土钻孔取芯机</w:t>
            </w:r>
          </w:p>
        </w:tc>
        <w:tc>
          <w:tcPr>
            <w:tcW w:w="1365" w:type="dxa"/>
            <w:noWrap w:val="0"/>
            <w:vAlign w:val="center"/>
          </w:tcPr>
          <w:p>
            <w:pPr>
              <w:widowControl/>
              <w:jc w:val="center"/>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HX-20型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337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219</w:t>
            </w:r>
          </w:p>
        </w:tc>
        <w:tc>
          <w:tcPr>
            <w:tcW w:w="1680" w:type="dxa"/>
            <w:noWrap w:val="0"/>
            <w:vAlign w:val="center"/>
          </w:tcPr>
          <w:p>
            <w:pPr>
              <w:widowControl/>
              <w:jc w:val="center"/>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土基现场回弹模量测定仪</w:t>
            </w:r>
          </w:p>
        </w:tc>
        <w:tc>
          <w:tcPr>
            <w:tcW w:w="1365" w:type="dxa"/>
            <w:noWrap w:val="0"/>
            <w:vAlign w:val="center"/>
          </w:tcPr>
          <w:p>
            <w:pPr>
              <w:widowControl/>
              <w:jc w:val="center"/>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LCB-30型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220</w:t>
            </w:r>
          </w:p>
        </w:tc>
        <w:tc>
          <w:tcPr>
            <w:tcW w:w="1680" w:type="dxa"/>
            <w:noWrap w:val="0"/>
            <w:vAlign w:val="center"/>
          </w:tcPr>
          <w:p>
            <w:pPr>
              <w:widowControl/>
              <w:jc w:val="center"/>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万能角度尺</w:t>
            </w:r>
          </w:p>
        </w:tc>
        <w:tc>
          <w:tcPr>
            <w:tcW w:w="1365" w:type="dxa"/>
            <w:noWrap w:val="0"/>
            <w:vAlign w:val="center"/>
          </w:tcPr>
          <w:p>
            <w:pPr>
              <w:widowControl/>
              <w:jc w:val="center"/>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0-320°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221</w:t>
            </w:r>
          </w:p>
        </w:tc>
        <w:tc>
          <w:tcPr>
            <w:tcW w:w="1680" w:type="dxa"/>
            <w:noWrap w:val="0"/>
            <w:vAlign w:val="center"/>
          </w:tcPr>
          <w:p>
            <w:pPr>
              <w:widowControl/>
              <w:jc w:val="center"/>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塞尺</w:t>
            </w:r>
          </w:p>
        </w:tc>
        <w:tc>
          <w:tcPr>
            <w:tcW w:w="1365" w:type="dxa"/>
            <w:noWrap w:val="0"/>
            <w:vAlign w:val="center"/>
          </w:tcPr>
          <w:p>
            <w:pPr>
              <w:widowControl/>
              <w:jc w:val="center"/>
              <w:outlineLvl w:val="3"/>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0.01-1.00mm/18片</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94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微机控制电液式压力试验机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YAW-2000B</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607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微机控制电液伺服钢绞线试验机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GAW-1000B</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607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微机控制电液伺服万能试验机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WAW-300B</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607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225</w:t>
            </w:r>
          </w:p>
        </w:tc>
        <w:tc>
          <w:tcPr>
            <w:tcW w:w="1680" w:type="dxa"/>
            <w:noWrap w:val="0"/>
            <w:vAlign w:val="center"/>
          </w:tcPr>
          <w:p>
            <w:pPr>
              <w:overflowPunct w:val="0"/>
              <w:spacing w:line="2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门窗检测仪</w:t>
            </w:r>
          </w:p>
        </w:tc>
        <w:tc>
          <w:tcPr>
            <w:tcW w:w="1365" w:type="dxa"/>
            <w:noWrap w:val="0"/>
            <w:vAlign w:val="center"/>
          </w:tcPr>
          <w:p>
            <w:pPr>
              <w:overflowPunct w:val="0"/>
              <w:spacing w:line="2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XMCY2424</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跨孔超声检测仪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RS-ST06D（T）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853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80倍带光源、读数显微镜</w:t>
            </w:r>
          </w:p>
        </w:tc>
        <w:tc>
          <w:tcPr>
            <w:tcW w:w="1365"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10085-2</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钢筋笼长度磁法测试仪</w:t>
            </w:r>
          </w:p>
        </w:tc>
        <w:tc>
          <w:tcPr>
            <w:tcW w:w="1365"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RS-RBMT(S)</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867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序号</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设备名称</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型  号</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台（套）·次</w:t>
            </w:r>
          </w:p>
        </w:tc>
        <w:tc>
          <w:tcPr>
            <w:tcW w:w="121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最高限价单价（元）</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投标</w:t>
            </w:r>
            <w:r>
              <w:rPr>
                <w:rFonts w:hint="eastAsia" w:ascii="宋体" w:hAnsi="宋体" w:eastAsia="宋体" w:cs="宋体"/>
                <w:b w:val="0"/>
                <w:bCs w:val="0"/>
                <w:color w:val="auto"/>
                <w:sz w:val="21"/>
                <w:szCs w:val="21"/>
                <w:highlight w:val="none"/>
                <w:lang w:eastAsia="zh-CN"/>
              </w:rPr>
              <w:t>报价单价（</w:t>
            </w:r>
            <w:r>
              <w:rPr>
                <w:rFonts w:hint="eastAsia" w:ascii="宋体" w:hAnsi="宋体" w:eastAsia="宋体" w:cs="宋体"/>
                <w:b w:val="0"/>
                <w:bCs w:val="0"/>
                <w:color w:val="auto"/>
                <w:sz w:val="21"/>
                <w:szCs w:val="21"/>
                <w:highlight w:val="none"/>
                <w:lang w:val="en-US" w:eastAsia="zh-CN"/>
              </w:rPr>
              <w:t>元/台（套）·次</w:t>
            </w:r>
            <w:r>
              <w:rPr>
                <w:rFonts w:hint="eastAsia" w:ascii="宋体" w:hAnsi="宋体" w:eastAsia="宋体" w:cs="宋体"/>
                <w:b w:val="0"/>
                <w:bCs w:val="0"/>
                <w:color w:val="auto"/>
                <w:sz w:val="21"/>
                <w:szCs w:val="21"/>
                <w:highlight w:val="none"/>
                <w:lang w:eastAsia="zh-CN"/>
              </w:rPr>
              <w:t>）</w:t>
            </w: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单项合计（元）</w:t>
            </w: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无检定（校准）资质项，请打√</w:t>
            </w: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电子天平</w:t>
            </w:r>
          </w:p>
        </w:tc>
        <w:tc>
          <w:tcPr>
            <w:tcW w:w="1365"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LAC124C</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230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数显勃氏透气比表面积仪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SBT-127型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231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箱式电阻炉</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SX2-5-12N</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490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232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微机控制抗折抗压试验机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LCY-300B型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233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钢结构防火涂料涂层厚度测定仪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234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电子天平</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JA5001</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235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数码应变计</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HY-65B3000B</w:t>
            </w:r>
            <w:r>
              <w:rPr>
                <w:rFonts w:hint="eastAsia" w:ascii="宋体" w:hAnsi="宋体" w:eastAsia="宋体" w:cs="宋体"/>
                <w:b w:val="0"/>
                <w:bCs w:val="0"/>
                <w:color w:val="auto"/>
                <w:sz w:val="21"/>
                <w:szCs w:val="21"/>
                <w:highlight w:val="none"/>
                <w:lang w:val="en-US" w:eastAsia="zh-CN"/>
              </w:rPr>
              <w:t>/HY-WY50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236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水泥试件水养护箱（分池式）</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SBY-32B</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237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半球辐射率测试系统</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BRT25FL-G</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800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238</w:t>
            </w:r>
          </w:p>
        </w:tc>
        <w:tc>
          <w:tcPr>
            <w:tcW w:w="1680" w:type="dxa"/>
            <w:noWrap w:val="0"/>
            <w:vAlign w:val="center"/>
          </w:tcPr>
          <w:p>
            <w:pPr>
              <w:overflowPunct w:val="0"/>
              <w:spacing w:line="2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钢管扣件力学性能试验机</w:t>
            </w:r>
          </w:p>
        </w:tc>
        <w:tc>
          <w:tcPr>
            <w:tcW w:w="1365" w:type="dxa"/>
            <w:noWrap w:val="0"/>
            <w:vAlign w:val="center"/>
          </w:tcPr>
          <w:p>
            <w:pPr>
              <w:overflowPunct w:val="0"/>
              <w:spacing w:line="2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KLJ-D</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239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2"/>
                <w:sz w:val="21"/>
                <w:szCs w:val="21"/>
                <w:highlight w:val="none"/>
                <w:lang w:val="en-US" w:eastAsia="zh-CN" w:bidi="ar-SA"/>
              </w:rPr>
              <w:t>砌体原位压力机</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2"/>
                <w:sz w:val="21"/>
                <w:szCs w:val="21"/>
                <w:highlight w:val="none"/>
                <w:lang w:val="en-US" w:eastAsia="zh-CN" w:bidi="ar-SA"/>
              </w:rPr>
              <w:t>LRYW-80T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383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240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建筑外门窗保温性能检测装置（热箱）</w:t>
            </w:r>
          </w:p>
        </w:tc>
        <w:tc>
          <w:tcPr>
            <w:tcW w:w="1365"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BWC-II</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241</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数字式砖回弹仪</w:t>
            </w:r>
          </w:p>
        </w:tc>
        <w:tc>
          <w:tcPr>
            <w:tcW w:w="1365"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HT75-D</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263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242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数字式砂浆回弹仪</w:t>
            </w:r>
          </w:p>
        </w:tc>
        <w:tc>
          <w:tcPr>
            <w:tcW w:w="1365"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HT20-D</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263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243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数字式高强回弹仪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HT450D</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263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244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塑料量杯</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500mL</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245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塑料量杯</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1000mL</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246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eastAsia="zh-CN"/>
              </w:rPr>
              <w:t>玻璃浮计</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1.000-0.900 1.100-1.000 1.200-1.100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247</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酸度计</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PHS-3C</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320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248</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电动粘结强度检测仪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HC-D10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序号</w:t>
            </w:r>
          </w:p>
        </w:tc>
        <w:tc>
          <w:tcPr>
            <w:tcW w:w="1680" w:type="dxa"/>
            <w:noWrap w:val="0"/>
            <w:vAlign w:val="center"/>
          </w:tcPr>
          <w:p>
            <w:pPr>
              <w:spacing w:line="0" w:lineRule="atLeas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设备名称</w:t>
            </w:r>
          </w:p>
        </w:tc>
        <w:tc>
          <w:tcPr>
            <w:tcW w:w="1365" w:type="dxa"/>
            <w:noWrap w:val="0"/>
            <w:vAlign w:val="center"/>
          </w:tcPr>
          <w:p>
            <w:pPr>
              <w:spacing w:line="0" w:lineRule="atLeas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型  号</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数量</w:t>
            </w:r>
          </w:p>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台（套）·次</w:t>
            </w:r>
          </w:p>
        </w:tc>
        <w:tc>
          <w:tcPr>
            <w:tcW w:w="121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最高限价单价（元）</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w:t>
            </w:r>
            <w:r>
              <w:rPr>
                <w:rFonts w:hint="eastAsia" w:ascii="宋体" w:hAnsi="宋体" w:eastAsia="宋体" w:cs="宋体"/>
                <w:b w:val="0"/>
                <w:bCs w:val="0"/>
                <w:color w:val="auto"/>
                <w:sz w:val="21"/>
                <w:szCs w:val="21"/>
                <w:highlight w:val="none"/>
                <w:lang w:eastAsia="zh-CN"/>
              </w:rPr>
              <w:t>报价单价（</w:t>
            </w:r>
            <w:r>
              <w:rPr>
                <w:rFonts w:hint="eastAsia" w:ascii="宋体" w:hAnsi="宋体" w:eastAsia="宋体" w:cs="宋体"/>
                <w:b w:val="0"/>
                <w:bCs w:val="0"/>
                <w:color w:val="auto"/>
                <w:sz w:val="21"/>
                <w:szCs w:val="21"/>
                <w:highlight w:val="none"/>
                <w:lang w:val="en-US" w:eastAsia="zh-CN"/>
              </w:rPr>
              <w:t>元/台（套）·次</w:t>
            </w:r>
            <w:r>
              <w:rPr>
                <w:rFonts w:hint="eastAsia" w:ascii="宋体" w:hAnsi="宋体" w:eastAsia="宋体" w:cs="宋体"/>
                <w:b w:val="0"/>
                <w:bCs w:val="0"/>
                <w:color w:val="auto"/>
                <w:sz w:val="21"/>
                <w:szCs w:val="21"/>
                <w:highlight w:val="none"/>
                <w:lang w:eastAsia="zh-CN"/>
              </w:rPr>
              <w:t>）</w:t>
            </w: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单项合计（元）</w:t>
            </w: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无检定（校准）资质项，请打√</w:t>
            </w: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249</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电子计价秤</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ACS-30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250</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坍落度桶</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100*200*300mm</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193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251</w:t>
            </w:r>
          </w:p>
        </w:tc>
        <w:tc>
          <w:tcPr>
            <w:tcW w:w="1680"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低温弯折仪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DWZ-120</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217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252</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2"/>
                <w:sz w:val="21"/>
                <w:szCs w:val="21"/>
                <w:highlight w:val="none"/>
                <w:lang w:val="en-US" w:eastAsia="zh-CN" w:bidi="ar-SA"/>
              </w:rPr>
              <w:t>针片状规准仪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2"/>
                <w:sz w:val="21"/>
                <w:szCs w:val="21"/>
                <w:highlight w:val="none"/>
                <w:lang w:val="en-US" w:eastAsia="zh-CN" w:bidi="ar-SA"/>
              </w:rPr>
              <w:t>/</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233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253</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滴定管</w:t>
            </w:r>
          </w:p>
        </w:tc>
        <w:tc>
          <w:tcPr>
            <w:tcW w:w="1365"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50mL</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38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254</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风速仪</w:t>
            </w:r>
          </w:p>
        </w:tc>
        <w:tc>
          <w:tcPr>
            <w:tcW w:w="1365"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AC826</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567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255</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抗滑移系数检测仪</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HY-24L</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1167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650" w:type="dxa"/>
            <w:noWrap w:val="0"/>
            <w:vAlign w:val="center"/>
          </w:tcPr>
          <w:p>
            <w:pPr>
              <w:spacing w:line="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256</w:t>
            </w:r>
          </w:p>
        </w:tc>
        <w:tc>
          <w:tcPr>
            <w:tcW w:w="1680" w:type="dxa"/>
            <w:noWrap w:val="0"/>
            <w:vAlign w:val="center"/>
          </w:tcPr>
          <w:p>
            <w:pPr>
              <w:pStyle w:val="10"/>
              <w:pBdr>
                <w:bottom w:val="none" w:color="auto" w:sz="0" w:space="0"/>
              </w:pBdr>
              <w:tabs>
                <w:tab w:val="left" w:pos="420"/>
              </w:tabs>
              <w:snapToGrid/>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智能恒温恒湿控制器</w:t>
            </w:r>
          </w:p>
        </w:tc>
        <w:tc>
          <w:tcPr>
            <w:tcW w:w="1365" w:type="dxa"/>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BY-3型</w:t>
            </w:r>
          </w:p>
        </w:tc>
        <w:tc>
          <w:tcPr>
            <w:tcW w:w="1350" w:type="dxa"/>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215" w:type="dxa"/>
            <w:tcBorders>
              <w:left w:val="single" w:color="auto" w:sz="4" w:space="0"/>
            </w:tcBorders>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600 </w:t>
            </w:r>
          </w:p>
        </w:tc>
        <w:tc>
          <w:tcPr>
            <w:tcW w:w="138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lang w:val="en-US" w:eastAsia="zh-CN"/>
              </w:rPr>
            </w:pPr>
          </w:p>
        </w:tc>
        <w:tc>
          <w:tcPr>
            <w:tcW w:w="1155"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40"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695" w:type="dxa"/>
            <w:gridSpan w:val="3"/>
            <w:noWrap w:val="0"/>
            <w:vAlign w:val="center"/>
          </w:tcPr>
          <w:p>
            <w:pPr>
              <w:spacing w:line="0" w:lineRule="atLeast"/>
              <w:jc w:val="center"/>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最高限价</w:t>
            </w:r>
            <w:r>
              <w:rPr>
                <w:rFonts w:hint="eastAsia" w:ascii="宋体" w:hAnsi="宋体" w:eastAsia="宋体" w:cs="宋体"/>
                <w:b/>
                <w:bCs/>
                <w:color w:val="auto"/>
                <w:sz w:val="21"/>
                <w:szCs w:val="21"/>
                <w:highlight w:val="none"/>
                <w:lang w:val="en-US" w:eastAsia="zh-CN"/>
              </w:rPr>
              <w:t>合计</w:t>
            </w:r>
            <w:r>
              <w:rPr>
                <w:rFonts w:hint="default" w:ascii="宋体" w:hAnsi="宋体" w:eastAsia="宋体" w:cs="宋体"/>
                <w:b/>
                <w:bCs/>
                <w:color w:val="auto"/>
                <w:sz w:val="21"/>
                <w:szCs w:val="21"/>
                <w:highlight w:val="none"/>
                <w:lang w:val="en-US" w:eastAsia="zh-CN"/>
              </w:rPr>
              <w:t>（元）</w:t>
            </w:r>
          </w:p>
        </w:tc>
        <w:tc>
          <w:tcPr>
            <w:tcW w:w="1350" w:type="dxa"/>
            <w:noWrap w:val="0"/>
            <w:vAlign w:val="center"/>
          </w:tcPr>
          <w:p>
            <w:pPr>
              <w:spacing w:line="0" w:lineRule="atLeast"/>
              <w:jc w:val="center"/>
              <w:rPr>
                <w:rFonts w:hint="eastAsia" w:ascii="宋体" w:hAnsi="宋体" w:cs="宋体"/>
                <w:b w:val="0"/>
                <w:bCs w:val="0"/>
                <w:color w:val="auto"/>
                <w:sz w:val="21"/>
                <w:szCs w:val="21"/>
                <w:highlight w:val="none"/>
                <w:lang w:val="en-US" w:eastAsia="zh-CN"/>
              </w:rPr>
            </w:pPr>
          </w:p>
        </w:tc>
        <w:tc>
          <w:tcPr>
            <w:tcW w:w="4890" w:type="dxa"/>
            <w:gridSpan w:val="4"/>
            <w:noWrap w:val="0"/>
            <w:vAlign w:val="center"/>
          </w:tcPr>
          <w:p>
            <w:pPr>
              <w:spacing w:line="0" w:lineRule="atLeast"/>
              <w:jc w:val="center"/>
              <w:rPr>
                <w:rFonts w:hint="default" w:ascii="宋体" w:hAnsi="宋体" w:eastAsia="宋体" w:cs="宋体"/>
                <w:b w:val="0"/>
                <w:bCs w:val="0"/>
                <w:color w:val="auto"/>
                <w:sz w:val="21"/>
                <w:szCs w:val="21"/>
                <w:highlight w:val="none"/>
                <w:lang w:val="en-US"/>
              </w:rPr>
            </w:pPr>
            <w:r>
              <w:rPr>
                <w:rFonts w:hint="eastAsia" w:ascii="宋体" w:hAnsi="宋体" w:cs="宋体"/>
                <w:b w:val="0"/>
                <w:bCs w:val="0"/>
                <w:color w:val="auto"/>
                <w:sz w:val="21"/>
                <w:szCs w:val="21"/>
                <w:highlight w:val="none"/>
                <w:lang w:val="en-US" w:eastAsia="zh-CN"/>
              </w:rPr>
              <w:t>85319元</w:t>
            </w: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695" w:type="dxa"/>
            <w:gridSpan w:val="3"/>
            <w:noWrap w:val="0"/>
            <w:vAlign w:val="center"/>
          </w:tcPr>
          <w:p>
            <w:pPr>
              <w:spacing w:line="0" w:lineRule="atLeast"/>
              <w:jc w:val="center"/>
              <w:rPr>
                <w:rFonts w:hint="default" w:ascii="宋体" w:hAnsi="宋体" w:eastAsia="宋体" w:cs="宋体"/>
                <w:b/>
                <w:bCs/>
                <w:color w:val="auto"/>
                <w:sz w:val="21"/>
                <w:szCs w:val="21"/>
                <w:highlight w:val="none"/>
                <w:lang w:val="en-US" w:eastAsia="zh-CN"/>
              </w:rPr>
            </w:pPr>
            <w:r>
              <w:rPr>
                <w:rFonts w:hint="default" w:ascii="宋体" w:hAnsi="宋体" w:eastAsia="宋体" w:cs="宋体"/>
                <w:b/>
                <w:bCs/>
                <w:color w:val="auto"/>
                <w:sz w:val="21"/>
                <w:szCs w:val="21"/>
                <w:highlight w:val="none"/>
                <w:lang w:val="en-US" w:eastAsia="zh-CN"/>
              </w:rPr>
              <w:t>投标总</w:t>
            </w:r>
            <w:r>
              <w:rPr>
                <w:rFonts w:hint="eastAsia" w:ascii="宋体" w:hAnsi="宋体" w:cs="宋体"/>
                <w:b/>
                <w:bCs/>
                <w:color w:val="auto"/>
                <w:sz w:val="21"/>
                <w:szCs w:val="21"/>
                <w:highlight w:val="none"/>
                <w:lang w:val="en-US" w:eastAsia="zh-CN"/>
              </w:rPr>
              <w:t>报</w:t>
            </w:r>
            <w:r>
              <w:rPr>
                <w:rFonts w:hint="default" w:ascii="宋体" w:hAnsi="宋体" w:eastAsia="宋体" w:cs="宋体"/>
                <w:b/>
                <w:bCs/>
                <w:color w:val="auto"/>
                <w:sz w:val="21"/>
                <w:szCs w:val="21"/>
                <w:highlight w:val="none"/>
                <w:lang w:val="en-US" w:eastAsia="zh-CN"/>
              </w:rPr>
              <w:t>价（元）</w:t>
            </w:r>
          </w:p>
        </w:tc>
        <w:tc>
          <w:tcPr>
            <w:tcW w:w="1350" w:type="dxa"/>
            <w:noWrap w:val="0"/>
            <w:vAlign w:val="center"/>
          </w:tcPr>
          <w:p>
            <w:pPr>
              <w:spacing w:line="0" w:lineRule="atLeast"/>
              <w:jc w:val="center"/>
              <w:rPr>
                <w:rFonts w:hint="eastAsia" w:ascii="宋体" w:hAnsi="宋体" w:cs="宋体"/>
                <w:b w:val="0"/>
                <w:bCs w:val="0"/>
                <w:color w:val="auto"/>
                <w:sz w:val="21"/>
                <w:szCs w:val="21"/>
                <w:highlight w:val="none"/>
                <w:lang w:val="en-US" w:eastAsia="zh-CN"/>
              </w:rPr>
            </w:pPr>
          </w:p>
        </w:tc>
        <w:tc>
          <w:tcPr>
            <w:tcW w:w="4890" w:type="dxa"/>
            <w:gridSpan w:val="4"/>
            <w:noWrap w:val="0"/>
            <w:vAlign w:val="center"/>
          </w:tcPr>
          <w:p>
            <w:pPr>
              <w:spacing w:line="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_________元</w:t>
            </w: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695" w:type="dxa"/>
            <w:gridSpan w:val="3"/>
            <w:noWrap w:val="0"/>
            <w:vAlign w:val="center"/>
          </w:tcPr>
          <w:p>
            <w:pPr>
              <w:spacing w:line="0" w:lineRule="atLeast"/>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投标报价统一下浮率</w:t>
            </w:r>
          </w:p>
        </w:tc>
        <w:tc>
          <w:tcPr>
            <w:tcW w:w="1350" w:type="dxa"/>
            <w:noWrap w:val="0"/>
            <w:vAlign w:val="center"/>
          </w:tcPr>
          <w:p>
            <w:pPr>
              <w:spacing w:line="0" w:lineRule="atLeast"/>
              <w:jc w:val="center"/>
              <w:rPr>
                <w:rFonts w:hint="eastAsia" w:ascii="宋体" w:hAnsi="宋体" w:cs="宋体"/>
                <w:b w:val="0"/>
                <w:bCs w:val="0"/>
                <w:color w:val="auto"/>
                <w:sz w:val="21"/>
                <w:szCs w:val="21"/>
                <w:highlight w:val="none"/>
                <w:lang w:val="en-US" w:eastAsia="zh-CN"/>
              </w:rPr>
            </w:pPr>
          </w:p>
        </w:tc>
        <w:tc>
          <w:tcPr>
            <w:tcW w:w="4890" w:type="dxa"/>
            <w:gridSpan w:val="4"/>
            <w:noWrap w:val="0"/>
            <w:vAlign w:val="center"/>
          </w:tcPr>
          <w:p>
            <w:pPr>
              <w:spacing w:line="0" w:lineRule="atLeast"/>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_____%</w:t>
            </w:r>
          </w:p>
        </w:tc>
        <w:tc>
          <w:tcPr>
            <w:tcW w:w="1159" w:type="dxa"/>
            <w:tcBorders>
              <w:left w:val="single" w:color="auto" w:sz="4" w:space="0"/>
            </w:tcBorders>
            <w:noWrap w:val="0"/>
            <w:vAlign w:val="center"/>
          </w:tcPr>
          <w:p>
            <w:pPr>
              <w:spacing w:line="0" w:lineRule="atLeast"/>
              <w:jc w:val="center"/>
              <w:rPr>
                <w:rFonts w:hint="eastAsia" w:ascii="宋体" w:hAnsi="宋体" w:eastAsia="宋体" w:cs="宋体"/>
                <w:b w:val="0"/>
                <w:bCs w:val="0"/>
                <w:color w:val="auto"/>
                <w:sz w:val="21"/>
                <w:szCs w:val="21"/>
                <w:highlight w:val="none"/>
              </w:rPr>
            </w:pPr>
          </w:p>
        </w:tc>
      </w:tr>
    </w:tbl>
    <w:p>
      <w:pPr>
        <w:pStyle w:val="4"/>
        <w:ind w:left="0" w:leftChars="0" w:firstLine="0" w:firstLineChars="0"/>
        <w:jc w:val="left"/>
        <w:rPr>
          <w:rFonts w:hint="eastAsia"/>
          <w:sz w:val="21"/>
          <w:szCs w:val="21"/>
          <w:highlight w:val="none"/>
        </w:rPr>
      </w:pPr>
      <w:r>
        <w:rPr>
          <w:rFonts w:hint="eastAsia"/>
          <w:sz w:val="21"/>
          <w:szCs w:val="21"/>
          <w:highlight w:val="none"/>
        </w:rPr>
        <w:t>说明：</w:t>
      </w:r>
      <w:r>
        <w:rPr>
          <w:rFonts w:hint="eastAsia" w:eastAsia="宋体"/>
          <w:b/>
          <w:bCs/>
          <w:sz w:val="21"/>
          <w:szCs w:val="21"/>
          <w:highlight w:val="none"/>
          <w:lang w:val="en-US" w:eastAsia="zh-CN"/>
        </w:rPr>
        <w:t>1.</w:t>
      </w:r>
      <w:r>
        <w:rPr>
          <w:rFonts w:hint="eastAsia"/>
          <w:sz w:val="21"/>
          <w:szCs w:val="21"/>
          <w:highlight w:val="none"/>
        </w:rPr>
        <w:t>以上检定（校准）设备要求检定/校准机构委派人员来杭州富阳建筑工程质量检测有限公司仪器设备现场检测，现场检测不了的，来回搬运费应包含在报价内，自行前往接送；年度需2次以上检定（校准）设备，需按规定间隔时间进行；如增加设备，按同类设备报价参照执行，无比较新设备参照市场价（需3家以上单位询价）下浮20%</w:t>
      </w:r>
    </w:p>
    <w:p>
      <w:pPr>
        <w:pStyle w:val="4"/>
        <w:numPr>
          <w:ilvl w:val="0"/>
          <w:numId w:val="0"/>
        </w:numPr>
        <w:ind w:leftChars="0" w:firstLine="406" w:firstLineChars="200"/>
        <w:jc w:val="left"/>
        <w:rPr>
          <w:rFonts w:hint="eastAsia"/>
          <w:sz w:val="21"/>
          <w:szCs w:val="21"/>
          <w:highlight w:val="none"/>
        </w:rPr>
      </w:pPr>
      <w:r>
        <w:rPr>
          <w:rFonts w:hint="eastAsia" w:eastAsia="宋体"/>
          <w:b/>
          <w:bCs/>
          <w:sz w:val="21"/>
          <w:szCs w:val="21"/>
          <w:highlight w:val="none"/>
          <w:lang w:val="en-US" w:eastAsia="zh-CN"/>
        </w:rPr>
        <w:t>2..</w:t>
      </w:r>
      <w:r>
        <w:rPr>
          <w:rFonts w:hint="eastAsia"/>
          <w:sz w:val="21"/>
          <w:szCs w:val="21"/>
          <w:highlight w:val="none"/>
        </w:rPr>
        <w:t>本次报价为综合单价，报价必须包括所有与本项目服务相关的、有关本项目实施所涉及的一切费用。报价应为完成本项目所发生的各项费用之和，应包括设备鉴定、校准、交通费、利润、税金、合同条款规定的保险、政策性文件规定及合同包含的所有风险、责任及措施、应支付的专利权、版权或其他知识产权一切费用等费用，以及可能发生的各种费用。</w:t>
      </w:r>
    </w:p>
    <w:p>
      <w:pPr>
        <w:pStyle w:val="4"/>
        <w:numPr>
          <w:ilvl w:val="0"/>
          <w:numId w:val="0"/>
        </w:numPr>
        <w:ind w:leftChars="0" w:firstLine="406" w:firstLineChars="200"/>
        <w:jc w:val="left"/>
        <w:rPr>
          <w:rFonts w:hint="eastAsia"/>
          <w:sz w:val="21"/>
          <w:szCs w:val="21"/>
          <w:highlight w:val="none"/>
        </w:rPr>
      </w:pPr>
      <w:r>
        <w:rPr>
          <w:rFonts w:hint="eastAsia" w:eastAsia="宋体"/>
          <w:b/>
          <w:bCs/>
          <w:sz w:val="21"/>
          <w:szCs w:val="21"/>
          <w:highlight w:val="none"/>
          <w:lang w:val="en-US" w:eastAsia="zh-CN"/>
        </w:rPr>
        <w:t>3.</w:t>
      </w:r>
      <w:r>
        <w:rPr>
          <w:rFonts w:hint="eastAsia"/>
          <w:sz w:val="21"/>
          <w:szCs w:val="21"/>
          <w:highlight w:val="none"/>
        </w:rPr>
        <w:t>未按商务需求报价要求进行填报或错报，视为不响应商务文件，</w:t>
      </w:r>
      <w:r>
        <w:rPr>
          <w:rFonts w:hint="eastAsia" w:eastAsia="宋体"/>
          <w:sz w:val="21"/>
          <w:szCs w:val="21"/>
          <w:highlight w:val="none"/>
          <w:lang w:val="en-US" w:eastAsia="zh-CN"/>
        </w:rPr>
        <w:t>招标人可以</w:t>
      </w:r>
      <w:r>
        <w:rPr>
          <w:rFonts w:hint="eastAsia"/>
          <w:sz w:val="21"/>
          <w:szCs w:val="21"/>
          <w:highlight w:val="none"/>
        </w:rPr>
        <w:t>取消中标资格。</w:t>
      </w:r>
    </w:p>
    <w:p>
      <w:pPr>
        <w:pStyle w:val="4"/>
        <w:numPr>
          <w:ilvl w:val="0"/>
          <w:numId w:val="0"/>
        </w:numPr>
        <w:ind w:leftChars="0" w:firstLine="406" w:firstLineChars="200"/>
        <w:jc w:val="left"/>
        <w:rPr>
          <w:rFonts w:hint="eastAsia"/>
          <w:b/>
          <w:bCs/>
          <w:sz w:val="21"/>
          <w:szCs w:val="21"/>
          <w:highlight w:val="none"/>
          <w:lang w:val="zh-CN"/>
        </w:rPr>
      </w:pPr>
      <w:r>
        <w:rPr>
          <w:rFonts w:hint="eastAsia" w:eastAsia="宋体"/>
          <w:b/>
          <w:bCs/>
          <w:sz w:val="21"/>
          <w:szCs w:val="21"/>
          <w:highlight w:val="none"/>
          <w:lang w:val="en-US" w:eastAsia="zh-CN"/>
        </w:rPr>
        <w:t>4.</w:t>
      </w:r>
      <w:r>
        <w:rPr>
          <w:rFonts w:hint="eastAsia"/>
          <w:b/>
          <w:bCs/>
          <w:sz w:val="21"/>
          <w:szCs w:val="21"/>
          <w:highlight w:val="none"/>
          <w:lang w:val="zh-CN"/>
        </w:rPr>
        <w:t>“报价一览表”为多页的，每页均需加盖投标人公章。</w:t>
      </w:r>
    </w:p>
    <w:p>
      <w:pPr>
        <w:pStyle w:val="4"/>
        <w:numPr>
          <w:ilvl w:val="0"/>
          <w:numId w:val="0"/>
        </w:numPr>
        <w:ind w:leftChars="0" w:firstLine="404" w:firstLineChars="200"/>
        <w:jc w:val="left"/>
        <w:rPr>
          <w:rFonts w:hint="eastAsia"/>
          <w:sz w:val="21"/>
          <w:szCs w:val="21"/>
          <w:highlight w:val="none"/>
        </w:rPr>
      </w:pPr>
      <w:r>
        <w:rPr>
          <w:rFonts w:hint="eastAsia"/>
          <w:b/>
          <w:bCs/>
          <w:sz w:val="21"/>
          <w:szCs w:val="21"/>
          <w:highlight w:val="none"/>
          <w:lang w:val="en-US" w:eastAsia="zh-CN"/>
        </w:rPr>
        <w:t>5..</w:t>
      </w:r>
      <w:r>
        <w:rPr>
          <w:rFonts w:hint="eastAsia"/>
          <w:sz w:val="21"/>
          <w:szCs w:val="21"/>
          <w:highlight w:val="none"/>
          <w:lang w:val="en-US" w:eastAsia="zh-CN"/>
        </w:rPr>
        <w:t>本次数量为</w:t>
      </w:r>
      <w:r>
        <w:rPr>
          <w:rFonts w:hint="eastAsia"/>
          <w:sz w:val="21"/>
          <w:szCs w:val="21"/>
          <w:highlight w:val="none"/>
          <w:lang w:val="zh-CN" w:eastAsia="zh-CN"/>
        </w:rPr>
        <w:t>暂估数量，具体数量按实际</w:t>
      </w:r>
      <w:r>
        <w:rPr>
          <w:rFonts w:hint="eastAsia"/>
          <w:sz w:val="21"/>
          <w:szCs w:val="21"/>
          <w:highlight w:val="none"/>
          <w:lang w:val="en-US" w:eastAsia="zh-CN"/>
        </w:rPr>
        <w:t>数量结合中标</w:t>
      </w:r>
      <w:r>
        <w:rPr>
          <w:rFonts w:hint="eastAsia"/>
          <w:sz w:val="21"/>
          <w:szCs w:val="21"/>
          <w:highlight w:val="none"/>
          <w:lang w:val="zh-CN" w:eastAsia="zh-CN"/>
        </w:rPr>
        <w:t>价结算。</w:t>
      </w:r>
    </w:p>
    <w:p>
      <w:pPr>
        <w:pStyle w:val="4"/>
        <w:numPr>
          <w:ilvl w:val="0"/>
          <w:numId w:val="0"/>
        </w:numPr>
        <w:ind w:leftChars="0" w:firstLine="406" w:firstLineChars="200"/>
        <w:jc w:val="left"/>
        <w:rPr>
          <w:rFonts w:hint="eastAsia"/>
          <w:b/>
          <w:bCs/>
          <w:sz w:val="21"/>
          <w:szCs w:val="21"/>
          <w:highlight w:val="none"/>
          <w:lang w:val="zh-CN"/>
        </w:rPr>
      </w:pPr>
      <w:r>
        <w:rPr>
          <w:rFonts w:hint="eastAsia" w:eastAsia="宋体"/>
          <w:b/>
          <w:bCs/>
          <w:sz w:val="21"/>
          <w:szCs w:val="21"/>
          <w:highlight w:val="none"/>
          <w:lang w:val="en-US" w:eastAsia="zh-CN"/>
        </w:rPr>
        <w:t>6.</w:t>
      </w:r>
      <w:r>
        <w:rPr>
          <w:rFonts w:hint="eastAsia"/>
          <w:b/>
          <w:bCs/>
          <w:sz w:val="21"/>
          <w:szCs w:val="21"/>
          <w:highlight w:val="none"/>
          <w:lang w:val="zh-CN"/>
        </w:rPr>
        <w:t>投标报价以人民币为结算币种，各种招标规格</w:t>
      </w:r>
      <w:r>
        <w:rPr>
          <w:rFonts w:hint="eastAsia" w:eastAsia="宋体"/>
          <w:b/>
          <w:bCs/>
          <w:sz w:val="21"/>
          <w:szCs w:val="21"/>
          <w:highlight w:val="none"/>
          <w:lang w:val="en-US" w:eastAsia="zh-CN"/>
        </w:rPr>
        <w:t>型号设备</w:t>
      </w:r>
      <w:r>
        <w:rPr>
          <w:rFonts w:hint="eastAsia"/>
          <w:b/>
          <w:bCs/>
          <w:sz w:val="21"/>
          <w:szCs w:val="21"/>
          <w:highlight w:val="none"/>
          <w:lang w:val="zh-CN"/>
        </w:rPr>
        <w:t>单价确定方式为：投标</w:t>
      </w:r>
      <w:r>
        <w:rPr>
          <w:rFonts w:hint="eastAsia" w:eastAsia="宋体"/>
          <w:b/>
          <w:bCs/>
          <w:sz w:val="21"/>
          <w:szCs w:val="21"/>
          <w:highlight w:val="none"/>
          <w:lang w:val="en-US" w:eastAsia="zh-CN"/>
        </w:rPr>
        <w:t>报价</w:t>
      </w:r>
      <w:r>
        <w:rPr>
          <w:rFonts w:hint="eastAsia"/>
          <w:b/>
          <w:bCs/>
          <w:sz w:val="21"/>
          <w:szCs w:val="21"/>
          <w:highlight w:val="none"/>
          <w:lang w:val="zh-CN"/>
        </w:rPr>
        <w:t>单价=各种规格最高限价</w:t>
      </w:r>
      <w:r>
        <w:rPr>
          <w:rFonts w:hint="eastAsia" w:eastAsia="宋体"/>
          <w:b/>
          <w:bCs/>
          <w:sz w:val="21"/>
          <w:szCs w:val="21"/>
          <w:highlight w:val="none"/>
          <w:lang w:val="en-US" w:eastAsia="zh-CN"/>
        </w:rPr>
        <w:t>单价</w:t>
      </w:r>
      <w:r>
        <w:rPr>
          <w:rFonts w:hint="eastAsia"/>
          <w:b/>
          <w:bCs/>
          <w:sz w:val="21"/>
          <w:szCs w:val="21"/>
          <w:highlight w:val="none"/>
          <w:lang w:val="zh-CN"/>
        </w:rPr>
        <w:t>*（1-投标</w:t>
      </w:r>
      <w:r>
        <w:rPr>
          <w:rFonts w:hint="eastAsia" w:eastAsia="宋体"/>
          <w:b/>
          <w:bCs/>
          <w:sz w:val="21"/>
          <w:szCs w:val="21"/>
          <w:highlight w:val="none"/>
          <w:lang w:val="en-US" w:eastAsia="zh-CN"/>
        </w:rPr>
        <w:t>报价</w:t>
      </w:r>
      <w:r>
        <w:rPr>
          <w:rFonts w:hint="eastAsia"/>
          <w:b/>
          <w:bCs/>
          <w:sz w:val="21"/>
          <w:szCs w:val="21"/>
          <w:highlight w:val="none"/>
          <w:lang w:val="zh-CN"/>
        </w:rPr>
        <w:t>统一下浮率）。投标单价及合价可保留至元。任一项超过</w:t>
      </w:r>
      <w:r>
        <w:rPr>
          <w:rFonts w:hint="eastAsia"/>
          <w:b/>
          <w:bCs/>
          <w:sz w:val="21"/>
          <w:szCs w:val="21"/>
          <w:highlight w:val="none"/>
          <w:lang w:val="zh-CN" w:eastAsia="zh-CN"/>
        </w:rPr>
        <w:t>单价最高限价的</w:t>
      </w:r>
      <w:r>
        <w:rPr>
          <w:rFonts w:hint="eastAsia"/>
          <w:b/>
          <w:bCs/>
          <w:sz w:val="21"/>
          <w:szCs w:val="21"/>
          <w:highlight w:val="none"/>
          <w:lang w:val="zh-CN"/>
        </w:rPr>
        <w:t>为无效报价，</w:t>
      </w:r>
      <w:r>
        <w:rPr>
          <w:rFonts w:hint="eastAsia" w:eastAsia="宋体"/>
          <w:b/>
          <w:bCs/>
          <w:sz w:val="21"/>
          <w:szCs w:val="21"/>
          <w:highlight w:val="none"/>
          <w:lang w:val="en-US" w:eastAsia="zh-CN"/>
        </w:rPr>
        <w:t>投标总报价超过总最高限价的为无效报价，取消中标资格。</w:t>
      </w:r>
    </w:p>
    <w:p>
      <w:pPr>
        <w:pStyle w:val="4"/>
        <w:numPr>
          <w:ilvl w:val="0"/>
          <w:numId w:val="0"/>
        </w:numPr>
        <w:ind w:leftChars="0" w:firstLine="406" w:firstLineChars="200"/>
        <w:jc w:val="left"/>
        <w:rPr>
          <w:rFonts w:hint="eastAsia"/>
          <w:b/>
          <w:bCs/>
          <w:sz w:val="21"/>
          <w:szCs w:val="21"/>
          <w:highlight w:val="none"/>
        </w:rPr>
      </w:pPr>
      <w:r>
        <w:rPr>
          <w:rFonts w:hint="eastAsia" w:eastAsia="宋体"/>
          <w:b/>
          <w:bCs/>
          <w:sz w:val="21"/>
          <w:szCs w:val="21"/>
          <w:highlight w:val="none"/>
          <w:lang w:val="en-US" w:eastAsia="zh-CN"/>
        </w:rPr>
        <w:t>7.</w:t>
      </w:r>
      <w:r>
        <w:rPr>
          <w:rFonts w:hint="eastAsia"/>
          <w:b/>
          <w:bCs/>
          <w:sz w:val="21"/>
          <w:szCs w:val="21"/>
          <w:highlight w:val="none"/>
          <w:lang w:val="zh-CN"/>
        </w:rPr>
        <w:t>投标总报价为各种</w:t>
      </w:r>
      <w:r>
        <w:rPr>
          <w:rFonts w:hint="eastAsia" w:eastAsia="宋体"/>
          <w:b/>
          <w:bCs/>
          <w:sz w:val="21"/>
          <w:szCs w:val="21"/>
          <w:highlight w:val="none"/>
          <w:lang w:val="en-US" w:eastAsia="zh-CN"/>
        </w:rPr>
        <w:t>规格</w:t>
      </w:r>
      <w:r>
        <w:rPr>
          <w:rFonts w:hint="eastAsia"/>
          <w:b/>
          <w:bCs/>
          <w:sz w:val="21"/>
          <w:szCs w:val="21"/>
          <w:highlight w:val="none"/>
          <w:lang w:val="zh-CN"/>
        </w:rPr>
        <w:t>经统一下浮计算结果之和。</w:t>
      </w:r>
    </w:p>
    <w:p>
      <w:pPr>
        <w:pStyle w:val="4"/>
        <w:ind w:left="0" w:leftChars="0" w:firstLine="0" w:firstLineChars="0"/>
        <w:jc w:val="both"/>
        <w:rPr>
          <w:rFonts w:hint="eastAsia"/>
          <w:sz w:val="24"/>
          <w:szCs w:val="24"/>
          <w:highlight w:val="none"/>
        </w:rPr>
      </w:pPr>
    </w:p>
    <w:p>
      <w:pPr>
        <w:pStyle w:val="4"/>
        <w:ind w:left="696" w:leftChars="0" w:hanging="696" w:hangingChars="300"/>
        <w:jc w:val="center"/>
        <w:rPr>
          <w:rFonts w:hint="eastAsia" w:eastAsia="宋体"/>
          <w:sz w:val="24"/>
          <w:szCs w:val="24"/>
          <w:highlight w:val="none"/>
          <w:lang w:eastAsia="zh-CN"/>
        </w:rPr>
      </w:pPr>
      <w:r>
        <w:rPr>
          <w:rFonts w:hint="eastAsia" w:eastAsia="宋体"/>
          <w:sz w:val="24"/>
          <w:szCs w:val="24"/>
          <w:highlight w:val="none"/>
          <w:lang w:val="en-US" w:eastAsia="zh-CN"/>
        </w:rPr>
        <w:t xml:space="preserve">                                        </w:t>
      </w:r>
      <w:r>
        <w:rPr>
          <w:rFonts w:hint="eastAsia" w:eastAsia="宋体"/>
          <w:sz w:val="24"/>
          <w:szCs w:val="24"/>
          <w:highlight w:val="none"/>
          <w:lang w:eastAsia="zh-CN"/>
        </w:rPr>
        <w:t>投标单位（盖章）</w:t>
      </w:r>
    </w:p>
    <w:p>
      <w:pPr>
        <w:pStyle w:val="4"/>
        <w:ind w:left="696" w:leftChars="0" w:hanging="696" w:hangingChars="300"/>
        <w:jc w:val="right"/>
        <w:rPr>
          <w:rFonts w:hint="eastAsia" w:eastAsia="宋体"/>
          <w:sz w:val="24"/>
          <w:szCs w:val="24"/>
          <w:highlight w:val="none"/>
          <w:lang w:eastAsia="zh-CN"/>
        </w:rPr>
      </w:pPr>
    </w:p>
    <w:p>
      <w:pPr>
        <w:pStyle w:val="4"/>
        <w:ind w:left="696" w:leftChars="0" w:hanging="696" w:hangingChars="300"/>
        <w:jc w:val="center"/>
        <w:rPr>
          <w:rFonts w:hint="eastAsia" w:eastAsia="宋体"/>
          <w:sz w:val="24"/>
          <w:szCs w:val="24"/>
          <w:highlight w:val="none"/>
          <w:lang w:eastAsia="zh-CN"/>
        </w:rPr>
      </w:pPr>
      <w:r>
        <w:rPr>
          <w:rFonts w:hint="eastAsia" w:eastAsia="宋体"/>
          <w:sz w:val="24"/>
          <w:szCs w:val="24"/>
          <w:highlight w:val="none"/>
          <w:lang w:val="en-US" w:eastAsia="zh-CN"/>
        </w:rPr>
        <w:t xml:space="preserve">                                          </w:t>
      </w:r>
      <w:r>
        <w:rPr>
          <w:rFonts w:hint="eastAsia" w:eastAsia="宋体"/>
          <w:sz w:val="24"/>
          <w:szCs w:val="24"/>
          <w:highlight w:val="none"/>
          <w:lang w:eastAsia="zh-CN"/>
        </w:rPr>
        <w:t>法定代表人（签字</w:t>
      </w:r>
      <w:r>
        <w:rPr>
          <w:rFonts w:hint="eastAsia" w:eastAsia="宋体"/>
          <w:sz w:val="24"/>
          <w:szCs w:val="24"/>
          <w:highlight w:val="none"/>
          <w:lang w:val="en-US" w:eastAsia="zh-CN"/>
        </w:rPr>
        <w:t>或</w:t>
      </w:r>
      <w:r>
        <w:rPr>
          <w:rFonts w:hint="eastAsia" w:eastAsia="宋体"/>
          <w:sz w:val="24"/>
          <w:szCs w:val="24"/>
          <w:highlight w:val="none"/>
          <w:lang w:eastAsia="zh-CN"/>
        </w:rPr>
        <w:t>盖章）</w:t>
      </w:r>
    </w:p>
    <w:p>
      <w:pPr>
        <w:pStyle w:val="4"/>
        <w:ind w:left="696" w:leftChars="0" w:hanging="696" w:hangingChars="300"/>
        <w:jc w:val="right"/>
        <w:rPr>
          <w:rFonts w:hint="eastAsia" w:eastAsia="宋体"/>
          <w:sz w:val="24"/>
          <w:szCs w:val="24"/>
          <w:lang w:eastAsia="zh-CN"/>
        </w:rPr>
      </w:pPr>
    </w:p>
    <w:p>
      <w:pPr>
        <w:pStyle w:val="4"/>
        <w:wordWrap w:val="0"/>
        <w:ind w:left="696" w:leftChars="0" w:hanging="696" w:hangingChars="300"/>
        <w:jc w:val="center"/>
        <w:rPr>
          <w:rFonts w:hint="eastAsia" w:asciiTheme="minorEastAsia" w:hAnsiTheme="minorEastAsia" w:eastAsiaTheme="minorEastAsia" w:cstheme="minorEastAsia"/>
          <w:sz w:val="32"/>
          <w:szCs w:val="32"/>
        </w:rPr>
      </w:pPr>
      <w:r>
        <w:rPr>
          <w:rFonts w:hint="eastAsia" w:eastAsia="宋体"/>
          <w:sz w:val="24"/>
          <w:szCs w:val="24"/>
          <w:lang w:val="en-US" w:eastAsia="zh-CN"/>
        </w:rPr>
        <w:t xml:space="preserve">                                             </w:t>
      </w:r>
      <w:r>
        <w:rPr>
          <w:rFonts w:hint="eastAsia" w:eastAsia="宋体"/>
          <w:sz w:val="24"/>
          <w:szCs w:val="24"/>
          <w:lang w:eastAsia="zh-CN"/>
        </w:rPr>
        <w:t>日期：</w:t>
      </w:r>
      <w:r>
        <w:rPr>
          <w:rFonts w:hint="eastAsia" w:eastAsia="宋体"/>
          <w:sz w:val="24"/>
          <w:szCs w:val="24"/>
          <w:lang w:val="en-US" w:eastAsia="zh-CN"/>
        </w:rPr>
        <w:t xml:space="preserve">    年    月     日 </w:t>
      </w:r>
    </w:p>
    <w:p>
      <w:pPr>
        <w:jc w:val="center"/>
        <w:rPr>
          <w:rFonts w:hint="eastAsia" w:asciiTheme="minorEastAsia" w:hAnsiTheme="minorEastAsia" w:eastAsiaTheme="minorEastAsia" w:cstheme="minorEastAsia"/>
          <w:sz w:val="32"/>
          <w:szCs w:val="32"/>
          <w:highlight w:val="none"/>
        </w:rPr>
      </w:pPr>
    </w:p>
    <w:p>
      <w:pPr>
        <w:jc w:val="cente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lang w:val="en-US" w:eastAsia="zh-CN"/>
        </w:rPr>
        <w:t>诚信</w:t>
      </w:r>
      <w:r>
        <w:rPr>
          <w:rFonts w:hint="eastAsia" w:asciiTheme="minorEastAsia" w:hAnsiTheme="minorEastAsia" w:eastAsiaTheme="minorEastAsia" w:cstheme="minorEastAsia"/>
          <w:sz w:val="32"/>
          <w:szCs w:val="32"/>
          <w:highlight w:val="none"/>
        </w:rPr>
        <w:t>承诺书</w:t>
      </w:r>
    </w:p>
    <w:p>
      <w:pPr>
        <w:ind w:firstLine="1120" w:firstLineChars="4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highlight w:val="none"/>
        </w:rPr>
        <w:t>兹_______________________________________公司参与</w:t>
      </w:r>
      <w:r>
        <w:rPr>
          <w:rFonts w:hint="eastAsia" w:asciiTheme="minorEastAsia" w:hAnsiTheme="minorEastAsia" w:eastAsiaTheme="minorEastAsia" w:cstheme="minorEastAsia"/>
          <w:sz w:val="28"/>
          <w:szCs w:val="28"/>
        </w:rPr>
        <w:t>________________________项目在线询价（反向竞价）报价，我公司参与报价时严格按照采购人商务文件等要求，符合且按采购人要求提供___________、___________、____________、_________等资料。我公司承诺以上资料加盖公章，真实有效，符合采购人要求，若存在我方弄虚作假、所提供的资料不符合采购人要求（实质性材料内容不符合采购需求、未上传或上传不齐全所须采购需求）、系统或纸质报价错误，且采购系统自动成交中标的情形，我方同意并认可采购人进行取消我方中标资格，取消双方订单，不予签订合同等行为，由此引起的一切法律责任与经济纠纷由本公司承担。</w:t>
      </w:r>
    </w:p>
    <w:p>
      <w:pPr>
        <w:ind w:firstLine="1120" w:firstLineChars="400"/>
        <w:rPr>
          <w:rFonts w:hint="eastAsia" w:asciiTheme="minorEastAsia" w:hAnsiTheme="minorEastAsia" w:eastAsiaTheme="minorEastAsia" w:cstheme="minorEastAsia"/>
          <w:sz w:val="28"/>
          <w:szCs w:val="28"/>
        </w:rPr>
      </w:pPr>
    </w:p>
    <w:p>
      <w:pPr>
        <w:ind w:firstLine="1120" w:firstLineChars="400"/>
        <w:rPr>
          <w:rFonts w:hint="eastAsia" w:asciiTheme="minorEastAsia" w:hAnsiTheme="minorEastAsia" w:eastAsiaTheme="minorEastAsia" w:cstheme="minorEastAsia"/>
          <w:sz w:val="28"/>
          <w:szCs w:val="28"/>
        </w:rPr>
      </w:pPr>
    </w:p>
    <w:p>
      <w:pPr>
        <w:ind w:firstLine="1120" w:firstLineChars="400"/>
        <w:rPr>
          <w:rFonts w:hint="eastAsia" w:asciiTheme="minorEastAsia" w:hAnsiTheme="minorEastAsia" w:eastAsiaTheme="minorEastAsia" w:cstheme="minorEastAsia"/>
          <w:sz w:val="28"/>
          <w:szCs w:val="28"/>
        </w:rPr>
      </w:pPr>
    </w:p>
    <w:p>
      <w:pPr>
        <w:ind w:firstLine="1120" w:firstLineChars="400"/>
        <w:rPr>
          <w:rFonts w:hint="eastAsia" w:asciiTheme="minorEastAsia" w:hAnsiTheme="minorEastAsia" w:eastAsiaTheme="minorEastAsia" w:cstheme="minorEastAsia"/>
          <w:sz w:val="28"/>
          <w:szCs w:val="28"/>
        </w:rPr>
      </w:pPr>
    </w:p>
    <w:p>
      <w:pPr>
        <w:ind w:firstLine="1120" w:firstLineChars="4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承诺人：_________________</w:t>
      </w:r>
    </w:p>
    <w:p>
      <w:pPr>
        <w:ind w:firstLine="1120" w:firstLineChars="4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                              _____年_____月_____日</w:t>
      </w:r>
    </w:p>
    <w:p>
      <w:pPr>
        <w:pStyle w:val="11"/>
        <w:jc w:val="both"/>
        <w:rPr>
          <w:rFonts w:hint="eastAsia"/>
          <w:lang w:val="en-US" w:eastAsia="zh-CN"/>
        </w:rPr>
      </w:pPr>
    </w:p>
    <w:p>
      <w:pPr>
        <w:rPr>
          <w:rFonts w:hint="eastAsia"/>
          <w:lang w:val="en-US" w:eastAsia="zh-CN"/>
        </w:rPr>
      </w:pPr>
    </w:p>
    <w:p>
      <w:pPr>
        <w:pStyle w:val="4"/>
        <w:keepNext w:val="0"/>
        <w:keepLines w:val="0"/>
        <w:pageBreakBefore w:val="0"/>
        <w:numPr>
          <w:ilvl w:val="0"/>
          <w:numId w:val="0"/>
        </w:numPr>
        <w:tabs>
          <w:tab w:val="left" w:pos="720"/>
        </w:tabs>
        <w:kinsoku/>
        <w:wordWrap/>
        <w:overflowPunct/>
        <w:topLinePunct w:val="0"/>
        <w:autoSpaceDE/>
        <w:autoSpaceDN/>
        <w:bidi w:val="0"/>
        <w:adjustRightInd/>
        <w:snapToGrid/>
        <w:spacing w:line="360" w:lineRule="exact"/>
        <w:jc w:val="left"/>
        <w:textAlignment w:val="auto"/>
        <w:rPr>
          <w:rFonts w:hint="default"/>
          <w:sz w:val="24"/>
          <w:szCs w:val="24"/>
          <w:lang w:val="en-US" w:eastAsia="zh-CN"/>
        </w:rPr>
      </w:pPr>
    </w:p>
    <w:p>
      <w:pPr>
        <w:pStyle w:val="4"/>
        <w:keepNext w:val="0"/>
        <w:keepLines w:val="0"/>
        <w:pageBreakBefore w:val="0"/>
        <w:numPr>
          <w:ilvl w:val="0"/>
          <w:numId w:val="0"/>
        </w:numPr>
        <w:tabs>
          <w:tab w:val="left" w:pos="720"/>
        </w:tabs>
        <w:kinsoku/>
        <w:wordWrap/>
        <w:overflowPunct/>
        <w:topLinePunct w:val="0"/>
        <w:autoSpaceDE/>
        <w:autoSpaceDN/>
        <w:bidi w:val="0"/>
        <w:adjustRightInd/>
        <w:snapToGrid/>
        <w:spacing w:line="360" w:lineRule="exact"/>
        <w:jc w:val="left"/>
        <w:textAlignment w:val="auto"/>
        <w:rPr>
          <w:rFonts w:hint="default"/>
          <w:sz w:val="24"/>
          <w:szCs w:val="24"/>
          <w:lang w:val="en-US" w:eastAsia="zh-CN"/>
        </w:rPr>
      </w:pPr>
    </w:p>
    <w:p>
      <w:pPr>
        <w:pStyle w:val="4"/>
        <w:numPr>
          <w:ilvl w:val="0"/>
          <w:numId w:val="0"/>
        </w:numPr>
        <w:ind w:leftChars="0"/>
        <w:jc w:val="left"/>
        <w:rPr>
          <w:rFonts w:hint="eastAsia"/>
          <w:b/>
          <w:bCs/>
          <w:sz w:val="21"/>
          <w:szCs w:val="21"/>
          <w:highlight w:val="none"/>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Verdana,Arial">
    <w:altName w:val="宋体"/>
    <w:panose1 w:val="00000000000000000000"/>
    <w:charset w:val="86"/>
    <w:family w:val="roma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480"/>
      <w:jc w:val="center"/>
      <w:rPr>
        <w:rFonts w:hint="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480"/>
      <w:jc w:val="center"/>
      <w:rPr>
        <w:rFonts w:hint="eastAsia"/>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8D27C3"/>
    <w:multiLevelType w:val="singleLevel"/>
    <w:tmpl w:val="538D27C3"/>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jYTI3NzE2ZTk5OTBkZTE4NDhjNGFmOTZiMTEwZDYifQ=="/>
  </w:docVars>
  <w:rsids>
    <w:rsidRoot w:val="00000000"/>
    <w:rsid w:val="02E05CCD"/>
    <w:rsid w:val="02E26D34"/>
    <w:rsid w:val="090F7254"/>
    <w:rsid w:val="1CCF0E3D"/>
    <w:rsid w:val="1D1D0F4A"/>
    <w:rsid w:val="1F1A6C7C"/>
    <w:rsid w:val="200F5392"/>
    <w:rsid w:val="241A2908"/>
    <w:rsid w:val="3699568D"/>
    <w:rsid w:val="38030C10"/>
    <w:rsid w:val="3DD43DB5"/>
    <w:rsid w:val="40873E38"/>
    <w:rsid w:val="45A21206"/>
    <w:rsid w:val="4AE051E1"/>
    <w:rsid w:val="4D2B0687"/>
    <w:rsid w:val="5AF4179D"/>
    <w:rsid w:val="5D5566B4"/>
    <w:rsid w:val="68140207"/>
    <w:rsid w:val="73DC3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99"/>
    <w:pPr>
      <w:ind w:firstLine="420" w:firstLineChars="100"/>
    </w:pPr>
  </w:style>
  <w:style w:type="paragraph" w:styleId="3">
    <w:name w:val="Body Text"/>
    <w:basedOn w:val="1"/>
    <w:next w:val="2"/>
    <w:qFormat/>
    <w:uiPriority w:val="99"/>
    <w:pPr>
      <w:spacing w:after="120"/>
    </w:pPr>
    <w:rPr>
      <w:rFonts w:eastAsia="宋体,Verdana,Arial"/>
    </w:rPr>
  </w:style>
  <w:style w:type="paragraph" w:styleId="4">
    <w:name w:val="Body Text First Indent 2"/>
    <w:basedOn w:val="5"/>
    <w:qFormat/>
    <w:uiPriority w:val="0"/>
    <w:pPr>
      <w:autoSpaceDE/>
      <w:autoSpaceDN/>
      <w:adjustRightInd/>
      <w:ind w:firstLine="420"/>
      <w:jc w:val="both"/>
      <w:textAlignment w:val="auto"/>
    </w:pPr>
    <w:rPr>
      <w:rFonts w:ascii="??" w:hAnsi="??" w:eastAsia="??" w:cs="宋体"/>
      <w:spacing w:val="-4"/>
      <w:kern w:val="2"/>
      <w:sz w:val="21"/>
      <w:szCs w:val="21"/>
    </w:rPr>
  </w:style>
  <w:style w:type="paragraph" w:styleId="5">
    <w:name w:val="Body Text Indent"/>
    <w:basedOn w:val="1"/>
    <w:next w:val="6"/>
    <w:qFormat/>
    <w:uiPriority w:val="0"/>
    <w:pPr>
      <w:spacing w:line="200" w:lineRule="atLeast"/>
      <w:ind w:firstLine="301"/>
    </w:pPr>
    <w:rPr>
      <w:rFonts w:ascii="宋体" w:hAnsi="Courier New"/>
      <w:spacing w:val="-4"/>
      <w:sz w:val="18"/>
    </w:rPr>
  </w:style>
  <w:style w:type="paragraph" w:styleId="6">
    <w:name w:val="envelope return"/>
    <w:basedOn w:val="1"/>
    <w:qFormat/>
    <w:uiPriority w:val="99"/>
    <w:pPr>
      <w:snapToGrid w:val="0"/>
      <w:spacing w:line="360" w:lineRule="auto"/>
    </w:pPr>
    <w:rPr>
      <w:rFonts w:ascii="Arial" w:hAnsi="Arial" w:cs="Arial"/>
      <w:sz w:val="24"/>
    </w:rPr>
  </w:style>
  <w:style w:type="paragraph" w:styleId="7">
    <w:name w:val="Normal Indent"/>
    <w:basedOn w:val="1"/>
    <w:next w:val="5"/>
    <w:qFormat/>
    <w:uiPriority w:val="0"/>
    <w:pPr>
      <w:widowControl/>
      <w:adjustRightInd w:val="0"/>
      <w:snapToGrid w:val="0"/>
      <w:spacing w:line="480" w:lineRule="exact"/>
      <w:ind w:firstLine="567"/>
    </w:pPr>
    <w:rPr>
      <w:rFonts w:ascii="宋体" w:hAnsi="Times New Roman" w:eastAsia="宋体" w:cs="Times New Roman"/>
      <w:snapToGrid w:val="0"/>
      <w:color w:val="000000"/>
      <w:kern w:val="28"/>
      <w:sz w:val="28"/>
      <w:szCs w:val="20"/>
    </w:rPr>
  </w:style>
  <w:style w:type="paragraph" w:styleId="8">
    <w:name w:val="Plain Text"/>
    <w:basedOn w:val="1"/>
    <w:next w:val="1"/>
    <w:qFormat/>
    <w:uiPriority w:val="0"/>
    <w:rPr>
      <w:rFonts w:ascii="宋体" w:hAnsi="Courier New" w:eastAsia="宋体"/>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99"/>
    <w:pPr>
      <w:widowControl/>
      <w:tabs>
        <w:tab w:val="right" w:leader="dot" w:pos="9231"/>
      </w:tabs>
      <w:spacing w:after="100" w:line="276" w:lineRule="auto"/>
      <w:jc w:val="center"/>
    </w:pPr>
    <w:rPr>
      <w:rFonts w:eastAsia="仿宋_GB2312"/>
      <w:kern w:val="0"/>
      <w:sz w:val="28"/>
    </w:rPr>
  </w:style>
  <w:style w:type="paragraph" w:customStyle="1" w:styleId="14">
    <w:name w:val="UserStyle_0"/>
    <w:qFormat/>
    <w:uiPriority w:val="0"/>
    <w:pPr>
      <w:textAlignment w:val="baseline"/>
    </w:pPr>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9695</Words>
  <Characters>12168</Characters>
  <Lines>0</Lines>
  <Paragraphs>0</Paragraphs>
  <TotalTime>6</TotalTime>
  <ScaleCrop>false</ScaleCrop>
  <LinksUpToDate>false</LinksUpToDate>
  <CharactersWithSpaces>12850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2022-12-14T06:17:00Z</dcterms:created>
  <dc:creator>Administrator</dc:creator>
  <cp:lastModifiedBy>.</cp:lastModifiedBy>
  <cp:lastPrinted>2022-12-27T04:05:00Z</cp:lastPrinted>
  <dcterms:modified xsi:type="dcterms:W3CDTF">2023-01-04T08:10:40Z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C01336ED05DB49D9920A96690F1C9A67</vt:lpwstr>
  </property>
</Properties>
</file>