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1"/>
        </w:numPr>
        <w:spacing w:before="0" w:after="0" w:line="360" w:lineRule="auto"/>
        <w:rPr>
          <w:sz w:val="28"/>
          <w:szCs w:val="18"/>
        </w:rPr>
      </w:pPr>
      <w:r>
        <w:rPr>
          <w:rFonts w:hint="eastAsia"/>
          <w:sz w:val="28"/>
          <w:szCs w:val="18"/>
        </w:rPr>
        <w:t>奇安信网神入侵检测系统</w:t>
      </w:r>
    </w:p>
    <w:tbl>
      <w:tblPr>
        <w:tblStyle w:val="3"/>
        <w:tblW w:w="8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7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3" w:type="dxa"/>
            <w:shd w:val="clear" w:color="000000" w:fill="D7D7D7" w:themeFill="background1" w:themeFillShade="D8"/>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指标项</w:t>
            </w:r>
          </w:p>
        </w:tc>
        <w:tc>
          <w:tcPr>
            <w:tcW w:w="7291" w:type="dxa"/>
            <w:shd w:val="clear" w:color="000000" w:fill="D7D7D7" w:themeFill="background1" w:themeFillShade="D8"/>
            <w:vAlign w:val="center"/>
          </w:tcPr>
          <w:p>
            <w:pPr>
              <w:jc w:val="center"/>
              <w:rPr>
                <w:rFonts w:asciiTheme="minorEastAsia" w:hAnsiTheme="minorEastAsia" w:cstheme="minorEastAsia"/>
                <w:b/>
                <w:bCs/>
                <w:sz w:val="24"/>
              </w:rPr>
            </w:pPr>
            <w:r>
              <w:rPr>
                <w:rFonts w:hint="eastAsia" w:asciiTheme="minorEastAsia" w:hAnsiTheme="minorEastAsia" w:cstheme="minorEastAsia"/>
                <w:b/>
                <w:bCs/>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93" w:type="dxa"/>
            <w:shd w:val="clear" w:color="000000" w:fill="FFFFFF"/>
            <w:vAlign w:val="center"/>
          </w:tcPr>
          <w:p>
            <w:pPr>
              <w:jc w:val="center"/>
              <w:rPr>
                <w:rFonts w:asciiTheme="minorEastAsia" w:hAnsiTheme="minorEastAsia" w:cstheme="minorEastAsia"/>
                <w:sz w:val="24"/>
              </w:rPr>
            </w:pPr>
            <w:r>
              <w:rPr>
                <w:rFonts w:hint="eastAsia" w:asciiTheme="minorEastAsia" w:hAnsiTheme="minorEastAsia" w:cstheme="minorEastAsia"/>
                <w:sz w:val="24"/>
              </w:rPr>
              <w:t>性能指标</w:t>
            </w:r>
          </w:p>
        </w:tc>
        <w:tc>
          <w:tcPr>
            <w:tcW w:w="7291" w:type="dxa"/>
            <w:shd w:val="clear" w:color="000000" w:fill="FFFFFF"/>
            <w:vAlign w:val="center"/>
          </w:tcPr>
          <w:p>
            <w:pPr>
              <w:rPr>
                <w:rFonts w:asciiTheme="minorEastAsia" w:hAnsiTheme="minorEastAsia" w:cstheme="minorEastAsia"/>
                <w:sz w:val="24"/>
              </w:rPr>
            </w:pPr>
            <w:r>
              <w:rPr>
                <w:rFonts w:hint="eastAsia" w:asciiTheme="minorEastAsia" w:hAnsiTheme="minorEastAsia" w:cstheme="minorEastAsia"/>
                <w:sz w:val="24"/>
              </w:rPr>
              <w:t>1U专业机架式硬件设备，至少具备6个10/100/1000自适应电口，2个扩展板卡插槽，设备采用单电源，配置有USB、console接口，至少3Gbps网络吞吐量，至少1Gbps IDS吞吐能力，最大并发数80万，每秒新建连接数3万/秒，含三年IDS特征库升级服务，三年硬件质保服务。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93" w:type="dxa"/>
            <w:shd w:val="clear" w:color="auto" w:fill="auto"/>
            <w:noWrap/>
            <w:vAlign w:val="center"/>
          </w:tcPr>
          <w:p>
            <w:pPr>
              <w:jc w:val="center"/>
              <w:rPr>
                <w:rFonts w:asciiTheme="minorEastAsia" w:hAnsiTheme="minorEastAsia" w:cstheme="minorEastAsia"/>
                <w:sz w:val="24"/>
              </w:rPr>
            </w:pPr>
            <w:r>
              <w:rPr>
                <w:rFonts w:hint="eastAsia" w:asciiTheme="minorEastAsia" w:hAnsiTheme="minorEastAsia" w:cstheme="minorEastAsia"/>
                <w:sz w:val="24"/>
              </w:rPr>
              <w:t>网络接口</w:t>
            </w: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产品具备接口配置IPv6地址功能，包括接口名称、IP地址/掩码、地址类型和IPv6路由通告，并可以显示当前本机的IPv6邻居信息。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93" w:type="dxa"/>
            <w:shd w:val="clear" w:color="auto" w:fill="auto"/>
            <w:noWrap/>
            <w:vAlign w:val="center"/>
          </w:tcPr>
          <w:p>
            <w:pPr>
              <w:jc w:val="center"/>
              <w:rPr>
                <w:rFonts w:asciiTheme="minorEastAsia" w:hAnsiTheme="minorEastAsia" w:cstheme="minorEastAsia"/>
                <w:sz w:val="24"/>
              </w:rPr>
            </w:pPr>
            <w:r>
              <w:rPr>
                <w:rFonts w:hint="eastAsia" w:asciiTheme="minorEastAsia" w:hAnsiTheme="minorEastAsia" w:cstheme="minorEastAsia"/>
                <w:sz w:val="24"/>
              </w:rPr>
              <w:t>部署模式</w:t>
            </w: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产品具备透明接入、旁路部署等多种部署模式。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93" w:type="dxa"/>
            <w:vMerge w:val="restart"/>
            <w:shd w:val="clear" w:color="auto" w:fill="auto"/>
            <w:noWrap/>
            <w:vAlign w:val="center"/>
          </w:tcPr>
          <w:p>
            <w:pPr>
              <w:jc w:val="center"/>
              <w:rPr>
                <w:rFonts w:asciiTheme="minorEastAsia" w:hAnsiTheme="minorEastAsia" w:cstheme="minorEastAsia"/>
                <w:sz w:val="24"/>
              </w:rPr>
            </w:pPr>
            <w:r>
              <w:rPr>
                <w:rFonts w:hint="eastAsia" w:asciiTheme="minorEastAsia" w:hAnsiTheme="minorEastAsia" w:cstheme="minorEastAsia"/>
                <w:sz w:val="24"/>
              </w:rPr>
              <w:t>路由</w:t>
            </w: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产品具备IPV4、IPV6的静态路由配置，包括目的地址、网关。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93" w:type="dxa"/>
            <w:vMerge w:val="continue"/>
            <w:vAlign w:val="center"/>
          </w:tcPr>
          <w:p>
            <w:pPr>
              <w:jc w:val="center"/>
              <w:rPr>
                <w:rFonts w:asciiTheme="minorEastAsia" w:hAnsiTheme="minorEastAsia" w:cstheme="minorEastAsia"/>
                <w:sz w:val="24"/>
              </w:rPr>
            </w:pP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产品具备显示主路由表中的路由条目的功能，包括目的地址、网关和路由标志。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3" w:type="dxa"/>
            <w:shd w:val="clear" w:color="auto" w:fill="auto"/>
            <w:vAlign w:val="bottom"/>
          </w:tcPr>
          <w:p>
            <w:pPr>
              <w:jc w:val="center"/>
              <w:rPr>
                <w:rFonts w:asciiTheme="minorEastAsia" w:hAnsiTheme="minorEastAsia" w:cstheme="minorEastAsia"/>
                <w:sz w:val="24"/>
              </w:rPr>
            </w:pPr>
            <w:r>
              <w:rPr>
                <w:rFonts w:hint="eastAsia" w:asciiTheme="minorEastAsia" w:hAnsiTheme="minorEastAsia" w:cstheme="minorEastAsia"/>
                <w:sz w:val="24"/>
              </w:rPr>
              <w:t>IP/MAC绑定</w:t>
            </w: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产品具备IP/MAC绑定功能，支持手动添加和自动探测IP/MAC对应关系。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3" w:type="dxa"/>
            <w:shd w:val="clear" w:color="auto" w:fill="auto"/>
            <w:noWrap/>
            <w:vAlign w:val="center"/>
          </w:tcPr>
          <w:p>
            <w:pPr>
              <w:jc w:val="center"/>
              <w:rPr>
                <w:rFonts w:asciiTheme="minorEastAsia" w:hAnsiTheme="minorEastAsia" w:cstheme="minorEastAsia"/>
                <w:sz w:val="24"/>
              </w:rPr>
            </w:pPr>
            <w:r>
              <w:rPr>
                <w:rFonts w:hint="eastAsia" w:asciiTheme="minorEastAsia" w:hAnsiTheme="minorEastAsia" w:cstheme="minorEastAsia"/>
                <w:sz w:val="24"/>
              </w:rPr>
              <w:t>DNS</w:t>
            </w: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产品具备DNS自学习安全缓存、DNS静态缓存功能来检测DNS欺骗、缓存污染、DNS劫持等DNS攻击行为。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93" w:type="dxa"/>
            <w:shd w:val="clear" w:color="auto" w:fill="auto"/>
            <w:noWrap/>
            <w:vAlign w:val="center"/>
          </w:tcPr>
          <w:p>
            <w:pPr>
              <w:jc w:val="center"/>
              <w:rPr>
                <w:rFonts w:asciiTheme="minorEastAsia" w:hAnsiTheme="minorEastAsia" w:cstheme="minorEastAsia"/>
                <w:sz w:val="24"/>
              </w:rPr>
            </w:pPr>
            <w:r>
              <w:rPr>
                <w:rFonts w:hint="eastAsia" w:asciiTheme="minorEastAsia" w:hAnsiTheme="minorEastAsia" w:cstheme="minorEastAsia"/>
                <w:sz w:val="24"/>
              </w:rPr>
              <w:t>高可靠</w:t>
            </w: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产品具备双机热备功能，保障设备的高可靠性。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93" w:type="dxa"/>
            <w:vMerge w:val="restart"/>
            <w:shd w:val="clear" w:color="auto" w:fill="auto"/>
            <w:noWrap/>
            <w:vAlign w:val="center"/>
          </w:tcPr>
          <w:p>
            <w:pPr>
              <w:jc w:val="center"/>
              <w:rPr>
                <w:rFonts w:asciiTheme="minorEastAsia" w:hAnsiTheme="minorEastAsia" w:cstheme="minorEastAsia"/>
                <w:sz w:val="24"/>
              </w:rPr>
            </w:pPr>
            <w:r>
              <w:rPr>
                <w:rFonts w:hint="eastAsia" w:asciiTheme="minorEastAsia" w:hAnsiTheme="minorEastAsia" w:cstheme="minorEastAsia"/>
                <w:sz w:val="24"/>
              </w:rPr>
              <w:t>应用识别</w:t>
            </w: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产品具备丰富的应用识别特征库，提供P2P下载、网络电视、即时通讯、股票软件、流媒体、网络电话、手机应用等多种应用识别类型，且特征库数量不少于3000。（提供产品功能截图加盖厂商公章进行证明）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3" w:type="dxa"/>
            <w:vMerge w:val="continue"/>
            <w:vAlign w:val="center"/>
          </w:tcPr>
          <w:p>
            <w:pPr>
              <w:jc w:val="center"/>
              <w:rPr>
                <w:rFonts w:asciiTheme="minorEastAsia" w:hAnsiTheme="minorEastAsia" w:cstheme="minorEastAsia"/>
                <w:sz w:val="24"/>
              </w:rPr>
            </w:pP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产品具备自定义应用协议，提供除五元组之外的应用技术、应用属性、风险级别、类型、子类、协议、匹配内容、应用层长度等多项设置。（提供产品功能截图加盖厂商公章进行证明）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3" w:type="dxa"/>
            <w:vMerge w:val="restart"/>
            <w:shd w:val="clear" w:color="auto" w:fill="auto"/>
            <w:noWrap/>
            <w:vAlign w:val="center"/>
          </w:tcPr>
          <w:p>
            <w:pPr>
              <w:jc w:val="center"/>
              <w:rPr>
                <w:rFonts w:asciiTheme="minorEastAsia" w:hAnsiTheme="minorEastAsia" w:cstheme="minorEastAsia"/>
                <w:sz w:val="24"/>
              </w:rPr>
            </w:pPr>
            <w:r>
              <w:rPr>
                <w:rFonts w:hint="eastAsia" w:asciiTheme="minorEastAsia" w:hAnsiTheme="minorEastAsia" w:cstheme="minorEastAsia"/>
                <w:sz w:val="24"/>
              </w:rPr>
              <w:t>ACL</w:t>
            </w: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产品具备基础访问控制列表功能，可配置源及目的IP、时间调度、用户、网络服务、流入接口、应用对象、源域、目的域等，并能够对ACL进行冲突检测。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93" w:type="dxa"/>
            <w:vMerge w:val="continue"/>
            <w:vAlign w:val="center"/>
          </w:tcPr>
          <w:p>
            <w:pPr>
              <w:jc w:val="center"/>
              <w:rPr>
                <w:rFonts w:asciiTheme="minorEastAsia" w:hAnsiTheme="minorEastAsia" w:cstheme="minorEastAsia"/>
                <w:sz w:val="24"/>
              </w:rPr>
            </w:pP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高级访问控制列表功能，可对源及目的MAC、报文头部信息（SYN标志、分片标志、TTL、DSCP、Precedence、TOS）、内网域地址、外网域地址、长连接超时时间等细粒度项进行配置。（提供产品功能截图加盖厂商公章进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3" w:type="dxa"/>
            <w:vMerge w:val="continue"/>
            <w:vAlign w:val="center"/>
          </w:tcPr>
          <w:p>
            <w:pPr>
              <w:jc w:val="center"/>
              <w:rPr>
                <w:rFonts w:asciiTheme="minorEastAsia" w:hAnsiTheme="minorEastAsia" w:cstheme="minorEastAsia"/>
                <w:sz w:val="24"/>
              </w:rPr>
            </w:pP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产品具备基于地域的访问控制列表功能，支持根据国家、地区等元素进行地域访问检测。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93" w:type="dxa"/>
            <w:shd w:val="clear" w:color="auto" w:fill="auto"/>
            <w:noWrap/>
            <w:vAlign w:val="center"/>
          </w:tcPr>
          <w:p>
            <w:pPr>
              <w:jc w:val="center"/>
              <w:rPr>
                <w:rFonts w:asciiTheme="minorEastAsia" w:hAnsiTheme="minorEastAsia" w:cstheme="minorEastAsia"/>
                <w:sz w:val="24"/>
              </w:rPr>
            </w:pPr>
            <w:r>
              <w:rPr>
                <w:rFonts w:hint="eastAsia" w:asciiTheme="minorEastAsia" w:hAnsiTheme="minorEastAsia" w:cstheme="minorEastAsia"/>
                <w:sz w:val="24"/>
              </w:rPr>
              <w:t>服务资源</w:t>
            </w: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产品具备预定义服务类型，内置预定义了HTTP、HTTPS、ICMP、ICMPV6、telnet、smtp、pop3、SNMP、DNS、IGMP、OSPF、IGRP、GRE、syslog、remotedesk等多种服务，并支持自定义服务对象及类型。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293" w:type="dxa"/>
            <w:shd w:val="clear" w:color="auto" w:fill="auto"/>
            <w:noWrap/>
            <w:vAlign w:val="center"/>
          </w:tcPr>
          <w:p>
            <w:pPr>
              <w:jc w:val="center"/>
              <w:rPr>
                <w:rFonts w:asciiTheme="minorEastAsia" w:hAnsiTheme="minorEastAsia" w:cstheme="minorEastAsia"/>
                <w:sz w:val="24"/>
              </w:rPr>
            </w:pPr>
            <w:r>
              <w:rPr>
                <w:rFonts w:hint="eastAsia" w:asciiTheme="minorEastAsia" w:hAnsiTheme="minorEastAsia" w:cstheme="minorEastAsia"/>
                <w:sz w:val="24"/>
              </w:rPr>
              <w:t>安全策略</w:t>
            </w: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一体化安全策略模板功能，通过单条策略既可完成多项策略设置，可以配置源目的地址、国家地区、源目的域、源目的MAC、时间对象、用户、虚拟身份、服务对象、URL分类等对象，同时可在同一策略下，调用入侵检测、一体化防病毒、文件检测、URL检测、数据检测、威胁情报、口令检测、挂马防护、僵尸网络等应用安全策略进行安全检测。（提供产品功能截图加盖厂商公章进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3" w:type="dxa"/>
            <w:shd w:val="clear" w:color="auto" w:fill="auto"/>
            <w:noWrap/>
            <w:vAlign w:val="center"/>
          </w:tcPr>
          <w:p>
            <w:pPr>
              <w:jc w:val="center"/>
              <w:rPr>
                <w:rFonts w:asciiTheme="minorEastAsia" w:hAnsiTheme="minorEastAsia" w:cstheme="minorEastAsia"/>
                <w:sz w:val="24"/>
              </w:rPr>
            </w:pPr>
            <w:r>
              <w:rPr>
                <w:rFonts w:hint="eastAsia" w:asciiTheme="minorEastAsia" w:hAnsiTheme="minorEastAsia" w:cstheme="minorEastAsia"/>
                <w:sz w:val="24"/>
              </w:rPr>
              <w:t>配置向导</w:t>
            </w: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产品具备配置向导功能，通过引导用户配置，包括拓扑图、桥接口配置、地址区域流、IDS、可视、概览等多项元素实现快速配置上线。（提供产品功能截图加盖厂商公章进行证明）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3" w:type="dxa"/>
            <w:shd w:val="clear" w:color="auto" w:fill="auto"/>
            <w:noWrap/>
            <w:vAlign w:val="center"/>
          </w:tcPr>
          <w:p>
            <w:pPr>
              <w:jc w:val="center"/>
              <w:rPr>
                <w:rFonts w:asciiTheme="minorEastAsia" w:hAnsiTheme="minorEastAsia" w:cstheme="minorEastAsia"/>
                <w:sz w:val="24"/>
              </w:rPr>
            </w:pPr>
            <w:r>
              <w:rPr>
                <w:rFonts w:hint="eastAsia" w:asciiTheme="minorEastAsia" w:hAnsiTheme="minorEastAsia" w:cstheme="minorEastAsia"/>
                <w:sz w:val="24"/>
              </w:rPr>
              <w:t>双病毒引擎病毒库</w:t>
            </w: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产品具备双病毒引擎功能，提供本地病毒引擎与云端第三方病毒引擎功能，支持16类500余万种病毒特征库。（提供产品功能截图加盖厂商公章进行证明）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3" w:type="dxa"/>
            <w:vMerge w:val="restart"/>
            <w:shd w:val="clear" w:color="auto" w:fill="auto"/>
            <w:noWrap/>
            <w:vAlign w:val="center"/>
          </w:tcPr>
          <w:p>
            <w:pPr>
              <w:jc w:val="center"/>
              <w:rPr>
                <w:rFonts w:asciiTheme="minorEastAsia" w:hAnsiTheme="minorEastAsia" w:cstheme="minorEastAsia"/>
                <w:sz w:val="24"/>
              </w:rPr>
            </w:pPr>
            <w:r>
              <w:rPr>
                <w:rFonts w:hint="eastAsia" w:asciiTheme="minorEastAsia" w:hAnsiTheme="minorEastAsia" w:cstheme="minorEastAsia"/>
                <w:sz w:val="24"/>
              </w:rPr>
              <w:t>防病毒技术</w:t>
            </w: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产品具备病毒多种扫描模式，支持快速扫描和16层深度压缩文件的扫描模式，提供基于HTTP、FTP、IMAP、POP3、SMTP协议的病毒扫描功能。（提供产品功能截图加盖厂商公章进行证明）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93" w:type="dxa"/>
            <w:vMerge w:val="continue"/>
            <w:vAlign w:val="center"/>
          </w:tcPr>
          <w:p>
            <w:pPr>
              <w:jc w:val="center"/>
              <w:rPr>
                <w:rFonts w:asciiTheme="minorEastAsia" w:hAnsiTheme="minorEastAsia" w:cstheme="minorEastAsia"/>
                <w:sz w:val="24"/>
              </w:rPr>
            </w:pP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产品具备MD5黑白名单策略，通过检测文件MD5值判断文件安全性。（提供产品功能截图加盖厂商公章进行证明）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3" w:type="dxa"/>
            <w:shd w:val="clear" w:color="auto" w:fill="auto"/>
            <w:noWrap/>
            <w:vAlign w:val="center"/>
          </w:tcPr>
          <w:p>
            <w:pPr>
              <w:jc w:val="center"/>
              <w:rPr>
                <w:rFonts w:asciiTheme="minorEastAsia" w:hAnsiTheme="minorEastAsia" w:cstheme="minorEastAsia"/>
                <w:sz w:val="24"/>
              </w:rPr>
            </w:pPr>
            <w:r>
              <w:rPr>
                <w:rFonts w:hint="eastAsia" w:asciiTheme="minorEastAsia" w:hAnsiTheme="minorEastAsia" w:cstheme="minorEastAsia"/>
                <w:sz w:val="24"/>
              </w:rPr>
              <w:t>入侵检测</w:t>
            </w: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产品具备检测防逃逸技术，提供缓冲区溢出、SQL注入、扫描刺探、间谍软件、拒绝服务、病毒、木马后门、漏洞攻击、潜在风险的入侵检测特征库。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3" w:type="dxa"/>
            <w:shd w:val="clear" w:color="auto" w:fill="auto"/>
            <w:noWrap/>
            <w:vAlign w:val="center"/>
          </w:tcPr>
          <w:p>
            <w:pPr>
              <w:jc w:val="center"/>
              <w:rPr>
                <w:rFonts w:asciiTheme="minorEastAsia" w:hAnsiTheme="minorEastAsia" w:cstheme="minorEastAsia"/>
                <w:sz w:val="24"/>
              </w:rPr>
            </w:pPr>
            <w:r>
              <w:rPr>
                <w:rFonts w:hint="eastAsia" w:asciiTheme="minorEastAsia" w:hAnsiTheme="minorEastAsia" w:cstheme="minorEastAsia"/>
                <w:sz w:val="24"/>
              </w:rPr>
              <w:t>IDS特征库</w:t>
            </w: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产品提供入侵检测特征库，特征数超过10000条。并提供基于正则表达式匹配方式的自定义特征检测策略。（提供产品功能截图加盖厂商公章进行证明）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3" w:type="dxa"/>
            <w:shd w:val="clear" w:color="auto" w:fill="auto"/>
            <w:noWrap/>
            <w:vAlign w:val="center"/>
          </w:tcPr>
          <w:p>
            <w:pPr>
              <w:jc w:val="center"/>
              <w:rPr>
                <w:rFonts w:asciiTheme="minorEastAsia" w:hAnsiTheme="minorEastAsia" w:cstheme="minorEastAsia"/>
                <w:sz w:val="24"/>
              </w:rPr>
            </w:pPr>
            <w:r>
              <w:rPr>
                <w:rFonts w:hint="eastAsia" w:asciiTheme="minorEastAsia" w:hAnsiTheme="minorEastAsia" w:cstheme="minorEastAsia"/>
                <w:sz w:val="24"/>
              </w:rPr>
              <w:t>情报威胁</w:t>
            </w: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产品具备云端威胁情报功能，提供僵尸网络、钓鱼网站、恶意网站等10大类的威胁情报的检测，并对检测到的威胁事件执行记录日志、邮件、声音等动作。（提供产品功能截图加盖厂商公章进行证明）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293" w:type="dxa"/>
            <w:vMerge w:val="restart"/>
            <w:shd w:val="clear" w:color="auto" w:fill="auto"/>
            <w:noWrap/>
            <w:vAlign w:val="center"/>
          </w:tcPr>
          <w:p>
            <w:pPr>
              <w:jc w:val="center"/>
              <w:rPr>
                <w:rFonts w:asciiTheme="minorEastAsia" w:hAnsiTheme="minorEastAsia" w:cstheme="minorEastAsia"/>
                <w:sz w:val="24"/>
              </w:rPr>
            </w:pPr>
            <w:r>
              <w:rPr>
                <w:rFonts w:hint="eastAsia" w:asciiTheme="minorEastAsia" w:hAnsiTheme="minorEastAsia" w:cstheme="minorEastAsia"/>
                <w:sz w:val="24"/>
              </w:rPr>
              <w:t>口令检测</w:t>
            </w: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产品具备暴力破解检测功能，提供基于SMTP/IMAP/POP3/TELNET/FTP/RLOGIN/NNTP/TDS-MS-SQL等协议类型的频率检测机制。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3" w:type="dxa"/>
            <w:vMerge w:val="continue"/>
            <w:vAlign w:val="center"/>
          </w:tcPr>
          <w:p>
            <w:pPr>
              <w:jc w:val="center"/>
              <w:rPr>
                <w:rFonts w:asciiTheme="minorEastAsia" w:hAnsiTheme="minorEastAsia" w:cstheme="minorEastAsia"/>
                <w:sz w:val="24"/>
              </w:rPr>
            </w:pP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产品具备弱口令检测功能，提供基于POP3/FTP/TELNET协议的口令长度及口令复杂度等7种元素的检测。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3" w:type="dxa"/>
            <w:shd w:val="clear" w:color="auto" w:fill="auto"/>
            <w:noWrap/>
            <w:vAlign w:val="center"/>
          </w:tcPr>
          <w:p>
            <w:pPr>
              <w:jc w:val="center"/>
              <w:rPr>
                <w:rFonts w:asciiTheme="minorEastAsia" w:hAnsiTheme="minorEastAsia" w:cstheme="minorEastAsia"/>
                <w:sz w:val="24"/>
              </w:rPr>
            </w:pPr>
            <w:r>
              <w:rPr>
                <w:rFonts w:hint="eastAsia" w:asciiTheme="minorEastAsia" w:hAnsiTheme="minorEastAsia" w:cstheme="minorEastAsia"/>
                <w:sz w:val="24"/>
              </w:rPr>
              <w:t>流量自学习</w:t>
            </w: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产品具备流量自学习功能，通过设置流量学习时间，通过报文、IP排名、域名统计类型建立网络流量基线。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293" w:type="dxa"/>
            <w:shd w:val="clear" w:color="auto" w:fill="auto"/>
            <w:noWrap/>
            <w:vAlign w:val="center"/>
          </w:tcPr>
          <w:p>
            <w:pPr>
              <w:jc w:val="center"/>
              <w:rPr>
                <w:rFonts w:asciiTheme="minorEastAsia" w:hAnsiTheme="minorEastAsia" w:cstheme="minorEastAsia"/>
                <w:sz w:val="24"/>
              </w:rPr>
            </w:pPr>
            <w:r>
              <w:rPr>
                <w:rFonts w:hint="eastAsia" w:asciiTheme="minorEastAsia" w:hAnsiTheme="minorEastAsia" w:cstheme="minorEastAsia"/>
                <w:sz w:val="24"/>
              </w:rPr>
              <w:t>洪水检测</w:t>
            </w: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产品具备DDoS洪水检测功能，提供基于ICMP洪水、IGMP洪水、SYN ACK洪水、数据流洪水、ACK洪水、DHCP洪水、最大连接数洪水、每秒新建连接数洪水、UDP洪水、SYN洪水、HTTP报文洪水、CC、端口扫描、ICMP SWEEP攻击、分片洪水、teardrop等类型的检测。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293" w:type="dxa"/>
            <w:shd w:val="clear" w:color="auto" w:fill="auto"/>
            <w:noWrap/>
            <w:vAlign w:val="center"/>
          </w:tcPr>
          <w:p>
            <w:pPr>
              <w:jc w:val="center"/>
              <w:rPr>
                <w:rFonts w:asciiTheme="minorEastAsia" w:hAnsiTheme="minorEastAsia" w:cstheme="minorEastAsia"/>
                <w:sz w:val="24"/>
              </w:rPr>
            </w:pPr>
            <w:r>
              <w:rPr>
                <w:rFonts w:hint="eastAsia" w:asciiTheme="minorEastAsia" w:hAnsiTheme="minorEastAsia" w:cstheme="minorEastAsia"/>
                <w:sz w:val="24"/>
              </w:rPr>
              <w:t>扫描和欺骗防护</w:t>
            </w: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扫描与欺骗检测功能，提供基于LAND攻击、TCP无标记攻击、不带ACK的FIN标记攻击、Ping-of-death攻击、Winnuke攻击、SYN/FIN标记攻击、圣诞树攻击、Smurf攻击、Fraggle攻击、Trinoo扫描、TFN扫描、stacheldraht扫描、tfn2k扫描、IP报文洪水、超长报文、ARP欺骗、地址欺骗、源路由欺骗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3" w:type="dxa"/>
            <w:shd w:val="clear" w:color="auto" w:fill="auto"/>
            <w:noWrap/>
            <w:vAlign w:val="center"/>
          </w:tcPr>
          <w:p>
            <w:pPr>
              <w:jc w:val="center"/>
              <w:rPr>
                <w:rFonts w:asciiTheme="minorEastAsia" w:hAnsiTheme="minorEastAsia" w:cstheme="minorEastAsia"/>
                <w:sz w:val="24"/>
              </w:rPr>
            </w:pPr>
            <w:r>
              <w:rPr>
                <w:rFonts w:hint="eastAsia" w:asciiTheme="minorEastAsia" w:hAnsiTheme="minorEastAsia" w:cstheme="minorEastAsia"/>
                <w:sz w:val="24"/>
              </w:rPr>
              <w:t>DNS检测</w:t>
            </w: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产品具备DNS洪水高级防护模式，支持对自定义检测域名及自动域名防护、域名黑名单的检测机制。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3" w:type="dxa"/>
            <w:shd w:val="clear" w:color="auto" w:fill="auto"/>
            <w:noWrap/>
            <w:vAlign w:val="center"/>
          </w:tcPr>
          <w:p>
            <w:pPr>
              <w:jc w:val="center"/>
              <w:rPr>
                <w:rFonts w:asciiTheme="minorEastAsia" w:hAnsiTheme="minorEastAsia" w:cstheme="minorEastAsia"/>
                <w:sz w:val="24"/>
              </w:rPr>
            </w:pPr>
            <w:r>
              <w:rPr>
                <w:rFonts w:hint="eastAsia" w:asciiTheme="minorEastAsia" w:hAnsiTheme="minorEastAsia" w:cstheme="minorEastAsia"/>
                <w:sz w:val="24"/>
              </w:rPr>
              <w:t>URL检测</w:t>
            </w: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设备具备URL检测功能，用于对用户访问的网址进行检查，支持关键字和正则两种检测方式。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3" w:type="dxa"/>
            <w:shd w:val="clear" w:color="auto" w:fill="auto"/>
            <w:noWrap/>
            <w:vAlign w:val="center"/>
          </w:tcPr>
          <w:p>
            <w:pPr>
              <w:jc w:val="center"/>
              <w:rPr>
                <w:rFonts w:asciiTheme="minorEastAsia" w:hAnsiTheme="minorEastAsia" w:cstheme="minorEastAsia"/>
                <w:sz w:val="24"/>
              </w:rPr>
            </w:pPr>
            <w:r>
              <w:rPr>
                <w:rFonts w:hint="eastAsia" w:asciiTheme="minorEastAsia" w:hAnsiTheme="minorEastAsia" w:cstheme="minorEastAsia"/>
                <w:sz w:val="24"/>
              </w:rPr>
              <w:t>网络检测</w:t>
            </w: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产品具备关键字检测功能，支持基于论坛发帖、邮件协议、TELNET、DNS、RSH、FTP、HTTP协议的关键字检测功能。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3" w:type="dxa"/>
            <w:shd w:val="clear" w:color="auto" w:fill="auto"/>
            <w:vAlign w:val="center"/>
          </w:tcPr>
          <w:p>
            <w:pPr>
              <w:jc w:val="center"/>
              <w:rPr>
                <w:rFonts w:asciiTheme="minorEastAsia" w:hAnsiTheme="minorEastAsia" w:cstheme="minorEastAsia"/>
                <w:sz w:val="24"/>
              </w:rPr>
            </w:pPr>
            <w:r>
              <w:rPr>
                <w:rFonts w:hint="eastAsia" w:asciiTheme="minorEastAsia" w:hAnsiTheme="minorEastAsia" w:cstheme="minorEastAsia"/>
                <w:sz w:val="24"/>
              </w:rPr>
              <w:t>文件检测</w:t>
            </w: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产品具备文件检测功能，对HTTP、FTP、IMAP、POP3、SMTP协议的avi、rmvb、mp3、mp4等文件类型进行监控。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3" w:type="dxa"/>
            <w:vMerge w:val="restart"/>
            <w:shd w:val="clear" w:color="auto" w:fill="auto"/>
            <w:noWrap/>
            <w:vAlign w:val="center"/>
          </w:tcPr>
          <w:p>
            <w:pPr>
              <w:jc w:val="center"/>
              <w:rPr>
                <w:rFonts w:asciiTheme="minorEastAsia" w:hAnsiTheme="minorEastAsia" w:cstheme="minorEastAsia"/>
                <w:sz w:val="24"/>
              </w:rPr>
            </w:pPr>
            <w:r>
              <w:rPr>
                <w:rFonts w:hint="eastAsia" w:asciiTheme="minorEastAsia" w:hAnsiTheme="minorEastAsia" w:cstheme="minorEastAsia"/>
                <w:sz w:val="24"/>
              </w:rPr>
              <w:t>日志</w:t>
            </w: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产品具备日志统计功能，支持入侵检测、DDoS、威胁情报、应用安全等10余种类型的详细日志记录功能。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3" w:type="dxa"/>
            <w:vMerge w:val="continue"/>
            <w:vAlign w:val="center"/>
          </w:tcPr>
          <w:p>
            <w:pPr>
              <w:jc w:val="center"/>
              <w:rPr>
                <w:rFonts w:asciiTheme="minorEastAsia" w:hAnsiTheme="minorEastAsia" w:cstheme="minorEastAsia"/>
                <w:sz w:val="24"/>
              </w:rPr>
            </w:pP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产品具备日志聚合功能，通过设置时间、聚合条件来实现安全策略日志、入侵检测等日志聚合功能。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3" w:type="dxa"/>
            <w:vMerge w:val="continue"/>
            <w:vAlign w:val="center"/>
          </w:tcPr>
          <w:p>
            <w:pPr>
              <w:jc w:val="center"/>
              <w:rPr>
                <w:rFonts w:asciiTheme="minorEastAsia" w:hAnsiTheme="minorEastAsia" w:cstheme="minorEastAsia"/>
                <w:sz w:val="24"/>
              </w:rPr>
            </w:pP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产品具备syslog日志外发功能，通过设置服务器IP地址、端口把本地日志记录外发到日志服务器。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3" w:type="dxa"/>
            <w:shd w:val="clear" w:color="auto" w:fill="auto"/>
            <w:noWrap/>
            <w:vAlign w:val="center"/>
          </w:tcPr>
          <w:p>
            <w:pPr>
              <w:jc w:val="center"/>
              <w:rPr>
                <w:rFonts w:asciiTheme="minorEastAsia" w:hAnsiTheme="minorEastAsia" w:cstheme="minorEastAsia"/>
                <w:sz w:val="24"/>
              </w:rPr>
            </w:pPr>
            <w:r>
              <w:rPr>
                <w:rFonts w:hint="eastAsia" w:asciiTheme="minorEastAsia" w:hAnsiTheme="minorEastAsia" w:cstheme="minorEastAsia"/>
                <w:sz w:val="24"/>
              </w:rPr>
              <w:t>事件监控</w:t>
            </w: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产品具备事件监控功能，支持入侵检测、威胁事件、接口事件等10多种类型的事件监控功能，提供基于饼状、柱状类型的数据统计功能。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93" w:type="dxa"/>
            <w:shd w:val="clear" w:color="auto" w:fill="auto"/>
            <w:noWrap/>
            <w:vAlign w:val="center"/>
          </w:tcPr>
          <w:p>
            <w:pPr>
              <w:jc w:val="center"/>
              <w:rPr>
                <w:rFonts w:asciiTheme="minorEastAsia" w:hAnsiTheme="minorEastAsia" w:cstheme="minorEastAsia"/>
                <w:sz w:val="24"/>
              </w:rPr>
            </w:pPr>
            <w:r>
              <w:rPr>
                <w:rFonts w:hint="eastAsia" w:asciiTheme="minorEastAsia" w:hAnsiTheme="minorEastAsia" w:cstheme="minorEastAsia"/>
                <w:sz w:val="24"/>
              </w:rPr>
              <w:t>告警</w:t>
            </w: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产品具备邮件告警功能，支持自动或手工告警设置功能。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3" w:type="dxa"/>
            <w:shd w:val="clear" w:color="auto" w:fill="auto"/>
            <w:noWrap/>
            <w:vAlign w:val="center"/>
          </w:tcPr>
          <w:p>
            <w:pPr>
              <w:jc w:val="center"/>
              <w:rPr>
                <w:rFonts w:asciiTheme="minorEastAsia" w:hAnsiTheme="minorEastAsia" w:cstheme="minorEastAsia"/>
                <w:sz w:val="24"/>
              </w:rPr>
            </w:pPr>
            <w:r>
              <w:rPr>
                <w:rFonts w:hint="eastAsia" w:asciiTheme="minorEastAsia" w:hAnsiTheme="minorEastAsia" w:cstheme="minorEastAsia"/>
                <w:sz w:val="24"/>
              </w:rPr>
              <w:t>流量趋势</w:t>
            </w: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产品具备流量趋势监控功能，支持实时与历史监控流量趋势的监控统计功能，提供基于应用、用户、接口、协议等多维度的流量数据趋势统计或分析。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3" w:type="dxa"/>
            <w:shd w:val="clear" w:color="auto" w:fill="auto"/>
            <w:noWrap/>
            <w:vAlign w:val="center"/>
          </w:tcPr>
          <w:p>
            <w:pPr>
              <w:jc w:val="center"/>
              <w:rPr>
                <w:rFonts w:asciiTheme="minorEastAsia" w:hAnsiTheme="minorEastAsia" w:cstheme="minorEastAsia"/>
                <w:sz w:val="24"/>
              </w:rPr>
            </w:pPr>
            <w:r>
              <w:rPr>
                <w:rFonts w:hint="eastAsia" w:asciiTheme="minorEastAsia" w:hAnsiTheme="minorEastAsia" w:cstheme="minorEastAsia"/>
                <w:sz w:val="24"/>
              </w:rPr>
              <w:t>策略统计</w:t>
            </w: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产品具备策略统计功能，支持对ACL、安全策略的会话数、上下行流量、上下行报文数进行统计分析。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93" w:type="dxa"/>
            <w:shd w:val="clear" w:color="auto" w:fill="auto"/>
            <w:noWrap/>
            <w:vAlign w:val="center"/>
          </w:tcPr>
          <w:p>
            <w:pPr>
              <w:jc w:val="center"/>
              <w:rPr>
                <w:rFonts w:asciiTheme="minorEastAsia" w:hAnsiTheme="minorEastAsia" w:cstheme="minorEastAsia"/>
                <w:sz w:val="24"/>
              </w:rPr>
            </w:pPr>
            <w:r>
              <w:rPr>
                <w:rFonts w:hint="eastAsia" w:asciiTheme="minorEastAsia" w:hAnsiTheme="minorEastAsia" w:cstheme="minorEastAsia"/>
                <w:sz w:val="24"/>
              </w:rPr>
              <w:t>大屏</w:t>
            </w: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产品具备安全态势大屏实时展示，可通过产品自带的实时态势监测模块进行攻击态势地图展示，包含对威胁趋势图、风险主机TOP10、威胁等级 、最新入侵事件 、设备运行状态 、资源监控、告警总数等信息统计展示。（提供产品功能截图加盖厂商公章进行证明）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3" w:type="dxa"/>
            <w:shd w:val="clear" w:color="auto" w:fill="auto"/>
            <w:noWrap/>
            <w:vAlign w:val="center"/>
          </w:tcPr>
          <w:p>
            <w:pPr>
              <w:jc w:val="center"/>
              <w:rPr>
                <w:rFonts w:asciiTheme="minorEastAsia" w:hAnsiTheme="minorEastAsia" w:cstheme="minorEastAsia"/>
                <w:sz w:val="24"/>
              </w:rPr>
            </w:pPr>
            <w:r>
              <w:rPr>
                <w:rFonts w:hint="eastAsia" w:asciiTheme="minorEastAsia" w:hAnsiTheme="minorEastAsia" w:cstheme="minorEastAsia"/>
                <w:sz w:val="24"/>
              </w:rPr>
              <w:t>事件取证</w:t>
            </w: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产品具备事件取证分析功能，通过获取接口的报文文件保存在设备中留存为证据，取证文件支持导出功能。（提供产品功能截图加盖厂商公章进行证明）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93" w:type="dxa"/>
            <w:shd w:val="clear" w:color="auto" w:fill="auto"/>
            <w:noWrap/>
            <w:vAlign w:val="center"/>
          </w:tcPr>
          <w:p>
            <w:pPr>
              <w:jc w:val="center"/>
              <w:rPr>
                <w:rFonts w:asciiTheme="minorEastAsia" w:hAnsiTheme="minorEastAsia" w:cstheme="minorEastAsia"/>
                <w:sz w:val="24"/>
              </w:rPr>
            </w:pPr>
            <w:r>
              <w:rPr>
                <w:rFonts w:hint="eastAsia" w:asciiTheme="minorEastAsia" w:hAnsiTheme="minorEastAsia" w:cstheme="minorEastAsia"/>
                <w:sz w:val="24"/>
              </w:rPr>
              <w:t>SNMP</w:t>
            </w: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产品具备SNMP功能，支持v1、v2、v3协议的SNMP配置功能项。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3" w:type="dxa"/>
            <w:shd w:val="clear" w:color="auto" w:fill="auto"/>
            <w:noWrap/>
            <w:vAlign w:val="center"/>
          </w:tcPr>
          <w:p>
            <w:pPr>
              <w:jc w:val="center"/>
              <w:rPr>
                <w:rFonts w:asciiTheme="minorEastAsia" w:hAnsiTheme="minorEastAsia" w:cstheme="minorEastAsia"/>
                <w:sz w:val="24"/>
              </w:rPr>
            </w:pPr>
            <w:r>
              <w:rPr>
                <w:rFonts w:hint="eastAsia" w:asciiTheme="minorEastAsia" w:hAnsiTheme="minorEastAsia" w:cstheme="minorEastAsia"/>
                <w:sz w:val="24"/>
              </w:rPr>
              <w:t>账号安全</w:t>
            </w: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产品具备账号安全管理功能，具备密码强度、登录处理、解决时间等强制性账号安全策略功能。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3" w:type="dxa"/>
            <w:shd w:val="clear" w:color="auto" w:fill="auto"/>
            <w:noWrap/>
            <w:vAlign w:val="center"/>
          </w:tcPr>
          <w:p>
            <w:pPr>
              <w:jc w:val="center"/>
              <w:rPr>
                <w:rFonts w:asciiTheme="minorEastAsia" w:hAnsiTheme="minorEastAsia" w:cstheme="minorEastAsia"/>
                <w:sz w:val="24"/>
              </w:rPr>
            </w:pPr>
            <w:r>
              <w:rPr>
                <w:rFonts w:hint="eastAsia" w:asciiTheme="minorEastAsia" w:hAnsiTheme="minorEastAsia" w:cstheme="minorEastAsia"/>
                <w:sz w:val="24"/>
              </w:rPr>
              <w:t>配置文件导入导出</w:t>
            </w: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产品具备配置文件功能，提供配置文件的导入、导出功能，并可以指定下次启动的配置文件。（提供产品功能截图加盖厂商公章进行证明）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93" w:type="dxa"/>
            <w:shd w:val="clear" w:color="auto" w:fill="auto"/>
            <w:noWrap/>
            <w:vAlign w:val="center"/>
          </w:tcPr>
          <w:p>
            <w:pPr>
              <w:jc w:val="center"/>
              <w:rPr>
                <w:rFonts w:asciiTheme="minorEastAsia" w:hAnsiTheme="minorEastAsia" w:cstheme="minorEastAsia"/>
                <w:sz w:val="24"/>
              </w:rPr>
            </w:pPr>
            <w:r>
              <w:rPr>
                <w:rFonts w:hint="eastAsia" w:asciiTheme="minorEastAsia" w:hAnsiTheme="minorEastAsia" w:cstheme="minorEastAsia"/>
                <w:sz w:val="24"/>
              </w:rPr>
              <w:t>升级维护</w:t>
            </w: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产品具备系统及特征库升级功能，特征库提供在线和离线升级方式。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3" w:type="dxa"/>
            <w:shd w:val="clear" w:color="auto" w:fill="auto"/>
            <w:noWrap/>
            <w:vAlign w:val="center"/>
          </w:tcPr>
          <w:p>
            <w:pPr>
              <w:jc w:val="center"/>
              <w:rPr>
                <w:rFonts w:asciiTheme="minorEastAsia" w:hAnsiTheme="minorEastAsia" w:cstheme="minorEastAsia"/>
                <w:sz w:val="24"/>
              </w:rPr>
            </w:pPr>
            <w:r>
              <w:rPr>
                <w:rFonts w:hint="eastAsia" w:asciiTheme="minorEastAsia" w:hAnsiTheme="minorEastAsia" w:cstheme="minorEastAsia"/>
                <w:sz w:val="24"/>
              </w:rPr>
              <w:t>辅助工具</w:t>
            </w: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产品具备界面诊断工具功能，支持内置提供ping、Tracert、抓包等分析诊断工具。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3" w:type="dxa"/>
            <w:shd w:val="clear" w:color="auto" w:fill="auto"/>
            <w:noWrap/>
            <w:vAlign w:val="center"/>
          </w:tcPr>
          <w:p>
            <w:pPr>
              <w:jc w:val="center"/>
              <w:rPr>
                <w:rFonts w:asciiTheme="minorEastAsia" w:hAnsiTheme="minorEastAsia" w:cstheme="minorEastAsia"/>
                <w:sz w:val="24"/>
              </w:rPr>
            </w:pPr>
            <w:r>
              <w:rPr>
                <w:rFonts w:hint="eastAsia" w:asciiTheme="minorEastAsia" w:hAnsiTheme="minorEastAsia" w:cstheme="minorEastAsia"/>
                <w:sz w:val="24"/>
              </w:rPr>
              <w:t>移动管控</w:t>
            </w: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产品具备移动终端管理功能，无需安装APP和第三方插件，通过手机浏览器即可管理设备，并可查看设备CPU、内存、硬盘使用情况。（提供产品功能截图加盖厂商公章进行证明）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3" w:type="dxa"/>
            <w:vMerge w:val="restart"/>
            <w:shd w:val="clear" w:color="auto" w:fill="auto"/>
            <w:noWrap/>
            <w:vAlign w:val="center"/>
          </w:tcPr>
          <w:p>
            <w:pPr>
              <w:jc w:val="center"/>
              <w:rPr>
                <w:rFonts w:asciiTheme="minorEastAsia" w:hAnsiTheme="minorEastAsia" w:cstheme="minorEastAsia"/>
                <w:sz w:val="24"/>
              </w:rPr>
            </w:pPr>
            <w:r>
              <w:rPr>
                <w:rFonts w:hint="eastAsia" w:asciiTheme="minorEastAsia" w:hAnsiTheme="minorEastAsia" w:cstheme="minorEastAsia"/>
                <w:sz w:val="24"/>
              </w:rPr>
              <w:t>资质要求</w:t>
            </w: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所投产品具备公安部网络安全保卫局颁发的《计算机信息系统安全专用产品销售许可证》。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3" w:type="dxa"/>
            <w:vMerge w:val="continue"/>
            <w:shd w:val="clear" w:color="auto" w:fill="auto"/>
            <w:noWrap/>
            <w:vAlign w:val="center"/>
          </w:tcPr>
          <w:p>
            <w:pPr>
              <w:jc w:val="center"/>
              <w:rPr>
                <w:rFonts w:asciiTheme="minorEastAsia" w:hAnsiTheme="minorEastAsia" w:cstheme="minorEastAsia"/>
                <w:sz w:val="24"/>
              </w:rPr>
            </w:pP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所投产品提供国家信息测评中心 EAL 3+级资质。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3" w:type="dxa"/>
            <w:vMerge w:val="continue"/>
            <w:shd w:val="clear" w:color="auto" w:fill="auto"/>
            <w:noWrap/>
            <w:vAlign w:val="center"/>
          </w:tcPr>
          <w:p>
            <w:pPr>
              <w:jc w:val="center"/>
              <w:rPr>
                <w:rFonts w:asciiTheme="minorEastAsia" w:hAnsiTheme="minorEastAsia" w:cstheme="minorEastAsia"/>
                <w:sz w:val="24"/>
              </w:rPr>
            </w:pP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所投产品提供</w:t>
            </w:r>
            <w:r>
              <w:fldChar w:fldCharType="begin"/>
            </w:r>
            <w:r>
              <w:instrText xml:space="preserve"> HYPERLINK "https://baike.baidu.com/item/IPv6" \t "_blank" </w:instrText>
            </w:r>
            <w:r>
              <w:fldChar w:fldCharType="separate"/>
            </w:r>
            <w:r>
              <w:rPr>
                <w:rFonts w:hint="eastAsia" w:asciiTheme="minorEastAsia" w:hAnsiTheme="minorEastAsia" w:cstheme="minorEastAsia"/>
                <w:sz w:val="24"/>
              </w:rPr>
              <w:t>IPv6</w:t>
            </w:r>
            <w:r>
              <w:rPr>
                <w:rFonts w:hint="eastAsia" w:asciiTheme="minorEastAsia" w:hAnsiTheme="minorEastAsia" w:cstheme="minorEastAsia"/>
                <w:sz w:val="24"/>
              </w:rPr>
              <w:fldChar w:fldCharType="end"/>
            </w:r>
            <w:r>
              <w:rPr>
                <w:rFonts w:hint="eastAsia" w:asciiTheme="minorEastAsia" w:hAnsiTheme="minorEastAsia" w:cstheme="minorEastAsia"/>
                <w:sz w:val="24"/>
              </w:rPr>
              <w:t> Ready Logo测试认证证书。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3" w:type="dxa"/>
            <w:vMerge w:val="continue"/>
            <w:shd w:val="clear" w:color="auto" w:fill="auto"/>
            <w:noWrap/>
            <w:vAlign w:val="center"/>
          </w:tcPr>
          <w:p>
            <w:pPr>
              <w:jc w:val="center"/>
              <w:rPr>
                <w:rFonts w:asciiTheme="minorEastAsia" w:hAnsiTheme="minorEastAsia" w:cstheme="minorEastAsia"/>
                <w:sz w:val="24"/>
              </w:rPr>
            </w:pPr>
          </w:p>
        </w:tc>
        <w:tc>
          <w:tcPr>
            <w:tcW w:w="7291" w:type="dxa"/>
            <w:shd w:val="clear" w:color="auto" w:fill="auto"/>
            <w:vAlign w:val="bottom"/>
          </w:tcPr>
          <w:p>
            <w:pPr>
              <w:rPr>
                <w:rFonts w:asciiTheme="minorEastAsia" w:hAnsiTheme="minorEastAsia" w:cstheme="minorEastAsia"/>
                <w:sz w:val="24"/>
              </w:rPr>
            </w:pPr>
            <w:r>
              <w:rPr>
                <w:rFonts w:hint="eastAsia" w:asciiTheme="minorEastAsia" w:hAnsiTheme="minorEastAsia" w:cstheme="minorEastAsia"/>
                <w:sz w:val="24"/>
              </w:rPr>
              <w:t>所投产品提供CVE兼容性证书。</w:t>
            </w:r>
          </w:p>
        </w:tc>
      </w:tr>
    </w:tbl>
    <w:p>
      <w:pPr>
        <w:rPr>
          <w:sz w:val="15"/>
          <w:szCs w:val="18"/>
        </w:rPr>
      </w:pPr>
    </w:p>
    <w:p>
      <w:pPr>
        <w:rPr>
          <w:sz w:val="15"/>
          <w:szCs w:val="18"/>
        </w:rPr>
      </w:pPr>
    </w:p>
    <w:p>
      <w:pPr>
        <w:rPr>
          <w:sz w:val="15"/>
          <w:szCs w:val="18"/>
        </w:rPr>
      </w:pPr>
    </w:p>
    <w:p>
      <w:pPr>
        <w:rPr>
          <w:sz w:val="15"/>
          <w:szCs w:val="18"/>
        </w:rPr>
      </w:pPr>
    </w:p>
    <w:p>
      <w:pPr>
        <w:pStyle w:val="2"/>
        <w:numPr>
          <w:ilvl w:val="0"/>
          <w:numId w:val="1"/>
        </w:numPr>
        <w:spacing w:before="0" w:after="0" w:line="360" w:lineRule="auto"/>
        <w:rPr>
          <w:sz w:val="28"/>
          <w:szCs w:val="18"/>
        </w:rPr>
      </w:pPr>
      <w:bookmarkStart w:id="0" w:name="_GoBack"/>
      <w:r>
        <w:rPr>
          <w:rFonts w:hint="eastAsia"/>
          <w:sz w:val="28"/>
          <w:szCs w:val="18"/>
        </w:rPr>
        <w:t>奇安信网神</w:t>
      </w:r>
      <w:bookmarkEnd w:id="0"/>
      <w:r>
        <w:rPr>
          <w:rFonts w:hint="eastAsia"/>
          <w:sz w:val="28"/>
          <w:szCs w:val="18"/>
        </w:rPr>
        <w:t>防火墙系统</w:t>
      </w:r>
    </w:p>
    <w:tbl>
      <w:tblPr>
        <w:tblStyle w:val="3"/>
        <w:tblW w:w="8600" w:type="dxa"/>
        <w:tblInd w:w="-17" w:type="dxa"/>
        <w:tblLayout w:type="autofit"/>
        <w:tblCellMar>
          <w:top w:w="0" w:type="dxa"/>
          <w:left w:w="108" w:type="dxa"/>
          <w:bottom w:w="0" w:type="dxa"/>
          <w:right w:w="108" w:type="dxa"/>
        </w:tblCellMar>
      </w:tblPr>
      <w:tblGrid>
        <w:gridCol w:w="1290"/>
        <w:gridCol w:w="7310"/>
      </w:tblGrid>
      <w:tr>
        <w:tblPrEx>
          <w:tblCellMar>
            <w:top w:w="0" w:type="dxa"/>
            <w:left w:w="108" w:type="dxa"/>
            <w:bottom w:w="0" w:type="dxa"/>
            <w:right w:w="108" w:type="dxa"/>
          </w:tblCellMar>
        </w:tblPrEx>
        <w:trPr>
          <w:trHeight w:val="90" w:hRule="atLeast"/>
        </w:trPr>
        <w:tc>
          <w:tcPr>
            <w:tcW w:w="1290" w:type="dxa"/>
            <w:tcBorders>
              <w:top w:val="single" w:color="000000" w:sz="4" w:space="0"/>
              <w:left w:val="single" w:color="000000" w:sz="4" w:space="0"/>
              <w:bottom w:val="single" w:color="auto" w:sz="4" w:space="0"/>
              <w:right w:val="single" w:color="000000" w:sz="4" w:space="0"/>
            </w:tcBorders>
            <w:shd w:val="clear" w:color="auto" w:fill="D7D7D7" w:themeFill="background1" w:themeFillShade="D8"/>
            <w:vAlign w:val="center"/>
          </w:tcPr>
          <w:p>
            <w:pPr>
              <w:jc w:val="center"/>
              <w:rPr>
                <w:rFonts w:asciiTheme="minorEastAsia" w:hAnsiTheme="minorEastAsia" w:cstheme="minorEastAsia"/>
                <w:sz w:val="24"/>
              </w:rPr>
            </w:pPr>
            <w:r>
              <w:rPr>
                <w:rFonts w:hint="eastAsia" w:asciiTheme="minorEastAsia" w:hAnsiTheme="minorEastAsia" w:cstheme="minorEastAsia"/>
                <w:sz w:val="24"/>
              </w:rPr>
              <w:t>指标项</w:t>
            </w:r>
          </w:p>
        </w:tc>
        <w:tc>
          <w:tcPr>
            <w:tcW w:w="7310" w:type="dxa"/>
            <w:tcBorders>
              <w:top w:val="single" w:color="000000" w:sz="4" w:space="0"/>
              <w:left w:val="single" w:color="000000" w:sz="4" w:space="0"/>
              <w:bottom w:val="single" w:color="auto" w:sz="4" w:space="0"/>
              <w:right w:val="single" w:color="000000" w:sz="4" w:space="0"/>
            </w:tcBorders>
            <w:shd w:val="clear" w:color="auto" w:fill="D7D7D7" w:themeFill="background1" w:themeFillShade="D8"/>
            <w:vAlign w:val="center"/>
          </w:tcPr>
          <w:p>
            <w:pPr>
              <w:jc w:val="center"/>
              <w:rPr>
                <w:rFonts w:asciiTheme="minorEastAsia" w:hAnsiTheme="minorEastAsia" w:cstheme="minorEastAsia"/>
                <w:sz w:val="24"/>
              </w:rPr>
            </w:pPr>
            <w:r>
              <w:rPr>
                <w:rFonts w:hint="eastAsia" w:asciiTheme="minorEastAsia" w:hAnsiTheme="minorEastAsia" w:cstheme="minorEastAsia"/>
                <w:sz w:val="24"/>
              </w:rPr>
              <w:t>参数要求</w:t>
            </w:r>
          </w:p>
        </w:tc>
      </w:tr>
      <w:tr>
        <w:tblPrEx>
          <w:tblCellMar>
            <w:top w:w="0" w:type="dxa"/>
            <w:left w:w="108" w:type="dxa"/>
            <w:bottom w:w="0" w:type="dxa"/>
            <w:right w:w="108" w:type="dxa"/>
          </w:tblCellMar>
        </w:tblPrEx>
        <w:trPr>
          <w:trHeight w:val="90" w:hRule="atLeast"/>
        </w:trPr>
        <w:tc>
          <w:tcPr>
            <w:tcW w:w="1290" w:type="dxa"/>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sz w:val="24"/>
              </w:rPr>
            </w:pPr>
            <w:r>
              <w:rPr>
                <w:rFonts w:hint="eastAsia" w:asciiTheme="minorEastAsia" w:hAnsiTheme="minorEastAsia" w:cstheme="minorEastAsia"/>
                <w:sz w:val="24"/>
              </w:rPr>
              <w:t>性能要求</w:t>
            </w:r>
          </w:p>
        </w:tc>
        <w:tc>
          <w:tcPr>
            <w:tcW w:w="7310"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1U机箱，最大吞吐量不少于6Gbps，每秒新建连接数至少8万，并发连接数不少于200万，不少于8个10/100/1000M自适应电口、2个SFP光接口和2个SFP+光接口，至少2个扩展插槽，最大支持不少于1000个IPSec VPN，最大支持不少于300个SSL VPN，包含三年硬件质保服务。</w:t>
            </w:r>
          </w:p>
        </w:tc>
      </w:tr>
      <w:tr>
        <w:tblPrEx>
          <w:tblCellMar>
            <w:top w:w="0" w:type="dxa"/>
            <w:left w:w="108" w:type="dxa"/>
            <w:bottom w:w="0" w:type="dxa"/>
            <w:right w:w="108" w:type="dxa"/>
          </w:tblCellMar>
        </w:tblPrEx>
        <w:trPr>
          <w:trHeight w:val="660" w:hRule="atLeast"/>
        </w:trPr>
        <w:tc>
          <w:tcPr>
            <w:tcW w:w="129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r>
              <w:rPr>
                <w:rFonts w:hint="eastAsia" w:asciiTheme="minorEastAsia" w:hAnsiTheme="minorEastAsia" w:cstheme="minorEastAsia"/>
                <w:sz w:val="24"/>
              </w:rPr>
              <w:t>基础组网</w:t>
            </w:r>
          </w:p>
        </w:tc>
        <w:tc>
          <w:tcPr>
            <w:tcW w:w="731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产品支持路由、透明、交换以及混合模式接入，满足复杂应用环境的接入需求。支持旁路模式。</w:t>
            </w:r>
          </w:p>
        </w:tc>
      </w:tr>
      <w:tr>
        <w:tblPrEx>
          <w:tblCellMar>
            <w:top w:w="0" w:type="dxa"/>
            <w:left w:w="108" w:type="dxa"/>
            <w:bottom w:w="0" w:type="dxa"/>
            <w:right w:w="108" w:type="dxa"/>
          </w:tblCellMar>
        </w:tblPrEx>
        <w:trPr>
          <w:trHeight w:val="13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所投产品必须支持VTEP（VxLan Tunnel EndPoint）模式接入VxLAN网络，并可作为VXLAN二层、三层网关实现VxLan网络与传统以太网的相同子网内、跨子网间互联互通；支持通过绑定VLAN、VNI（VXLAN Network Identifier）、远程VTEP，手动管理VxLan网络；支持MAC、VNI、VTEP静态绑定。（提供产品功能截图加盖厂商公章进行证明）</w:t>
            </w:r>
          </w:p>
        </w:tc>
      </w:tr>
      <w:tr>
        <w:tblPrEx>
          <w:tblCellMar>
            <w:top w:w="0" w:type="dxa"/>
            <w:left w:w="108" w:type="dxa"/>
            <w:bottom w:w="0" w:type="dxa"/>
            <w:right w:w="108" w:type="dxa"/>
          </w:tblCellMar>
        </w:tblPrEx>
        <w:trPr>
          <w:trHeight w:val="111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所投产品必须支持MPLS流量透传；支持针对MPLS流量的安全审查，包括漏洞防护、反病毒、间谍软件防护、内容过滤、URL过滤、基于终端状态访问控制等安全防护功能。（提供产品功能截图加盖厂商公章进行证明）</w:t>
            </w:r>
          </w:p>
        </w:tc>
      </w:tr>
      <w:tr>
        <w:tblPrEx>
          <w:tblCellMar>
            <w:top w:w="0" w:type="dxa"/>
            <w:left w:w="108" w:type="dxa"/>
            <w:bottom w:w="0" w:type="dxa"/>
            <w:right w:w="108" w:type="dxa"/>
          </w:tblCellMar>
        </w:tblPrEx>
        <w:trPr>
          <w:trHeight w:val="20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支持通过802.3ad协议、轮询、热备等方式将多个物理口绑定为一个逻辑接口，实现接口级的冗余，并可根据：源目的MAC组合、MAC和IP组合或TCP/UDP端口组合等方式实现负载和备份。（提供产品功能截图加盖厂商公章进行证明）</w:t>
            </w:r>
          </w:p>
        </w:tc>
      </w:tr>
      <w:tr>
        <w:tblPrEx>
          <w:tblCellMar>
            <w:top w:w="0" w:type="dxa"/>
            <w:left w:w="108" w:type="dxa"/>
            <w:bottom w:w="0" w:type="dxa"/>
            <w:right w:w="108" w:type="dxa"/>
          </w:tblCellMar>
        </w:tblPrEx>
        <w:trPr>
          <w:trHeight w:val="67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所投产品必须支持MTU≥9000byte的巨型帧Jumbo Frame。（投标文件需提供能够体现上述组合方式的配置选项截图）</w:t>
            </w:r>
          </w:p>
        </w:tc>
      </w:tr>
      <w:tr>
        <w:tblPrEx>
          <w:tblCellMar>
            <w:top w:w="0" w:type="dxa"/>
            <w:left w:w="108" w:type="dxa"/>
            <w:bottom w:w="0" w:type="dxa"/>
            <w:right w:w="108" w:type="dxa"/>
          </w:tblCellMar>
        </w:tblPrEx>
        <w:trPr>
          <w:trHeight w:val="147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所投产品必须支持支持静态路由、策略路由及动态路由。策略路由支持用户自定义其优先级，动态路由应至少支持RIP v1/v2/ng， OSPFv2/v3，BGP4/4+协议；必须支持静态和动态多播路由，动态多播路由必须支持PIM-SM（稀疏模式）。（提供产品功能截图加盖厂商公章进行证明）</w:t>
            </w:r>
          </w:p>
        </w:tc>
      </w:tr>
      <w:tr>
        <w:tblPrEx>
          <w:tblCellMar>
            <w:top w:w="0" w:type="dxa"/>
            <w:left w:w="108" w:type="dxa"/>
            <w:bottom w:w="0" w:type="dxa"/>
            <w:right w:w="108" w:type="dxa"/>
          </w:tblCellMar>
        </w:tblPrEx>
        <w:trPr>
          <w:trHeight w:val="165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基于策略的路由负载，支持根据应用和服务进行智能选路，支持源地址目的地址哈希、源地址哈希、轮询、时延负载、备份、随机、流量均衡、源地址轮询、目的地址哈希、最优链路带宽负载、最优链路带宽备份、跳数负载等不少于12种路由负载均衡方式，支持基于IPv4或IPv6的TCP、HTTP、DNS、ICMP等方式的链路探测，同时TCP与HTTP可使用自定义目标端口进行测试。（提供产品功能截图加盖厂商公章进行证明）</w:t>
            </w:r>
          </w:p>
        </w:tc>
      </w:tr>
      <w:tr>
        <w:tblPrEx>
          <w:tblCellMar>
            <w:top w:w="0" w:type="dxa"/>
            <w:left w:w="108" w:type="dxa"/>
            <w:bottom w:w="0" w:type="dxa"/>
            <w:right w:w="108" w:type="dxa"/>
          </w:tblCellMar>
        </w:tblPrEx>
        <w:trPr>
          <w:trHeight w:val="9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ISP路由负载均衡，最大可支持8条链路负载，支持自定义负载权重，支持基于优先级的ISP路由链路备份；支持基于IPv4或IPv6的TCP、HTTP、DNS、ICMP等方式的链路探测，同时TCP与HTTP可使用自定义目标端口进行测试。（提供产品功能截图加盖厂商公章进行证明）</w:t>
            </w:r>
          </w:p>
        </w:tc>
      </w:tr>
      <w:tr>
        <w:tblPrEx>
          <w:tblCellMar>
            <w:top w:w="0" w:type="dxa"/>
            <w:left w:w="108" w:type="dxa"/>
            <w:bottom w:w="0" w:type="dxa"/>
            <w:right w:w="108" w:type="dxa"/>
          </w:tblCellMar>
        </w:tblPrEx>
        <w:trPr>
          <w:trHeight w:val="9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所投产品必须支持全面的NAT转换配置，包括一对一，一对多，多对一的源、目的地址转换，并至少支持FULL_CONE模式和SYMMETRIC模式。（投标文件需要提供能够体现上述功能及配置选项的截图以及测试方案）</w:t>
            </w:r>
          </w:p>
        </w:tc>
      </w:tr>
      <w:tr>
        <w:tblPrEx>
          <w:tblCellMar>
            <w:top w:w="0" w:type="dxa"/>
            <w:left w:w="108" w:type="dxa"/>
            <w:bottom w:w="0" w:type="dxa"/>
            <w:right w:w="108" w:type="dxa"/>
          </w:tblCellMar>
        </w:tblPrEx>
        <w:trPr>
          <w:trHeight w:val="78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所投产品必须支持在会话的源、目的地址同为IPv4地址时，可将目的地址转换至指定服务器地址。（提供产品功能截图加盖厂商公章进行证明）</w:t>
            </w:r>
          </w:p>
        </w:tc>
      </w:tr>
      <w:tr>
        <w:tblPrEx>
          <w:tblCellMar>
            <w:top w:w="0" w:type="dxa"/>
            <w:left w:w="108" w:type="dxa"/>
            <w:bottom w:w="0" w:type="dxa"/>
            <w:right w:w="108" w:type="dxa"/>
          </w:tblCellMar>
        </w:tblPrEx>
        <w:trPr>
          <w:trHeight w:val="117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所投产品必须支持在源地址转换过程中，对SNAT（源地址转换）使用的地址池利用率进行监控，并在地址池利用率超过阈值时，通过SNMP Trap、邮件等方式告警。（投标文件需提供能够体现上述功能配置选项截图)</w:t>
            </w:r>
          </w:p>
        </w:tc>
      </w:tr>
      <w:tr>
        <w:tblPrEx>
          <w:tblCellMar>
            <w:top w:w="0" w:type="dxa"/>
            <w:left w:w="108" w:type="dxa"/>
            <w:bottom w:w="0" w:type="dxa"/>
            <w:right w:w="108" w:type="dxa"/>
          </w:tblCellMar>
        </w:tblPrEx>
        <w:trPr>
          <w:trHeight w:val="105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支持IPv4的DNS代理功能，即从指定的入接口或源ISP接收到的DNS解析请求，设备可根据自定义的IP、域名对应关系，代理DNS服务器返回查询结果。（提供产品功能截图加盖厂商公章进行证明）</w:t>
            </w:r>
          </w:p>
        </w:tc>
      </w:tr>
      <w:tr>
        <w:tblPrEx>
          <w:tblCellMar>
            <w:top w:w="0" w:type="dxa"/>
            <w:left w:w="108" w:type="dxa"/>
            <w:bottom w:w="0" w:type="dxa"/>
            <w:right w:w="108" w:type="dxa"/>
          </w:tblCellMar>
        </w:tblPrEx>
        <w:trPr>
          <w:trHeight w:val="104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支持出站的DNS代理功能，支持在不更改内网终端设备DNS服务器地址设置的情况下，将DNS解析请求发送至指定的DNS服务器，并代理原DNS服务器返回解析结果。（提供产品功能截图加盖厂商公章进行证明）</w:t>
            </w:r>
          </w:p>
        </w:tc>
      </w:tr>
      <w:tr>
        <w:tblPrEx>
          <w:tblCellMar>
            <w:top w:w="0" w:type="dxa"/>
            <w:left w:w="108" w:type="dxa"/>
            <w:bottom w:w="0" w:type="dxa"/>
            <w:right w:w="108" w:type="dxa"/>
          </w:tblCellMar>
        </w:tblPrEx>
        <w:trPr>
          <w:trHeight w:val="99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支持DDNS功能，支持Oray向日葵、Pubyun公云、Noip、Changeip提供的DDNS服务，将动态获取的IP地址映射为固定的域名。（投标文件需提供能够体现上述功能配置选项及支持)</w:t>
            </w:r>
          </w:p>
        </w:tc>
      </w:tr>
      <w:tr>
        <w:tblPrEx>
          <w:tblCellMar>
            <w:top w:w="0" w:type="dxa"/>
            <w:left w:w="108" w:type="dxa"/>
            <w:bottom w:w="0" w:type="dxa"/>
            <w:right w:w="108" w:type="dxa"/>
          </w:tblCellMar>
        </w:tblPrEx>
        <w:trPr>
          <w:trHeight w:val="92"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支持DNS代理策略功能，支持设置入接口、源地址、目的地址、域名等信息配置代理策略，同时支持手动选择代理或不代理功能，方便灵活根据业务需求调整代理策略。（投标文件需要提供能够体现上述功能及配置选项、DDNS服务商的截图）</w:t>
            </w:r>
          </w:p>
        </w:tc>
      </w:tr>
      <w:tr>
        <w:tblPrEx>
          <w:tblCellMar>
            <w:top w:w="0" w:type="dxa"/>
            <w:left w:w="108" w:type="dxa"/>
            <w:bottom w:w="0" w:type="dxa"/>
            <w:right w:w="108" w:type="dxa"/>
          </w:tblCellMar>
        </w:tblPrEx>
        <w:trPr>
          <w:trHeight w:val="66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所投产品必须设备接口支持配置IPv6地址，并可使用IPv6地址管理设备；支持IPv6手动及自动的IP/MAC探测及绑定。</w:t>
            </w:r>
          </w:p>
        </w:tc>
      </w:tr>
      <w:tr>
        <w:tblPrEx>
          <w:tblCellMar>
            <w:top w:w="0" w:type="dxa"/>
            <w:left w:w="108" w:type="dxa"/>
            <w:bottom w:w="0" w:type="dxa"/>
            <w:right w:w="108" w:type="dxa"/>
          </w:tblCellMar>
        </w:tblPrEx>
        <w:trPr>
          <w:trHeight w:val="67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所投产品必须支持IPv6下静态路由及策略路由、动态路由，动态路由应包括RIPng、OSPFv3、BGP4+。</w:t>
            </w:r>
          </w:p>
        </w:tc>
      </w:tr>
      <w:tr>
        <w:tblPrEx>
          <w:tblCellMar>
            <w:top w:w="0" w:type="dxa"/>
            <w:left w:w="108" w:type="dxa"/>
            <w:bottom w:w="0" w:type="dxa"/>
            <w:right w:w="108" w:type="dxa"/>
          </w:tblCellMar>
        </w:tblPrEx>
        <w:trPr>
          <w:trHeight w:val="40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所投产品必须支持NAT64，NAT66、NAT-PT等种IPv4/v6过渡技术，支持针对ICMPv6以及IPv6扩展头防护功能。</w:t>
            </w:r>
          </w:p>
        </w:tc>
      </w:tr>
      <w:tr>
        <w:tblPrEx>
          <w:tblCellMar>
            <w:top w:w="0" w:type="dxa"/>
            <w:left w:w="108" w:type="dxa"/>
            <w:bottom w:w="0" w:type="dxa"/>
            <w:right w:w="108" w:type="dxa"/>
          </w:tblCellMar>
        </w:tblPrEx>
        <w:trPr>
          <w:trHeight w:val="312"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p>
        </w:tc>
      </w:tr>
      <w:tr>
        <w:tblPrEx>
          <w:tblCellMar>
            <w:top w:w="0" w:type="dxa"/>
            <w:left w:w="108" w:type="dxa"/>
            <w:bottom w:w="0" w:type="dxa"/>
            <w:right w:w="108" w:type="dxa"/>
          </w:tblCellMar>
        </w:tblPrEx>
        <w:trPr>
          <w:trHeight w:val="1362"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DNS64功能；支持IPv6入站的DNS代理功能，即从指定的入接口或源ISP接收到的DNS解析请求，设备可根据自定义的IP、域名对应关系，代理DNS服务器返回查询结果。（提供产品功能截图加盖厂商公章进行证明）</w:t>
            </w:r>
          </w:p>
        </w:tc>
      </w:tr>
      <w:tr>
        <w:tblPrEx>
          <w:tblCellMar>
            <w:top w:w="0" w:type="dxa"/>
            <w:left w:w="108" w:type="dxa"/>
            <w:bottom w:w="0" w:type="dxa"/>
            <w:right w:w="108" w:type="dxa"/>
          </w:tblCellMar>
        </w:tblPrEx>
        <w:trPr>
          <w:trHeight w:val="90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所投产品必须支持DS-Lite CPE B4功能，支持成为b4或aftr角色，支持从DHCPv6服务器或手动方式获取AFTR参数。（提供产品功能截图加盖厂商公章进行证明）</w:t>
            </w:r>
          </w:p>
        </w:tc>
      </w:tr>
      <w:tr>
        <w:tblPrEx>
          <w:tblCellMar>
            <w:top w:w="0" w:type="dxa"/>
            <w:left w:w="108" w:type="dxa"/>
            <w:bottom w:w="0" w:type="dxa"/>
            <w:right w:w="108" w:type="dxa"/>
          </w:tblCellMar>
        </w:tblPrEx>
        <w:trPr>
          <w:trHeight w:val="133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路由模式、透明模式的HA高可靠性部署，可工作于主备、主主模式，会话、用户、配置可实时同步；HA高可靠性部署支持接口联动，某个端口失效（DOWN），属于同一接口组中其他端口都会进入失效状态（DOWN）；HA高可靠性部署支持配置接口权重；支持链路探测。（提供产品功能截图加盖厂商公章进行证明）</w:t>
            </w:r>
          </w:p>
        </w:tc>
      </w:tr>
      <w:tr>
        <w:tblPrEx>
          <w:tblCellMar>
            <w:top w:w="0" w:type="dxa"/>
            <w:left w:w="108" w:type="dxa"/>
            <w:bottom w:w="0" w:type="dxa"/>
            <w:right w:w="108" w:type="dxa"/>
          </w:tblCellMar>
        </w:tblPrEx>
        <w:trPr>
          <w:trHeight w:val="99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所投产品必须支持将物理防火墙资源，如会话数、安全策略数、源NAT数、目的NAT数，日志存储数量以保留值及最大值的形式自动分配。（提供产品功能截图加盖厂商公章进行证明）</w:t>
            </w:r>
          </w:p>
        </w:tc>
      </w:tr>
      <w:tr>
        <w:tblPrEx>
          <w:tblCellMar>
            <w:top w:w="0" w:type="dxa"/>
            <w:left w:w="108" w:type="dxa"/>
            <w:bottom w:w="0" w:type="dxa"/>
            <w:right w:w="108" w:type="dxa"/>
          </w:tblCellMar>
        </w:tblPrEx>
        <w:trPr>
          <w:trHeight w:val="75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所投产品必须支持虚拟防火墙逻辑接口，可以不占用物理网口的情况下实现虚拟系统之间的相互连接、访问。（提供产品功能截图加盖厂商公章进行证明）</w:t>
            </w:r>
          </w:p>
        </w:tc>
      </w:tr>
      <w:tr>
        <w:tblPrEx>
          <w:tblCellMar>
            <w:top w:w="0" w:type="dxa"/>
            <w:left w:w="108" w:type="dxa"/>
            <w:bottom w:w="0" w:type="dxa"/>
            <w:right w:w="108" w:type="dxa"/>
          </w:tblCellMar>
        </w:tblPrEx>
        <w:trPr>
          <w:trHeight w:val="99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所投产品必须支持对虚系统进行系统配置，包括管理设定、管理主机、证书管理、配置文件导入导出、日志配置；虚系统管理员可分权管理。（提供产品功能截图加盖厂商公章进行证明）</w:t>
            </w:r>
          </w:p>
        </w:tc>
      </w:tr>
      <w:tr>
        <w:tblPrEx>
          <w:tblCellMar>
            <w:top w:w="0" w:type="dxa"/>
            <w:left w:w="108" w:type="dxa"/>
            <w:bottom w:w="0" w:type="dxa"/>
            <w:right w:w="108" w:type="dxa"/>
          </w:tblCellMar>
        </w:tblPrEx>
        <w:trPr>
          <w:trHeight w:val="100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在虚系统内独立配置病毒防护、漏洞利用防护、间谍软件防护、URL过滤、文件过滤、内容过滤、邮件过滤、行为管控等安全功能。并可支持对本虚系统内产生的日志进行独立审计。（提供产品功能截图加盖厂商公章进行证明）</w:t>
            </w:r>
          </w:p>
        </w:tc>
      </w:tr>
      <w:tr>
        <w:tblPrEx>
          <w:tblCellMar>
            <w:top w:w="0" w:type="dxa"/>
            <w:left w:w="108" w:type="dxa"/>
            <w:bottom w:w="0" w:type="dxa"/>
            <w:right w:w="108" w:type="dxa"/>
          </w:tblCellMar>
        </w:tblPrEx>
        <w:trPr>
          <w:trHeight w:val="108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r>
              <w:rPr>
                <w:rFonts w:hint="eastAsia" w:asciiTheme="minorEastAsia" w:hAnsiTheme="minorEastAsia" w:cstheme="minorEastAsia"/>
                <w:sz w:val="24"/>
              </w:rPr>
              <w:t>访问控制</w:t>
            </w: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基于源安全域、目的安全域、源用户、源地址、源地区、目的地址、目的地区、服务、应用、隧道、时间、VLAN等多种方式进行访问控制，并支持地理区域对象的导入以及重复策略的检查（提供产品功能截图加盖厂商公章进行证明）</w:t>
            </w:r>
          </w:p>
        </w:tc>
      </w:tr>
      <w:tr>
        <w:tblPrEx>
          <w:tblCellMar>
            <w:top w:w="0" w:type="dxa"/>
            <w:left w:w="108" w:type="dxa"/>
            <w:bottom w:w="0" w:type="dxa"/>
            <w:right w:w="108" w:type="dxa"/>
          </w:tblCellMar>
        </w:tblPrEx>
        <w:trPr>
          <w:trHeight w:val="108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所投产品比如支持基于IPv4/v6地址、应用的会话限制，限制动作包每IP新建、每IP并发、所有IP新建、所有IP并发，且可以基于安全域指定限制方向。（提供产品功能截图加盖厂商公章进行证明）</w:t>
            </w:r>
          </w:p>
        </w:tc>
      </w:tr>
      <w:tr>
        <w:tblPrEx>
          <w:tblCellMar>
            <w:top w:w="0" w:type="dxa"/>
            <w:left w:w="108" w:type="dxa"/>
            <w:bottom w:w="0" w:type="dxa"/>
            <w:right w:w="108" w:type="dxa"/>
          </w:tblCellMar>
        </w:tblPrEx>
        <w:trPr>
          <w:trHeight w:val="581"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所投产品必须支持基于用户的访问控制，可与LDAP/Radius/证书/Active Directory/TACACS+/POP3等用户认证系统联动。（投标文件需提供能够体现上述功能截图)</w:t>
            </w:r>
          </w:p>
        </w:tc>
      </w:tr>
      <w:tr>
        <w:tblPrEx>
          <w:tblCellMar>
            <w:top w:w="0" w:type="dxa"/>
            <w:left w:w="108" w:type="dxa"/>
            <w:bottom w:w="0" w:type="dxa"/>
            <w:right w:w="108" w:type="dxa"/>
          </w:tblCellMar>
        </w:tblPrEx>
        <w:trPr>
          <w:trHeight w:val="79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支持二层MAC地址IP地址绑定；支持跨三层MAC地址IP地址绑定。（投标文件需提供能够体现上述功能截图)</w:t>
            </w:r>
          </w:p>
        </w:tc>
      </w:tr>
      <w:tr>
        <w:tblPrEx>
          <w:tblCellMar>
            <w:top w:w="0" w:type="dxa"/>
            <w:left w:w="108" w:type="dxa"/>
            <w:bottom w:w="0" w:type="dxa"/>
            <w:right w:w="108" w:type="dxa"/>
          </w:tblCellMar>
        </w:tblPrEx>
        <w:trPr>
          <w:trHeight w:val="67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所投产品必须支持基于关键字的接收、发送或双向Email发件人、收件人过滤，并支持自定义RLB服务器地址配置，并可结合IP黑名单或白名单。</w:t>
            </w:r>
          </w:p>
        </w:tc>
      </w:tr>
      <w:tr>
        <w:tblPrEx>
          <w:tblCellMar>
            <w:top w:w="0" w:type="dxa"/>
            <w:left w:w="108" w:type="dxa"/>
            <w:bottom w:w="0" w:type="dxa"/>
            <w:right w:w="108" w:type="dxa"/>
          </w:tblCellMar>
        </w:tblPrEx>
        <w:trPr>
          <w:trHeight w:val="124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对应用的文件传输行为进行上传、下载、双向的文件类型过滤，应用至少包含即时通讯、常用协议、文件共享、论坛、博客、网页邮件五种分类。（投标文件需提供支持的应用分类和对应的设备配置截图）</w:t>
            </w:r>
          </w:p>
        </w:tc>
      </w:tr>
      <w:tr>
        <w:tblPrEx>
          <w:tblCellMar>
            <w:top w:w="0" w:type="dxa"/>
            <w:left w:w="108" w:type="dxa"/>
            <w:bottom w:w="0" w:type="dxa"/>
            <w:right w:w="108" w:type="dxa"/>
          </w:tblCellMar>
        </w:tblPrEx>
        <w:trPr>
          <w:trHeight w:val="9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上传、下载、双向的文件内容过滤；内容过滤支持手工及文件批量导入两种方式进行敏感信息定义；内容过滤至少支持html、doc、docx、xls、xlsx、ppt、pptx、chm、7z等30种常见文件类型；文件类型识别基于文件特征而非扩展名，更改文件扩展名后仍可有效识别。（投标文件需提供支持的文件类型，敏感信息定义方式及对应的设备配置截图）</w:t>
            </w:r>
          </w:p>
        </w:tc>
      </w:tr>
      <w:tr>
        <w:tblPrEx>
          <w:tblCellMar>
            <w:top w:w="0" w:type="dxa"/>
            <w:left w:w="108" w:type="dxa"/>
            <w:bottom w:w="0" w:type="dxa"/>
            <w:right w:w="108" w:type="dxa"/>
          </w:tblCellMar>
        </w:tblPrEx>
        <w:trPr>
          <w:trHeight w:val="64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所投产品必须支持共享上网检测功能，支持共享接入检测和共享接入管控功能，可以通过设置管控地址和例外地址优化管控功能，同时支持阻断或告警动作。（提供产品功能截图加盖厂商公章进行证明）</w:t>
            </w:r>
          </w:p>
        </w:tc>
      </w:tr>
      <w:tr>
        <w:tblPrEx>
          <w:tblCellMar>
            <w:top w:w="0" w:type="dxa"/>
            <w:left w:w="108" w:type="dxa"/>
            <w:bottom w:w="0" w:type="dxa"/>
            <w:right w:w="108" w:type="dxa"/>
          </w:tblCellMar>
        </w:tblPrEx>
        <w:trPr>
          <w:trHeight w:val="156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r>
              <w:rPr>
                <w:rFonts w:hint="eastAsia" w:asciiTheme="minorEastAsia" w:hAnsiTheme="minorEastAsia" w:cstheme="minorEastAsia"/>
                <w:sz w:val="24"/>
              </w:rPr>
              <w:t>攻击防护</w:t>
            </w: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所投产品支持基于不同安全区域防御SYN Flood、UDP  Flood、ICMP  Flood、IP  Flood、DNS Flood、HTTP Flood攻击，并支持警告、丢弃、普通防护（首包丢弃）、增强防护（TC反弹技术）、授权服务器防护（NS重定向）、普通防护（自动重定向）、增强防护（手工确认）等多种防护措施。（提供产品功能截图加盖厂商公章进行证明）</w:t>
            </w:r>
          </w:p>
        </w:tc>
      </w:tr>
      <w:tr>
        <w:tblPrEx>
          <w:tblCellMar>
            <w:top w:w="0" w:type="dxa"/>
            <w:left w:w="108" w:type="dxa"/>
            <w:bottom w:w="0" w:type="dxa"/>
            <w:right w:w="108" w:type="dxa"/>
          </w:tblCellMar>
        </w:tblPrEx>
        <w:trPr>
          <w:trHeight w:val="97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所投产品必须支持可配置阈值的基于安全域或基于二层接口局域网广播防护，防止局域网内广播和多播数据包泛滥。（提供产品功能截图加盖厂商公章进行证明）</w:t>
            </w:r>
          </w:p>
        </w:tc>
      </w:tr>
      <w:tr>
        <w:tblPrEx>
          <w:tblCellMar>
            <w:top w:w="0" w:type="dxa"/>
            <w:left w:w="108" w:type="dxa"/>
            <w:bottom w:w="0" w:type="dxa"/>
            <w:right w:w="108" w:type="dxa"/>
          </w:tblCellMar>
        </w:tblPrEx>
        <w:trPr>
          <w:trHeight w:val="583"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所投产品必须支持DHCP协议防护；支持手动定义可信DHCP服务器IPv4和基于阈值限制DHCP请求传输速率。（提供产品功能截图加盖厂商公章进行证明）</w:t>
            </w:r>
          </w:p>
        </w:tc>
      </w:tr>
      <w:tr>
        <w:tblPrEx>
          <w:tblCellMar>
            <w:top w:w="0" w:type="dxa"/>
            <w:left w:w="108" w:type="dxa"/>
            <w:bottom w:w="0" w:type="dxa"/>
            <w:right w:w="108" w:type="dxa"/>
          </w:tblCellMar>
        </w:tblPrEx>
        <w:trPr>
          <w:trHeight w:val="9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所投产品必须能够对HTTP/FTP/POP3/SMTP/IMAP/SMB六种协议进行病毒查杀；本地病毒库规模大于3000万</w:t>
            </w:r>
          </w:p>
        </w:tc>
      </w:tr>
      <w:tr>
        <w:tblPrEx>
          <w:tblCellMar>
            <w:top w:w="0" w:type="dxa"/>
            <w:left w:w="108" w:type="dxa"/>
            <w:bottom w:w="0" w:type="dxa"/>
            <w:right w:w="108" w:type="dxa"/>
          </w:tblCellMar>
        </w:tblPrEx>
        <w:trPr>
          <w:trHeight w:val="66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所投产品必须支持基于MD5的自定义病毒签名；支持设置例外特征，对特定的病毒特征不进行查杀。（提供产品功能截图加盖厂商公章进行证明）</w:t>
            </w:r>
          </w:p>
        </w:tc>
      </w:tr>
      <w:tr>
        <w:tblPrEx>
          <w:tblCellMar>
            <w:top w:w="0" w:type="dxa"/>
            <w:left w:w="108" w:type="dxa"/>
            <w:bottom w:w="0" w:type="dxa"/>
            <w:right w:w="108" w:type="dxa"/>
          </w:tblCellMar>
        </w:tblPrEx>
        <w:trPr>
          <w:trHeight w:val="312"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p>
        </w:tc>
      </w:tr>
      <w:tr>
        <w:tblPrEx>
          <w:tblCellMar>
            <w:top w:w="0" w:type="dxa"/>
            <w:left w:w="108" w:type="dxa"/>
            <w:bottom w:w="0" w:type="dxa"/>
            <w:right w:w="108" w:type="dxa"/>
          </w:tblCellMar>
        </w:tblPrEx>
        <w:trPr>
          <w:trHeight w:val="201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漏洞防护功能，同时将漏洞防护特征库分类，至少包括缓冲区溢出、跨站脚本、拒绝服务、恶意扫描、SQL注入、WEB攻击等六种分类；漏洞防护支持日志、阻断、放行、重置等执行动作,可批量设置针对某一分类或全部攻击签名的执行动作；支持基于FTP、HTTP、IMAP、OTHER_APP、POP3、SMB、SMTP等应用协议的漏洞防护。（投标文件需要提供能够体现漏洞防护特征库分类信息、支持的执行动作以及支持的应用协议的截图）</w:t>
            </w:r>
          </w:p>
        </w:tc>
      </w:tr>
      <w:tr>
        <w:tblPrEx>
          <w:tblCellMar>
            <w:top w:w="0" w:type="dxa"/>
            <w:left w:w="108" w:type="dxa"/>
            <w:bottom w:w="0" w:type="dxa"/>
            <w:right w:w="108" w:type="dxa"/>
          </w:tblCellMar>
        </w:tblPrEx>
        <w:trPr>
          <w:trHeight w:val="133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在设备漏洞防护特征库直接查阅攻击的名称、CVEID、CNNVDID、CWEID、严重性、影响的平台、类型、描述、解决方案建议等详细信息。（投标文件需要提供能够在设备上显示以上内容详细信息的截图）</w:t>
            </w:r>
          </w:p>
        </w:tc>
      </w:tr>
      <w:tr>
        <w:tblPrEx>
          <w:tblCellMar>
            <w:top w:w="0" w:type="dxa"/>
            <w:left w:w="108" w:type="dxa"/>
            <w:bottom w:w="0" w:type="dxa"/>
            <w:right w:w="108" w:type="dxa"/>
          </w:tblCellMar>
        </w:tblPrEx>
        <w:trPr>
          <w:trHeight w:val="165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的漏洞防护特征库及间谍软件库包含高危漏洞攻击特征，至少包括“永恒之蓝”、“震网三代”、“暗云3”、“Struts”、“Struts2”、“Xshell后门代码”以及对应的攻击的名称、CVEID、CNNVDID、CWEID、严重性、影响的平台、类型、描述、解决方案建议等（CVEID、CNNDID、CWEID等信息在漏洞攻击特征中体现）详细信息。（投标文件需要提供设备包含上述所有高危漏洞攻击的特征及对应详细信息的截图）</w:t>
            </w:r>
          </w:p>
        </w:tc>
      </w:tr>
      <w:tr>
        <w:tblPrEx>
          <w:tblCellMar>
            <w:top w:w="0" w:type="dxa"/>
            <w:left w:w="108" w:type="dxa"/>
            <w:bottom w:w="0" w:type="dxa"/>
            <w:right w:w="108" w:type="dxa"/>
          </w:tblCellMar>
        </w:tblPrEx>
        <w:trPr>
          <w:trHeight w:val="39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自定义TCP、UDP、HTTP协议的漏洞特征，漏洞特征可通过多个字段以文本或正则表达式的形式进行有序和无序匹配，并可自定义漏洞的源、目的端口范围；同时可标识自定义漏洞的CVE编号或CNNVD编号。（提供产品功能截图加盖厂商公章进行证明）</w:t>
            </w:r>
          </w:p>
        </w:tc>
      </w:tr>
      <w:tr>
        <w:tblPrEx>
          <w:tblCellMar>
            <w:top w:w="0" w:type="dxa"/>
            <w:left w:w="108" w:type="dxa"/>
            <w:bottom w:w="0" w:type="dxa"/>
            <w:right w:w="108" w:type="dxa"/>
          </w:tblCellMar>
        </w:tblPrEx>
        <w:trPr>
          <w:trHeight w:val="123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自定义基于TCP、UDP、HTTP协议的间谍软件特征。间谍软件特征可通过多个字段以文本或正则表达式的形式进行有序和无序匹配；并可自定义间谍软件的源、目的端口范围。（提供产品功能截图加盖厂商公章进行证明）</w:t>
            </w:r>
          </w:p>
        </w:tc>
      </w:tr>
      <w:tr>
        <w:tblPrEx>
          <w:tblCellMar>
            <w:top w:w="0" w:type="dxa"/>
            <w:left w:w="108" w:type="dxa"/>
            <w:bottom w:w="0" w:type="dxa"/>
            <w:right w:w="108" w:type="dxa"/>
          </w:tblCellMar>
        </w:tblPrEx>
        <w:trPr>
          <w:trHeight w:val="133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IPv4和IPv6流量的HTTPS、POP3S、SMTPS、IMAPS协议进行解密，支持配置基于源安全域、目的安全域、源地址、目的地址、SSL协议服务的解密策略，动作可以设置解密或不解密，并可基于安全域、IPv4和IPv6地址进行例外设置，同时支持将解密后流量镜像到其他设备进行分析统计。（提供产品功能截图加盖厂商公章进行证明）</w:t>
            </w:r>
          </w:p>
        </w:tc>
      </w:tr>
      <w:tr>
        <w:tblPrEx>
          <w:tblCellMar>
            <w:top w:w="0" w:type="dxa"/>
            <w:left w:w="108" w:type="dxa"/>
            <w:bottom w:w="0" w:type="dxa"/>
            <w:right w:w="108" w:type="dxa"/>
          </w:tblCellMar>
        </w:tblPrEx>
        <w:trPr>
          <w:trHeight w:val="123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IPv4和IPv6流量的蜜罐引流策略，支持配置基于源安全域、目的安全域、源地址、目的地址、服务、VLAN的引流策略，并支持强制导流，能够通过设置服务器和端口进行引流。（提供产品功能截图加盖厂商公章进行证明）</w:t>
            </w:r>
          </w:p>
        </w:tc>
      </w:tr>
      <w:tr>
        <w:tblPrEx>
          <w:tblCellMar>
            <w:top w:w="0" w:type="dxa"/>
            <w:left w:w="108" w:type="dxa"/>
            <w:bottom w:w="0" w:type="dxa"/>
            <w:right w:w="108" w:type="dxa"/>
          </w:tblCellMar>
        </w:tblPrEx>
        <w:trPr>
          <w:trHeight w:val="106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所投产品必须支持威胁引流功能，威胁引流可以通过开关设置是否开启，通过添加蜜罐地址实现引流，同时支持添加例外域名，做到精细化引流管控。（提供产品功能截图加盖厂商公章进行证明）</w:t>
            </w:r>
          </w:p>
        </w:tc>
      </w:tr>
      <w:tr>
        <w:tblPrEx>
          <w:tblCellMar>
            <w:top w:w="0" w:type="dxa"/>
            <w:left w:w="108" w:type="dxa"/>
            <w:bottom w:w="0" w:type="dxa"/>
            <w:right w:w="108" w:type="dxa"/>
          </w:tblCellMar>
        </w:tblPrEx>
        <w:trPr>
          <w:trHeight w:val="576"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r>
              <w:rPr>
                <w:rFonts w:hint="eastAsia" w:asciiTheme="minorEastAsia" w:hAnsiTheme="minorEastAsia" w:cstheme="minorEastAsia"/>
                <w:sz w:val="24"/>
              </w:rPr>
              <w:t>VPN</w:t>
            </w: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r>
              <w:rPr>
                <w:rFonts w:hint="eastAsia" w:asciiTheme="minorEastAsia" w:hAnsiTheme="minorEastAsia" w:cstheme="minorEastAsia"/>
                <w:sz w:val="24"/>
              </w:rPr>
              <w:t>所投产品必须支持L2TP、支持L2TP over IPSec、支持PPTP ，并支持本地认证以及LDAP/Radius/证书/Active Directory/TACACS+/POP3等第三方用户认证系统。支持客户端地址分配。（提供产品功能截图加盖厂商公章进行证明）</w:t>
            </w:r>
          </w:p>
        </w:tc>
      </w:tr>
      <w:tr>
        <w:tblPrEx>
          <w:tblCellMar>
            <w:top w:w="0" w:type="dxa"/>
            <w:left w:w="108" w:type="dxa"/>
            <w:bottom w:w="0" w:type="dxa"/>
            <w:right w:w="108" w:type="dxa"/>
          </w:tblCellMar>
        </w:tblPrEx>
        <w:trPr>
          <w:trHeight w:val="172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所投产品必须支持SSL VPN，支持使用SSL VPN客户端与防火墙建立SSL VPN加密隧道，支持对远程用户进行口令认证或证书认证，或证书认证+口令认证双因素；口令认证支持本地认证以及LDAP/Radius/证书/Active Directory/TACACS+/POP3等第三方用户认证系统；支持USB-key证书；支持本地CA并可为SSL VPN客户端颁发用于身份认证的证书。（提供产品功能截图加盖厂商公章进行证明）</w:t>
            </w:r>
          </w:p>
        </w:tc>
      </w:tr>
      <w:tr>
        <w:tblPrEx>
          <w:tblCellMar>
            <w:top w:w="0" w:type="dxa"/>
            <w:left w:w="108" w:type="dxa"/>
            <w:bottom w:w="0" w:type="dxa"/>
            <w:right w:w="108" w:type="dxa"/>
          </w:tblCellMar>
        </w:tblPrEx>
        <w:trPr>
          <w:trHeight w:val="147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r>
              <w:rPr>
                <w:rFonts w:hint="eastAsia" w:asciiTheme="minorEastAsia" w:hAnsiTheme="minorEastAsia" w:cstheme="minorEastAsia"/>
                <w:sz w:val="24"/>
              </w:rPr>
              <w:t>安全管理</w:t>
            </w: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基于主机或威胁情报视图，统计网络中确认被入侵、攻破的主机数量，至少可查看被入侵、攻破的时间、威胁类别、情报来源、威胁简介、被入侵、攻破的主机IP、用户名、资产等信息；并对威胁情报发现的恶意主机执行自动阻断。（投标文件需提供能够体现被入侵、攻破的主机状态的截图）</w:t>
            </w:r>
          </w:p>
        </w:tc>
      </w:tr>
      <w:tr>
        <w:tblPrEx>
          <w:tblCellMar>
            <w:top w:w="0" w:type="dxa"/>
            <w:left w:w="108" w:type="dxa"/>
            <w:bottom w:w="0" w:type="dxa"/>
            <w:right w:w="108" w:type="dxa"/>
          </w:tblCellMar>
        </w:tblPrEx>
        <w:trPr>
          <w:trHeight w:val="1202"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基于主机或威胁情报视图，统计网络中存在安全风险的主机数量以及对应的风险等级，至少可查看遭遇风险的时间、威胁类别、情报来源、威胁简介、失陷主机IP、用户名、资产等信息。（投标文件需提供能够体现存在安全风险的主机数量以及对应风险等级的截图）</w:t>
            </w:r>
          </w:p>
        </w:tc>
      </w:tr>
      <w:tr>
        <w:tblPrEx>
          <w:tblCellMar>
            <w:top w:w="0" w:type="dxa"/>
            <w:left w:w="108" w:type="dxa"/>
            <w:bottom w:w="0" w:type="dxa"/>
            <w:right w:w="108" w:type="dxa"/>
          </w:tblCellMar>
        </w:tblPrEx>
        <w:trPr>
          <w:trHeight w:val="105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所投产品必须支持统计网络内威胁事件的数量及对应的风险等级；支持一键跳转查看详情并自动显示关联日志；可基于网络连接、应用名称、威胁事件处置威胁事件。（投标文件需提供能够体现以上功能的截图）</w:t>
            </w:r>
          </w:p>
        </w:tc>
      </w:tr>
      <w:tr>
        <w:tblPrEx>
          <w:tblCellMar>
            <w:top w:w="0" w:type="dxa"/>
            <w:left w:w="108" w:type="dxa"/>
            <w:bottom w:w="0" w:type="dxa"/>
            <w:right w:w="108" w:type="dxa"/>
          </w:tblCellMar>
        </w:tblPrEx>
        <w:trPr>
          <w:trHeight w:val="105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用户自定义重点URL分类和应用，并可基于定义的重点关注对象进行用户维度关联，并结合分析中心进行基于关联的用户/地址、URL分类、应用进行二次递进式深度分析，挖掘异常用户及异常网络行为。（投标文件需提供能够体现以上功能的设备截图）</w:t>
            </w:r>
          </w:p>
        </w:tc>
      </w:tr>
      <w:tr>
        <w:tblPrEx>
          <w:tblCellMar>
            <w:top w:w="0" w:type="dxa"/>
            <w:left w:w="108" w:type="dxa"/>
            <w:bottom w:w="0" w:type="dxa"/>
            <w:right w:w="108" w:type="dxa"/>
          </w:tblCellMar>
        </w:tblPrEx>
        <w:trPr>
          <w:trHeight w:val="99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所投设备必须提供关联分析面板，可将Top应用、Top威胁、Top URL分类、Top源地址、Top目的地址等信息关联，并支持以任意元素于为过滤条件且不少于35个维度进行数据钻取。(投标文件需提供包含上述信息的关联分析面板截图)</w:t>
            </w:r>
          </w:p>
        </w:tc>
      </w:tr>
      <w:tr>
        <w:tblPrEx>
          <w:tblCellMar>
            <w:top w:w="0" w:type="dxa"/>
            <w:left w:w="108" w:type="dxa"/>
            <w:bottom w:w="0" w:type="dxa"/>
            <w:right w:w="108" w:type="dxa"/>
          </w:tblCellMar>
        </w:tblPrEx>
        <w:trPr>
          <w:trHeight w:val="66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所投设备必须支持基于网络活动，威胁活动、阻止活动等多维关联统计及分析，发现异常行为。(投标文件需提供包含上述信息的多维关联分析面板截图)</w:t>
            </w:r>
          </w:p>
        </w:tc>
      </w:tr>
      <w:tr>
        <w:tblPrEx>
          <w:tblCellMar>
            <w:top w:w="0" w:type="dxa"/>
            <w:left w:w="108" w:type="dxa"/>
            <w:bottom w:w="0" w:type="dxa"/>
            <w:right w:w="108" w:type="dxa"/>
          </w:tblCellMar>
        </w:tblPrEx>
        <w:trPr>
          <w:trHeight w:val="99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所投设备必须提供关联的威胁事件日志，系统可自动将产生威胁事件的连接经过防病毒、防漏洞、防间谍软件、URL过滤、文件过滤等安全模块检查的日志集中显示。(投标文件需提供关联的威胁事件日志的截图)</w:t>
            </w:r>
          </w:p>
        </w:tc>
      </w:tr>
      <w:tr>
        <w:tblPrEx>
          <w:tblCellMar>
            <w:top w:w="0" w:type="dxa"/>
            <w:left w:w="108" w:type="dxa"/>
            <w:bottom w:w="0" w:type="dxa"/>
            <w:right w:w="108" w:type="dxa"/>
          </w:tblCellMar>
        </w:tblPrEx>
        <w:trPr>
          <w:trHeight w:val="133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设备必须支持自定义一个或多个过滤条件，防火墙上的全部日志进行模糊检索或指定条件的精确检索，快速定位特定目标当前行为是否存在异常，网络中是否存在异常等问题，并可记录一个或者多个自定义过滤条件历史。(投标文件需要提供能够体现上述功能及配置选项的截图)</w:t>
            </w:r>
          </w:p>
        </w:tc>
      </w:tr>
      <w:tr>
        <w:tblPrEx>
          <w:tblCellMar>
            <w:top w:w="0" w:type="dxa"/>
            <w:left w:w="108" w:type="dxa"/>
            <w:bottom w:w="0" w:type="dxa"/>
            <w:right w:w="108" w:type="dxa"/>
          </w:tblCellMar>
        </w:tblPrEx>
        <w:trPr>
          <w:trHeight w:val="78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所投设备可在单条策略中启用病毒防护、入侵防御、网址过滤、文件过滤、文件内容过滤、终端过滤等安全功能选项。(投标文件需提供在单条策略中启用安全功能选项的截图)</w:t>
            </w:r>
          </w:p>
        </w:tc>
      </w:tr>
      <w:tr>
        <w:tblPrEx>
          <w:tblCellMar>
            <w:top w:w="0" w:type="dxa"/>
            <w:left w:w="108" w:type="dxa"/>
            <w:bottom w:w="0" w:type="dxa"/>
            <w:right w:w="108" w:type="dxa"/>
          </w:tblCellMar>
        </w:tblPrEx>
        <w:trPr>
          <w:trHeight w:val="78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所投设备必须支持安全策略的快速检索及基于名称、地址、端口、协议多维度的高级策略检索，支持策略的复制、调序、查询。</w:t>
            </w:r>
          </w:p>
        </w:tc>
      </w:tr>
      <w:tr>
        <w:tblPrEx>
          <w:tblCellMar>
            <w:top w:w="0" w:type="dxa"/>
            <w:left w:w="108" w:type="dxa"/>
            <w:bottom w:w="0" w:type="dxa"/>
            <w:right w:w="108" w:type="dxa"/>
          </w:tblCellMar>
        </w:tblPrEx>
        <w:trPr>
          <w:trHeight w:val="99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所投产品必须支持基于受害主机的一键式阻断链接、记录日志等处置动作，处置周期至少包括1天、7天、30天、90天、永久等。(投标文件需提供能够体现上述功能及配置选项的截图)</w:t>
            </w:r>
          </w:p>
        </w:tc>
      </w:tr>
      <w:tr>
        <w:tblPrEx>
          <w:tblCellMar>
            <w:top w:w="0" w:type="dxa"/>
            <w:left w:w="108" w:type="dxa"/>
            <w:bottom w:w="0" w:type="dxa"/>
            <w:right w:w="108" w:type="dxa"/>
          </w:tblCellMar>
        </w:tblPrEx>
        <w:trPr>
          <w:trHeight w:val="118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接收针对突发重大安全事件的“应急响应消息”，并至少在界面显示安全事件名称、类型、当前防护状态、处置状态以及相应的操作等信息；并可根据设备安全配置的变化动态显示应急响应的处理结果。（提供产品功能截图加盖厂商公章进行证明）</w:t>
            </w:r>
          </w:p>
        </w:tc>
      </w:tr>
      <w:tr>
        <w:tblPrEx>
          <w:tblCellMar>
            <w:top w:w="0" w:type="dxa"/>
            <w:left w:w="108" w:type="dxa"/>
            <w:bottom w:w="0" w:type="dxa"/>
            <w:right w:w="108" w:type="dxa"/>
          </w:tblCellMar>
        </w:tblPrEx>
        <w:trPr>
          <w:trHeight w:val="58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所投产品必须支持针对“应急响应消息”的手动或自动处置，处置方法至少包括基于漏洞的处置和基于威胁情报的处置。（提供产品功能截图加盖厂商公章进行证明）</w:t>
            </w:r>
          </w:p>
        </w:tc>
      </w:tr>
      <w:tr>
        <w:tblPrEx>
          <w:tblCellMar>
            <w:top w:w="0" w:type="dxa"/>
            <w:left w:w="108" w:type="dxa"/>
            <w:bottom w:w="0" w:type="dxa"/>
            <w:right w:w="108" w:type="dxa"/>
          </w:tblCellMar>
        </w:tblPrEx>
        <w:trPr>
          <w:trHeight w:val="238"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所投产品必须支持加密的WebUI和CLI管理，且支持网页命令行管理（WebUI中内嵌CLI管理界面），投标文件需提供WebUI内嵌CLI管理界面的设备截图。</w:t>
            </w:r>
          </w:p>
        </w:tc>
      </w:tr>
      <w:tr>
        <w:tblPrEx>
          <w:tblCellMar>
            <w:top w:w="0" w:type="dxa"/>
            <w:left w:w="108" w:type="dxa"/>
            <w:bottom w:w="0" w:type="dxa"/>
            <w:right w:w="108" w:type="dxa"/>
          </w:tblCellMar>
        </w:tblPrEx>
        <w:trPr>
          <w:trHeight w:val="157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所投产品必须支持将告警信息以SNMP Trap、邮件、声音、短信等形式通知管理员，告警信息的范围至少包括配置变更、病毒事件、攻击事件、异常事件、失陷主机告警、并发数告警、CPU利用率、内存利用率、硬盘利用率、接口带宽利用率、NAT端口池利用率等。（提供产品功能截图加盖厂商公章进行证明）</w:t>
            </w:r>
          </w:p>
        </w:tc>
      </w:tr>
      <w:tr>
        <w:tblPrEx>
          <w:tblCellMar>
            <w:top w:w="0" w:type="dxa"/>
            <w:left w:w="108" w:type="dxa"/>
            <w:bottom w:w="0" w:type="dxa"/>
            <w:right w:w="108" w:type="dxa"/>
          </w:tblCellMar>
        </w:tblPrEx>
        <w:trPr>
          <w:trHeight w:val="150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将不同设备模块产生的不同重要性的日志发送至不同的日志服务器，设备模块至少包括配置、时间、流量、URL过滤、内容过滤、邮件过滤、行为、威胁等，重要性等级至少包括紧急、警报、严重、错误、告警、通知、信息、调试八种。（提供产品功能截图加盖厂商公章进行证明）</w:t>
            </w:r>
          </w:p>
        </w:tc>
      </w:tr>
      <w:tr>
        <w:tblPrEx>
          <w:tblCellMar>
            <w:top w:w="0" w:type="dxa"/>
            <w:left w:w="108" w:type="dxa"/>
            <w:bottom w:w="0" w:type="dxa"/>
            <w:right w:w="108" w:type="dxa"/>
          </w:tblCellMar>
        </w:tblPrEx>
        <w:trPr>
          <w:trHeight w:val="9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所投产品必须支持IPS特征库、威胁情报库、应用识别库等数据库的实时更新或手动更新。（提供产品功能截图加盖厂商公章进行证明）</w:t>
            </w:r>
          </w:p>
        </w:tc>
      </w:tr>
      <w:tr>
        <w:tblPrEx>
          <w:tblCellMar>
            <w:top w:w="0" w:type="dxa"/>
            <w:left w:w="108" w:type="dxa"/>
            <w:bottom w:w="0" w:type="dxa"/>
            <w:right w:w="108" w:type="dxa"/>
          </w:tblCellMar>
        </w:tblPrEx>
        <w:trPr>
          <w:trHeight w:val="198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所投产品必须提供可明文或加密方式调用的Restful API，并可指定Restful API使用的本地端口；为确保设备管理的安全性，所投产品必须支持限制特定主机调用Restful API（提供产品功能截图加盖厂商公章进行证明）支持定义第三方设备、平台通过调用Restful API 至少可配置所投设备的访问控制策略、源NAT策略、目的NAT策略、静态路由、高可用以及区域、地址、服务、时间、用户对象等。（投标文件必须提供所投产品的Restful API使用说明并加盖公司公章）</w:t>
            </w:r>
          </w:p>
        </w:tc>
      </w:tr>
      <w:tr>
        <w:tblPrEx>
          <w:tblCellMar>
            <w:top w:w="0" w:type="dxa"/>
            <w:left w:w="108" w:type="dxa"/>
            <w:bottom w:w="0" w:type="dxa"/>
            <w:right w:w="108" w:type="dxa"/>
          </w:tblCellMar>
        </w:tblPrEx>
        <w:trPr>
          <w:trHeight w:val="66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所投产品必须web页面必须内置抓包工具，并可通过表达式方便灵活的指定抓包过滤条件。（提供产品功能截图加盖厂商公章进行证明）</w:t>
            </w:r>
          </w:p>
        </w:tc>
      </w:tr>
      <w:tr>
        <w:tblPrEx>
          <w:tblCellMar>
            <w:top w:w="0" w:type="dxa"/>
            <w:left w:w="108" w:type="dxa"/>
            <w:bottom w:w="0" w:type="dxa"/>
            <w:right w:w="108" w:type="dxa"/>
          </w:tblCellMar>
        </w:tblPrEx>
        <w:trPr>
          <w:trHeight w:val="66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所投产品必须提供中英文双语管理界面，并在登录页面可选择Web页面使用的语言。（提供产品功能截图加盖厂商公章进行证明）</w:t>
            </w:r>
          </w:p>
        </w:tc>
      </w:tr>
      <w:tr>
        <w:tblPrEx>
          <w:tblCellMar>
            <w:top w:w="0" w:type="dxa"/>
            <w:left w:w="108" w:type="dxa"/>
            <w:bottom w:w="0" w:type="dxa"/>
            <w:right w:w="108" w:type="dxa"/>
          </w:tblCellMar>
        </w:tblPrEx>
        <w:trPr>
          <w:trHeight w:val="99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所投产品必须支持业务接口下Netflow功能，能够通过Netflow实现对网络进行监控，对接口流量进行抓包，并在可将Netflow抓包文件数据外发。（提供产品功能截图加盖厂商公章进行证明）</w:t>
            </w:r>
          </w:p>
        </w:tc>
      </w:tr>
      <w:tr>
        <w:tblPrEx>
          <w:tblCellMar>
            <w:top w:w="0" w:type="dxa"/>
            <w:left w:w="108" w:type="dxa"/>
            <w:bottom w:w="0" w:type="dxa"/>
            <w:right w:w="108" w:type="dxa"/>
          </w:tblCellMar>
        </w:tblPrEx>
        <w:trPr>
          <w:trHeight w:val="166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资产管理，能够通过设置资产监控、VPN、源安全域来控制资产识别范围，支持scanner或onvif类型的扫描方式和网段，实现自动或手动资产扫描；支持通过设置IP地址、MAC地址、资产类型、生效市场、厂商、位置等信息来制定黑/白名单，方便日常资产管理，支持通过设置IP地址、MAC地址、资产类型、操作系统、应用、开放的端口和访问的端口等信息来制定资产指纹库。（提供产品功能截图加盖厂商公章进行证明）</w:t>
            </w:r>
          </w:p>
        </w:tc>
      </w:tr>
      <w:tr>
        <w:tblPrEx>
          <w:tblCellMar>
            <w:top w:w="0" w:type="dxa"/>
            <w:left w:w="108" w:type="dxa"/>
            <w:bottom w:w="0" w:type="dxa"/>
            <w:right w:w="108" w:type="dxa"/>
          </w:tblCellMar>
        </w:tblPrEx>
        <w:trPr>
          <w:trHeight w:val="81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r>
              <w:rPr>
                <w:rFonts w:hint="eastAsia" w:asciiTheme="minorEastAsia" w:hAnsiTheme="minorEastAsia" w:cstheme="minorEastAsia"/>
                <w:sz w:val="24"/>
              </w:rPr>
              <w:t>协同防御</w:t>
            </w: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所投产品必须支持与云端联动，至少实现病毒云查杀、URL云识别、应用云识别、云沙箱、威胁情报云检测等功能。（提供产品功能截图加盖厂商公章进行证明）</w:t>
            </w:r>
          </w:p>
        </w:tc>
      </w:tr>
      <w:tr>
        <w:tblPrEx>
          <w:tblCellMar>
            <w:top w:w="0" w:type="dxa"/>
            <w:left w:w="108" w:type="dxa"/>
            <w:bottom w:w="0" w:type="dxa"/>
            <w:right w:w="108" w:type="dxa"/>
          </w:tblCellMar>
        </w:tblPrEx>
        <w:trPr>
          <w:trHeight w:val="13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作为轻量级“探针”与本方案中配置的网络威胁感知系统联动，上报网络活动产生的数据至网络威胁感知系统；并支持接收来自网络威胁感知系统推送的处置策略，及时拦截绕过防御措施产生的高级威胁。（提供产品功能截图加盖厂商公章进行证明）</w:t>
            </w:r>
          </w:p>
        </w:tc>
      </w:tr>
      <w:tr>
        <w:tblPrEx>
          <w:tblCellMar>
            <w:top w:w="0" w:type="dxa"/>
            <w:left w:w="108" w:type="dxa"/>
            <w:bottom w:w="0" w:type="dxa"/>
            <w:right w:w="108" w:type="dxa"/>
          </w:tblCellMar>
        </w:tblPrEx>
        <w:trPr>
          <w:trHeight w:val="99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作为轻量级“探针”与本方案中配置的NGSOC平台联动，上报网络活动产生的数据至NGSOC平台；并支持接收来自NGSOC平台推送的处置策略，及时拦截绕过防御措施产生的高级威胁。（提供产品功能截图加盖厂商公章进行证明）</w:t>
            </w:r>
          </w:p>
        </w:tc>
      </w:tr>
      <w:tr>
        <w:tblPrEx>
          <w:tblCellMar>
            <w:top w:w="0" w:type="dxa"/>
            <w:left w:w="108" w:type="dxa"/>
            <w:bottom w:w="0" w:type="dxa"/>
            <w:right w:w="108" w:type="dxa"/>
          </w:tblCellMar>
        </w:tblPrEx>
        <w:trPr>
          <w:trHeight w:val="99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与本方案中配置的桌面杀毒或终端管理软件联动，实现基于终端健康状态的访问控制；并支持阻断“高风险”终端网络活动的同时，提示被阻断原因及重定向自定义网址。（提供产品功能截图加盖厂商公章进行证明）</w:t>
            </w:r>
          </w:p>
        </w:tc>
      </w:tr>
      <w:tr>
        <w:tblPrEx>
          <w:tblCellMar>
            <w:top w:w="0" w:type="dxa"/>
            <w:left w:w="108" w:type="dxa"/>
            <w:bottom w:w="0" w:type="dxa"/>
            <w:right w:w="108" w:type="dxa"/>
          </w:tblCellMar>
        </w:tblPrEx>
        <w:trPr>
          <w:trHeight w:val="104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集中管理平台支持安全策略下发、设备统一监控、日志管理、告警管理、报表管理等功能，提供产品截图并提供权威测试机构检测报告。（投标文件需要提供能够体现上述功能的截图以及对应的检测报告）</w:t>
            </w:r>
          </w:p>
        </w:tc>
      </w:tr>
      <w:tr>
        <w:tblPrEx>
          <w:tblCellMar>
            <w:top w:w="0" w:type="dxa"/>
            <w:left w:w="108" w:type="dxa"/>
            <w:bottom w:w="0" w:type="dxa"/>
            <w:right w:w="108" w:type="dxa"/>
          </w:tblCellMar>
        </w:tblPrEx>
        <w:trPr>
          <w:trHeight w:val="90" w:hRule="atLeast"/>
        </w:trPr>
        <w:tc>
          <w:tcPr>
            <w:tcW w:w="129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sz w:val="24"/>
              </w:rPr>
            </w:pPr>
          </w:p>
        </w:tc>
        <w:tc>
          <w:tcPr>
            <w:tcW w:w="731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所投产品必须支持与本地以及云端沙箱联动，检测文件中携带的未知威胁，并接受沙箱下发的处置策略。（提供产品功能截图加盖厂商公章进行证明）</w:t>
            </w:r>
          </w:p>
        </w:tc>
      </w:tr>
      <w:tr>
        <w:tblPrEx>
          <w:tblCellMar>
            <w:top w:w="0" w:type="dxa"/>
            <w:left w:w="108" w:type="dxa"/>
            <w:bottom w:w="0" w:type="dxa"/>
            <w:right w:w="108" w:type="dxa"/>
          </w:tblCellMar>
        </w:tblPrEx>
        <w:trPr>
          <w:trHeight w:val="660" w:hRule="atLeast"/>
        </w:trPr>
        <w:tc>
          <w:tcPr>
            <w:tcW w:w="1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sz w:val="24"/>
              </w:rPr>
            </w:pPr>
            <w:r>
              <w:rPr>
                <w:rFonts w:hint="eastAsia" w:asciiTheme="minorEastAsia" w:hAnsiTheme="minorEastAsia" w:cstheme="minorEastAsia"/>
                <w:sz w:val="24"/>
              </w:rPr>
              <w:t>资质要求</w:t>
            </w:r>
          </w:p>
        </w:tc>
        <w:tc>
          <w:tcPr>
            <w:tcW w:w="7310"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inorEastAsia"/>
                <w:sz w:val="24"/>
              </w:rPr>
            </w:pPr>
            <w:r>
              <w:rPr>
                <w:rFonts w:hint="eastAsia" w:asciiTheme="minorEastAsia" w:hAnsiTheme="minorEastAsia" w:cstheme="minorEastAsia"/>
                <w:sz w:val="24"/>
              </w:rPr>
              <w:t>所投产品具备公安部网络安全保卫局颁发的《计算机信息系统安全专用产品销售许可证》。</w:t>
            </w:r>
          </w:p>
        </w:tc>
      </w:tr>
      <w:tr>
        <w:tblPrEx>
          <w:tblCellMar>
            <w:top w:w="0" w:type="dxa"/>
            <w:left w:w="108" w:type="dxa"/>
            <w:bottom w:w="0" w:type="dxa"/>
            <w:right w:w="108" w:type="dxa"/>
          </w:tblCellMar>
        </w:tblPrEx>
        <w:trPr>
          <w:trHeight w:val="290" w:hRule="atLeast"/>
        </w:trPr>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cstheme="minorEastAsia"/>
                <w:sz w:val="24"/>
              </w:rPr>
            </w:pPr>
          </w:p>
        </w:tc>
        <w:tc>
          <w:tcPr>
            <w:tcW w:w="7310"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inorEastAsia"/>
                <w:sz w:val="24"/>
              </w:rPr>
            </w:pPr>
            <w:r>
              <w:rPr>
                <w:rFonts w:hint="eastAsia" w:asciiTheme="minorEastAsia" w:hAnsiTheme="minorEastAsia" w:cstheme="minorEastAsia"/>
                <w:sz w:val="24"/>
              </w:rPr>
              <w:t>所投产品具备国家信息安全测评中心颁发的《信息技术产品安全测评证书》。</w:t>
            </w:r>
          </w:p>
        </w:tc>
      </w:tr>
      <w:tr>
        <w:tblPrEx>
          <w:tblCellMar>
            <w:top w:w="0" w:type="dxa"/>
            <w:left w:w="108" w:type="dxa"/>
            <w:bottom w:w="0" w:type="dxa"/>
            <w:right w:w="108" w:type="dxa"/>
          </w:tblCellMar>
        </w:tblPrEx>
        <w:trPr>
          <w:trHeight w:val="90" w:hRule="atLeast"/>
        </w:trPr>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cstheme="minorEastAsia"/>
                <w:sz w:val="24"/>
              </w:rPr>
            </w:pPr>
          </w:p>
        </w:tc>
        <w:tc>
          <w:tcPr>
            <w:tcW w:w="7310"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inorEastAsia"/>
                <w:sz w:val="24"/>
              </w:rPr>
            </w:pPr>
            <w:r>
              <w:rPr>
                <w:rFonts w:hint="eastAsia" w:asciiTheme="minorEastAsia" w:hAnsiTheme="minorEastAsia" w:cstheme="minorEastAsia"/>
                <w:sz w:val="24"/>
              </w:rPr>
              <w:t>所投产品具备《计算机软件著作权登记证书》。</w:t>
            </w:r>
          </w:p>
        </w:tc>
      </w:tr>
      <w:tr>
        <w:tblPrEx>
          <w:tblCellMar>
            <w:top w:w="0" w:type="dxa"/>
            <w:left w:w="108" w:type="dxa"/>
            <w:bottom w:w="0" w:type="dxa"/>
            <w:right w:w="108" w:type="dxa"/>
          </w:tblCellMar>
        </w:tblPrEx>
        <w:trPr>
          <w:trHeight w:val="90" w:hRule="atLeast"/>
        </w:trPr>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cstheme="minorEastAsia"/>
                <w:sz w:val="24"/>
              </w:rPr>
            </w:pPr>
          </w:p>
        </w:tc>
        <w:tc>
          <w:tcPr>
            <w:tcW w:w="73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具备《中国国家信息安全产品认证证书》。</w:t>
            </w:r>
          </w:p>
        </w:tc>
      </w:tr>
      <w:tr>
        <w:tblPrEx>
          <w:tblCellMar>
            <w:top w:w="0" w:type="dxa"/>
            <w:left w:w="108" w:type="dxa"/>
            <w:bottom w:w="0" w:type="dxa"/>
            <w:right w:w="108" w:type="dxa"/>
          </w:tblCellMar>
        </w:tblPrEx>
        <w:trPr>
          <w:trHeight w:val="90" w:hRule="atLeast"/>
        </w:trPr>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cstheme="minorEastAsia"/>
                <w:sz w:val="24"/>
              </w:rPr>
            </w:pPr>
          </w:p>
        </w:tc>
        <w:tc>
          <w:tcPr>
            <w:tcW w:w="73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cstheme="minorEastAsia"/>
                <w:sz w:val="24"/>
              </w:rPr>
            </w:pPr>
            <w:r>
              <w:rPr>
                <w:rFonts w:hint="eastAsia" w:asciiTheme="minorEastAsia" w:hAnsiTheme="minorEastAsia" w:cstheme="minorEastAsia"/>
                <w:sz w:val="24"/>
              </w:rPr>
              <w:t>具备中国信息安全测评中心颁发的《国家信息安全漏洞库兼容性资质证书》。</w:t>
            </w:r>
          </w:p>
        </w:tc>
      </w:tr>
    </w:tbl>
    <w:p>
      <w:pPr>
        <w:rPr>
          <w:sz w:val="15"/>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5F4A2"/>
    <w:multiLevelType w:val="singleLevel"/>
    <w:tmpl w:val="1365F4A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N2Y5ZjllODNlMmUzNjEwYTk4NTg3MGNhZDkxM2EifQ=="/>
  </w:docVars>
  <w:rsids>
    <w:rsidRoot w:val="00493868"/>
    <w:rsid w:val="00493868"/>
    <w:rsid w:val="00511DE4"/>
    <w:rsid w:val="00540826"/>
    <w:rsid w:val="00A233D3"/>
    <w:rsid w:val="123A08C9"/>
    <w:rsid w:val="349667E8"/>
    <w:rsid w:val="393456B6"/>
    <w:rsid w:val="505B7B68"/>
    <w:rsid w:val="777A487A"/>
    <w:rsid w:val="78532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10456</Words>
  <Characters>11925</Characters>
  <Lines>88</Lines>
  <Paragraphs>24</Paragraphs>
  <TotalTime>7</TotalTime>
  <ScaleCrop>false</ScaleCrop>
  <LinksUpToDate>false</LinksUpToDate>
  <CharactersWithSpaces>11974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2022-08-12T10:46:00Z</dcterms:created>
  <dc:creator>Administrator</dc:creator>
  <cp:lastModifiedBy>天使之爱</cp:lastModifiedBy>
  <dcterms:modified xsi:type="dcterms:W3CDTF">2022-08-12T10:56:09Z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4A0A583280824753BE3BB32229F9D078</vt:lpwstr>
  </property>
</Properties>
</file>