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color w:val="558ED5" w:themeColor="text2" w:themeTint="99"/>
          <w:sz w:val="44"/>
          <w:szCs w:val="44"/>
          <w14:textFill>
            <w14:solidFill>
              <w14:schemeClr w14:val="tx2">
                <w14:lumMod w14:val="60000"/>
                <w14:lumOff w14:val="40000"/>
              </w14:schemeClr>
            </w14:solidFill>
          </w14:textFill>
        </w:rPr>
      </w:pPr>
      <w:r>
        <w:rPr>
          <w:rFonts w:ascii="黑体" w:hAnsi="黑体" w:eastAsia="黑体"/>
          <w:sz w:val="44"/>
          <w:szCs w:val="44"/>
        </w:rPr>
        <w:drawing>
          <wp:anchor distT="0" distB="0" distL="114300" distR="114300" simplePos="0" relativeHeight="251663360" behindDoc="0" locked="0" layoutInCell="1" allowOverlap="1">
            <wp:simplePos x="0" y="0"/>
            <wp:positionH relativeFrom="page">
              <wp:align>right</wp:align>
            </wp:positionH>
            <wp:positionV relativeFrom="page">
              <wp:align>top</wp:align>
            </wp:positionV>
            <wp:extent cx="7563485" cy="122682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extLst>
                        <a:ext uri="{28A0092B-C50C-407E-A947-70E740481C1C}">
                          <a14:useLocalDpi xmlns:a14="http://schemas.microsoft.com/office/drawing/2010/main" val="0"/>
                        </a:ext>
                      </a:extLst>
                    </a:blip>
                    <a:srcRect l="21485" r="37371" b="30360"/>
                    <a:stretch>
                      <a:fillRect/>
                    </a:stretch>
                  </pic:blipFill>
                  <pic:spPr>
                    <a:xfrm flipH="1" flipV="1">
                      <a:off x="0" y="0"/>
                      <a:ext cx="7563301" cy="1226820"/>
                    </a:xfrm>
                    <a:prstGeom prst="rect">
                      <a:avLst/>
                    </a:prstGeom>
                    <a:ln>
                      <a:noFill/>
                    </a:ln>
                  </pic:spPr>
                </pic:pic>
              </a:graphicData>
            </a:graphic>
          </wp:anchor>
        </w:drawing>
      </w:r>
      <w:bookmarkStart w:id="1" w:name="_GoBack"/>
      <w:bookmarkEnd w:id="1"/>
      <w:bookmarkStart w:id="0" w:name="_Hlk17895810"/>
      <w:r>
        <w:rPr>
          <w:rFonts w:hint="eastAsia" w:ascii="宋体" w:hAnsi="宋体" w:eastAsia="宋体"/>
          <w:b/>
          <w:color w:val="558ED5" w:themeColor="text2" w:themeTint="99"/>
          <w:sz w:val="44"/>
          <w:szCs w:val="44"/>
          <w14:textFill>
            <w14:solidFill>
              <w14:schemeClr w14:val="tx2">
                <w14:lumMod w14:val="60000"/>
                <w14:lumOff w14:val="40000"/>
              </w14:schemeClr>
            </w14:solidFill>
          </w14:textFill>
        </w:rPr>
        <w:t>深信服下一代防火墙产品彩页</w:t>
      </w:r>
    </w:p>
    <w:p>
      <w:pPr>
        <w:jc w:val="center"/>
        <w:rPr>
          <w:rFonts w:ascii="黑体" w:hAnsi="黑体" w:eastAsia="黑体"/>
          <w:b/>
          <w:color w:val="558ED5" w:themeColor="text2" w:themeTint="99"/>
          <w:sz w:val="28"/>
          <w:szCs w:val="28"/>
          <w14:textFill>
            <w14:solidFill>
              <w14:schemeClr w14:val="tx2">
                <w14:lumMod w14:val="60000"/>
                <w14:lumOff w14:val="40000"/>
              </w14:schemeClr>
            </w14:solidFill>
          </w14:textFill>
        </w:rPr>
      </w:pPr>
    </w:p>
    <w:bookmarkEnd w:id="0"/>
    <w:p>
      <w:pPr>
        <w:pStyle w:val="16"/>
        <w:ind w:firstLineChars="0"/>
        <w:rPr>
          <w:rFonts w:ascii="宋体" w:hAnsi="宋体" w:cs="Arial"/>
          <w:color w:val="000000" w:themeColor="text1"/>
          <w:sz w:val="21"/>
          <w:szCs w:val="21"/>
          <w14:textFill>
            <w14:solidFill>
              <w14:schemeClr w14:val="tx1"/>
            </w14:solidFill>
          </w14:textFill>
        </w:rPr>
      </w:pPr>
      <w:r>
        <w:rPr>
          <w:rFonts w:hint="eastAsia" w:cs="Arial" w:asciiTheme="minorEastAsia" w:hAnsiTheme="minorEastAsia"/>
          <w:sz w:val="21"/>
          <w:szCs w:val="21"/>
        </w:rPr>
        <w:drawing>
          <wp:anchor distT="0" distB="0" distL="114300" distR="114300" simplePos="0" relativeHeight="251664384" behindDoc="0" locked="0" layoutInCell="1" allowOverlap="1">
            <wp:simplePos x="0" y="0"/>
            <wp:positionH relativeFrom="column">
              <wp:posOffset>2476500</wp:posOffset>
            </wp:positionH>
            <wp:positionV relativeFrom="paragraph">
              <wp:posOffset>275590</wp:posOffset>
            </wp:positionV>
            <wp:extent cx="4174490" cy="1113155"/>
            <wp:effectExtent l="0" t="0" r="0" b="0"/>
            <wp:wrapSquare wrapText="bothSides"/>
            <wp:docPr id="1" name="图片 1" descr="D:\图标主题\图标\NG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图标主题\图标\NGAF1.jpg"/>
                    <pic:cNvPicPr>
                      <a:picLocks noChangeAspect="1" noChangeArrowheads="1"/>
                    </pic:cNvPicPr>
                  </pic:nvPicPr>
                  <pic:blipFill>
                    <a:blip r:embed="rId10" cstate="print">
                      <a:extLst>
                        <a:ext uri="{28A0092B-C50C-407E-A947-70E740481C1C}">
                          <a14:useLocalDpi xmlns:a14="http://schemas.microsoft.com/office/drawing/2010/main" val="0"/>
                        </a:ext>
                      </a:extLst>
                    </a:blip>
                    <a:srcRect l="7969" t="32931" r="24550" b="38787"/>
                    <a:stretch>
                      <a:fillRect/>
                    </a:stretch>
                  </pic:blipFill>
                  <pic:spPr>
                    <a:xfrm>
                      <a:off x="0" y="0"/>
                      <a:ext cx="4174490" cy="1113155"/>
                    </a:xfrm>
                    <a:prstGeom prst="rect">
                      <a:avLst/>
                    </a:prstGeom>
                    <a:noFill/>
                    <a:ln>
                      <a:noFill/>
                    </a:ln>
                  </pic:spPr>
                </pic:pic>
              </a:graphicData>
            </a:graphic>
          </wp:anchor>
        </w:drawing>
      </w:r>
      <w:r>
        <w:rPr>
          <w:rFonts w:hint="eastAsia" w:asciiTheme="minorEastAsia" w:hAnsiTheme="minorEastAsia"/>
          <w:sz w:val="21"/>
          <w:szCs w:val="21"/>
        </w:rPr>
        <w:t>深信服下一代防火墙</w:t>
      </w:r>
      <w:r>
        <w:rPr>
          <w:rFonts w:hint="eastAsia" w:ascii="宋体" w:hAnsi="宋体" w:cs="Arial"/>
          <w:sz w:val="21"/>
          <w:szCs w:val="21"/>
        </w:rPr>
        <w:t>以保障用户核心资产为目标，在N</w:t>
      </w:r>
      <w:r>
        <w:rPr>
          <w:rFonts w:ascii="宋体" w:hAnsi="宋体" w:cs="Arial"/>
          <w:sz w:val="21"/>
          <w:szCs w:val="21"/>
        </w:rPr>
        <w:t>GFW</w:t>
      </w:r>
      <w:r>
        <w:rPr>
          <w:rFonts w:hint="eastAsia" w:ascii="宋体" w:hAnsi="宋体" w:cs="Arial"/>
          <w:sz w:val="21"/>
          <w:szCs w:val="21"/>
        </w:rPr>
        <w:t>的基础上集成丰富的应用层安全功能，为用户提供L2-L7层网络的全面安全防护能力，是一款能够有效应对传统网络攻击和未知威胁攻击的创新网络安全产品</w:t>
      </w:r>
      <w:r>
        <w:rPr>
          <w:rFonts w:hint="eastAsia" w:ascii="宋体" w:hAnsi="宋体" w:cs="Arial"/>
          <w:color w:val="000000" w:themeColor="text1"/>
          <w:sz w:val="21"/>
          <w:szCs w:val="21"/>
          <w14:textFill>
            <w14:solidFill>
              <w14:schemeClr w14:val="tx1"/>
            </w14:solidFill>
          </w14:textFill>
        </w:rPr>
        <w:t>。为保障对日益进化的网络攻击进行有效防御，深信服下一代防火墙集成云端订阅服务、机器学习和大数据分析等业内领先的创新安全技术，增强用户网络边界的安全检测能力，构建主动防御体系，保障用户业务的安全和正常运营。</w:t>
      </w:r>
    </w:p>
    <w:p>
      <w:pPr>
        <w:pStyle w:val="16"/>
        <w:ind w:firstLineChars="0"/>
        <w:rPr>
          <w:rFonts w:asciiTheme="minorEastAsia" w:hAnsiTheme="minorEastAsia"/>
          <w:color w:val="000000" w:themeColor="text1"/>
          <w:sz w:val="21"/>
          <w14:textFill>
            <w14:solidFill>
              <w14:schemeClr w14:val="tx1"/>
            </w14:solidFill>
          </w14:textFill>
        </w:rPr>
      </w:pPr>
      <w:r>
        <w:rPr>
          <w:rFonts w:hint="eastAsia" w:asciiTheme="minorEastAsia" w:hAnsiTheme="minorEastAsia"/>
          <w:color w:val="000000" w:themeColor="text1"/>
          <w:sz w:val="21"/>
          <w14:textFill>
            <w14:solidFill>
              <w14:schemeClr w14:val="tx1"/>
            </w14:solidFill>
          </w14:textFill>
        </w:rPr>
        <w:t>深信服自2011年推出全国首台下一代防火墙，在政府、金融、教育、运营商、大企业等多个行业得到广泛应用，适用于互联网出口、内网安全隔离、分支组网接入等业务网络边界。深信服作为国内下一代防火墙的第一品牌，不仅主导和推进公安部第二代防火墙标准的建立与制定，同时获得国外众多权威安全测评机构的认可。深信服下一代防火墙自2015年起连续多年入围</w:t>
      </w:r>
      <w:r>
        <w:rPr>
          <w:rFonts w:asciiTheme="minorEastAsia" w:hAnsiTheme="minorEastAsia"/>
          <w:color w:val="000000" w:themeColor="text1"/>
          <w:sz w:val="21"/>
          <w14:textFill>
            <w14:solidFill>
              <w14:schemeClr w14:val="tx1"/>
            </w14:solidFill>
          </w14:textFill>
        </w:rPr>
        <w:t xml:space="preserve"> Gartner </w:t>
      </w:r>
      <w:r>
        <w:rPr>
          <w:rFonts w:hint="eastAsia" w:asciiTheme="minorEastAsia" w:hAnsiTheme="minorEastAsia"/>
          <w:color w:val="000000" w:themeColor="text1"/>
          <w:sz w:val="21"/>
          <w14:textFill>
            <w14:solidFill>
              <w14:schemeClr w14:val="tx1"/>
            </w14:solidFill>
          </w14:textFill>
        </w:rPr>
        <w:t>企业级防火墙</w:t>
      </w:r>
      <w:r>
        <w:rPr>
          <w:rFonts w:asciiTheme="minorEastAsia" w:hAnsiTheme="minorEastAsia"/>
          <w:color w:val="000000" w:themeColor="text1"/>
          <w:sz w:val="21"/>
          <w14:textFill>
            <w14:solidFill>
              <w14:schemeClr w14:val="tx1"/>
            </w14:solidFill>
          </w14:textFill>
        </w:rPr>
        <w:t>防火墙魔力象限</w:t>
      </w:r>
      <w:r>
        <w:rPr>
          <w:rFonts w:hint="eastAsia" w:asciiTheme="minorEastAsia" w:hAnsiTheme="minorEastAsia"/>
          <w:color w:val="000000" w:themeColor="text1"/>
          <w:sz w:val="21"/>
          <w14:textFill>
            <w14:solidFill>
              <w14:schemeClr w14:val="tx1"/>
            </w14:solidFill>
          </w14:textFill>
        </w:rPr>
        <w:t>，并在2018年和2019年通过第三方国际独立测评机构-国际计算机安全协会实验室(简称ICSA实验室)的防火墙产品认证。</w:t>
      </w:r>
    </w:p>
    <w:p>
      <w:pPr>
        <w:pStyle w:val="16"/>
        <w:ind w:firstLineChars="0"/>
        <w:rPr>
          <w:rFonts w:ascii="Times New Roman" w:hAnsi="Times New Roman"/>
          <w:color w:val="808080"/>
          <w:sz w:val="24"/>
          <w:szCs w:val="24"/>
        </w:rPr>
      </w:pPr>
    </w:p>
    <w:p>
      <w:pPr>
        <w:spacing w:line="600" w:lineRule="auto"/>
        <w:rPr>
          <w:rFonts w:hint="eastAsia" w:ascii="宋体" w:hAnsi="宋体" w:eastAsia="宋体" w:cs="Arial"/>
          <w:b/>
          <w:color w:val="558ED5" w:themeColor="text2" w:themeTint="99"/>
          <w:sz w:val="32"/>
          <w:szCs w:val="32"/>
          <w14:textFill>
            <w14:solidFill>
              <w14:schemeClr w14:val="tx2">
                <w14:lumMod w14:val="60000"/>
                <w14:lumOff w14:val="40000"/>
              </w14:schemeClr>
            </w14:solidFill>
          </w14:textFill>
        </w:rPr>
      </w:pPr>
      <w:r>
        <w:rPr>
          <w:rFonts w:hint="eastAsia" w:ascii="宋体" w:hAnsi="宋体" w:eastAsia="宋体" w:cs="Arial"/>
          <w:b/>
          <w:color w:val="558ED5" w:themeColor="text2" w:themeTint="99"/>
          <w:sz w:val="32"/>
          <w:szCs w:val="32"/>
          <w14:textFill>
            <w14:solidFill>
              <w14:schemeClr w14:val="tx2">
                <w14:lumMod w14:val="60000"/>
                <w14:lumOff w14:val="40000"/>
              </w14:schemeClr>
            </w14:solidFill>
          </w14:textFill>
        </w:rPr>
        <w:t>产品系列型号-</w:t>
      </w:r>
    </w:p>
    <w:p>
      <w:pPr>
        <w:rPr>
          <w:rFonts w:cs="Arial" w:asciiTheme="majorEastAsia" w:hAnsiTheme="majorEastAsia" w:eastAsiaTheme="majorEastAsia"/>
          <w:b/>
          <w:color w:val="404040" w:themeColor="text1" w:themeTint="BF"/>
          <w:sz w:val="13"/>
          <w:szCs w:val="13"/>
          <w14:textFill>
            <w14:solidFill>
              <w14:schemeClr w14:val="tx1">
                <w14:lumMod w14:val="75000"/>
                <w14:lumOff w14:val="25000"/>
              </w14:schemeClr>
            </w14:solidFill>
          </w14:textFill>
        </w:rPr>
      </w:pPr>
    </w:p>
    <w:tbl>
      <w:tblPr>
        <w:tblStyle w:val="10"/>
        <w:tblpPr w:leftFromText="180" w:rightFromText="180" w:vertAnchor="text" w:horzAnchor="page" w:tblpXSpec="center" w:tblpY="107"/>
        <w:tblOverlap w:val="never"/>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04"/>
        <w:gridCol w:w="14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4" w:hRule="atLeast"/>
          <w:jc w:val="center"/>
        </w:trPr>
        <w:tc>
          <w:tcPr>
            <w:tcW w:w="0" w:type="auto"/>
            <w:shd w:val="clear" w:color="auto" w:fill="548DD4" w:themeFill="text2" w:themeFillTint="99"/>
          </w:tcPr>
          <w:p>
            <w:pPr>
              <w:jc w:val="center"/>
              <w:rPr>
                <w:rFonts w:asciiTheme="majorEastAsia" w:hAnsiTheme="majorEastAsia" w:eastAsiaTheme="majorEastAsia"/>
                <w:sz w:val="15"/>
                <w:szCs w:val="15"/>
              </w:rPr>
            </w:pPr>
            <w:r>
              <w:rPr>
                <w:rFonts w:hint="eastAsia" w:asciiTheme="majorEastAsia" w:hAnsiTheme="majorEastAsia" w:eastAsiaTheme="majorEastAsia"/>
                <w:sz w:val="15"/>
                <w:szCs w:val="15"/>
              </w:rPr>
              <w:t>产品型号</w:t>
            </w:r>
          </w:p>
        </w:tc>
        <w:tc>
          <w:tcPr>
            <w:tcW w:w="0" w:type="auto"/>
            <w:shd w:val="clear" w:color="auto" w:fill="548DD4" w:themeFill="text2" w:themeFillTint="99"/>
            <w:vAlign w:val="center"/>
          </w:tcPr>
          <w:p>
            <w:pPr>
              <w:jc w:val="center"/>
              <w:rPr>
                <w:rFonts w:hint="default" w:asciiTheme="majorEastAsia" w:hAnsiTheme="majorEastAsia" w:eastAsiaTheme="majorEastAsia" w:cstheme="minorBidi"/>
                <w:kern w:val="2"/>
                <w:sz w:val="15"/>
                <w:szCs w:val="15"/>
                <w:lang w:val="en-US" w:eastAsia="zh-CN" w:bidi="ar-SA"/>
              </w:rPr>
            </w:pPr>
            <w:r>
              <w:rPr>
                <w:rFonts w:hint="eastAsia" w:asciiTheme="majorEastAsia" w:hAnsiTheme="majorEastAsia" w:eastAsiaTheme="majorEastAsia"/>
                <w:sz w:val="15"/>
                <w:szCs w:val="15"/>
                <w:lang w:val="en-US" w:eastAsia="zh-CN"/>
              </w:rPr>
              <w:t>AF-1000-B1120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9" w:hRule="atLeast"/>
          <w:jc w:val="center"/>
        </w:trPr>
        <w:tc>
          <w:tcPr>
            <w:tcW w:w="0" w:type="auto"/>
          </w:tcPr>
          <w:p>
            <w:pPr>
              <w:jc w:val="center"/>
              <w:rPr>
                <w:rFonts w:hint="default"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网络层吞吐量</w:t>
            </w:r>
          </w:p>
        </w:tc>
        <w:tc>
          <w:tcPr>
            <w:tcW w:w="0" w:type="auto"/>
            <w:vAlign w:val="center"/>
          </w:tcPr>
          <w:p>
            <w:pPr>
              <w:jc w:val="center"/>
              <w:rPr>
                <w:rFonts w:hint="eastAsia" w:asciiTheme="majorEastAsia" w:hAnsiTheme="majorEastAsia" w:eastAsiaTheme="majorEastAsia" w:cstheme="minorBidi"/>
                <w:kern w:val="2"/>
                <w:sz w:val="15"/>
                <w:szCs w:val="15"/>
                <w:lang w:val="en-US" w:eastAsia="zh-CN" w:bidi="ar-SA"/>
              </w:rPr>
            </w:pPr>
            <w:r>
              <w:rPr>
                <w:rFonts w:hint="eastAsia" w:asciiTheme="majorEastAsia" w:hAnsiTheme="majorEastAsia" w:eastAsiaTheme="majorEastAsia"/>
                <w:sz w:val="15"/>
                <w:szCs w:val="15"/>
                <w:lang w:val="en-US" w:eastAsia="zh-CN"/>
              </w:rPr>
              <w:t>3G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 w:hRule="atLeast"/>
          <w:jc w:val="center"/>
        </w:trPr>
        <w:tc>
          <w:tcPr>
            <w:tcW w:w="0" w:type="auto"/>
            <w:vAlign w:val="top"/>
          </w:tcPr>
          <w:p>
            <w:pPr>
              <w:jc w:val="center"/>
              <w:rPr>
                <w:rFonts w:asciiTheme="majorEastAsia" w:hAnsiTheme="majorEastAsia" w:eastAsiaTheme="majorEastAsia"/>
                <w:sz w:val="15"/>
                <w:szCs w:val="15"/>
              </w:rPr>
            </w:pPr>
            <w:r>
              <w:rPr>
                <w:rFonts w:hint="eastAsia" w:asciiTheme="majorEastAsia" w:hAnsiTheme="majorEastAsia" w:eastAsiaTheme="majorEastAsia"/>
                <w:sz w:val="15"/>
                <w:szCs w:val="15"/>
              </w:rPr>
              <w:t>应用层吞吐量</w:t>
            </w:r>
          </w:p>
        </w:tc>
        <w:tc>
          <w:tcPr>
            <w:tcW w:w="0" w:type="auto"/>
            <w:vAlign w:val="center"/>
          </w:tcPr>
          <w:p>
            <w:pPr>
              <w:jc w:val="center"/>
              <w:rPr>
                <w:rFonts w:hint="default" w:asciiTheme="majorEastAsia" w:hAnsiTheme="majorEastAsia" w:eastAsiaTheme="majorEastAsia" w:cstheme="minorBidi"/>
                <w:kern w:val="2"/>
                <w:sz w:val="15"/>
                <w:szCs w:val="15"/>
                <w:lang w:val="en-US" w:eastAsia="zh-CN" w:bidi="ar-SA"/>
              </w:rPr>
            </w:pPr>
            <w:r>
              <w:rPr>
                <w:rFonts w:hint="eastAsia" w:asciiTheme="majorEastAsia" w:hAnsiTheme="majorEastAsia" w:eastAsiaTheme="majorEastAsia" w:cstheme="minorBidi"/>
                <w:kern w:val="2"/>
                <w:sz w:val="15"/>
                <w:szCs w:val="15"/>
                <w:lang w:val="en-US" w:eastAsia="zh-CN" w:bidi="ar-SA"/>
              </w:rPr>
              <w:t>600M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83" w:hRule="atLeast"/>
          <w:jc w:val="center"/>
        </w:trPr>
        <w:tc>
          <w:tcPr>
            <w:tcW w:w="0" w:type="auto"/>
            <w:vAlign w:val="top"/>
          </w:tcPr>
          <w:p>
            <w:pPr>
              <w:jc w:val="both"/>
              <w:rPr>
                <w:rFonts w:hint="default"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防病毒吞吐量</w:t>
            </w:r>
          </w:p>
        </w:tc>
        <w:tc>
          <w:tcPr>
            <w:tcW w:w="0" w:type="auto"/>
            <w:vAlign w:val="center"/>
          </w:tcPr>
          <w:p>
            <w:pPr>
              <w:jc w:val="center"/>
              <w:rPr>
                <w:rFonts w:hint="default" w:asciiTheme="majorEastAsia" w:hAnsiTheme="majorEastAsia" w:eastAsiaTheme="majorEastAsia" w:cstheme="minorBidi"/>
                <w:kern w:val="2"/>
                <w:sz w:val="15"/>
                <w:szCs w:val="15"/>
                <w:lang w:val="en-US" w:eastAsia="zh-CN" w:bidi="ar-SA"/>
              </w:rPr>
            </w:pPr>
            <w:r>
              <w:rPr>
                <w:rFonts w:hint="eastAsia" w:asciiTheme="majorEastAsia" w:hAnsiTheme="majorEastAsia" w:eastAsiaTheme="majorEastAsia"/>
                <w:sz w:val="15"/>
                <w:szCs w:val="15"/>
                <w:lang w:val="en-US" w:eastAsia="zh-CN"/>
              </w:rPr>
              <w:t>250M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 w:hRule="atLeast"/>
          <w:jc w:val="center"/>
        </w:trPr>
        <w:tc>
          <w:tcPr>
            <w:tcW w:w="0" w:type="auto"/>
            <w:vAlign w:val="top"/>
          </w:tcPr>
          <w:p>
            <w:pPr>
              <w:jc w:val="both"/>
              <w:rPr>
                <w:rFonts w:hint="default"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并发数</w:t>
            </w:r>
          </w:p>
        </w:tc>
        <w:tc>
          <w:tcPr>
            <w:tcW w:w="0" w:type="auto"/>
            <w:vAlign w:val="center"/>
          </w:tcPr>
          <w:p>
            <w:pPr>
              <w:jc w:val="center"/>
              <w:rPr>
                <w:rFonts w:hint="default"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80万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7" w:hRule="atLeast"/>
          <w:jc w:val="center"/>
        </w:trPr>
        <w:tc>
          <w:tcPr>
            <w:tcW w:w="0" w:type="auto"/>
            <w:vAlign w:val="top"/>
          </w:tcPr>
          <w:p>
            <w:pPr>
              <w:jc w:val="center"/>
              <w:rPr>
                <w:rFonts w:asciiTheme="majorEastAsia" w:hAnsiTheme="majorEastAsia" w:eastAsiaTheme="majorEastAsia"/>
                <w:sz w:val="15"/>
                <w:szCs w:val="15"/>
              </w:rPr>
            </w:pPr>
            <w:r>
              <w:rPr>
                <w:rFonts w:hint="eastAsia" w:asciiTheme="majorEastAsia" w:hAnsiTheme="majorEastAsia" w:eastAsiaTheme="majorEastAsia"/>
                <w:sz w:val="15"/>
                <w:szCs w:val="15"/>
                <w:lang w:val="en-US" w:eastAsia="zh-CN"/>
              </w:rPr>
              <w:t>http</w:t>
            </w:r>
            <w:r>
              <w:rPr>
                <w:rFonts w:hint="eastAsia" w:asciiTheme="majorEastAsia" w:hAnsiTheme="majorEastAsia" w:eastAsiaTheme="majorEastAsia"/>
                <w:sz w:val="15"/>
                <w:szCs w:val="15"/>
              </w:rPr>
              <w:t>新建连接数</w:t>
            </w:r>
          </w:p>
        </w:tc>
        <w:tc>
          <w:tcPr>
            <w:tcW w:w="0" w:type="auto"/>
            <w:vAlign w:val="center"/>
          </w:tcPr>
          <w:p>
            <w:pPr>
              <w:jc w:val="center"/>
              <w:rPr>
                <w:rFonts w:hint="eastAsia" w:asciiTheme="majorEastAsia" w:hAnsiTheme="majorEastAsia" w:eastAsiaTheme="majorEastAsia" w:cstheme="minorBidi"/>
                <w:kern w:val="2"/>
                <w:sz w:val="15"/>
                <w:szCs w:val="15"/>
                <w:lang w:val="en-US" w:eastAsia="zh-CN" w:bidi="ar-SA"/>
              </w:rPr>
            </w:pPr>
            <w:r>
              <w:rPr>
                <w:rFonts w:hint="eastAsia" w:asciiTheme="majorEastAsia" w:hAnsiTheme="majorEastAsia" w:eastAsiaTheme="majorEastAsia"/>
                <w:sz w:val="15"/>
                <w:szCs w:val="15"/>
                <w:lang w:val="en-US" w:eastAsia="zh-CN"/>
              </w:rPr>
              <w:t>2万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 w:hRule="atLeast"/>
          <w:jc w:val="center"/>
        </w:trPr>
        <w:tc>
          <w:tcPr>
            <w:tcW w:w="0" w:type="auto"/>
            <w:vAlign w:val="top"/>
          </w:tcPr>
          <w:p>
            <w:pPr>
              <w:jc w:val="center"/>
              <w:rPr>
                <w:rFonts w:hint="eastAsia"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网络接口</w:t>
            </w:r>
          </w:p>
        </w:tc>
        <w:tc>
          <w:tcPr>
            <w:tcW w:w="0" w:type="auto"/>
            <w:vAlign w:val="center"/>
          </w:tcPr>
          <w:p>
            <w:pPr>
              <w:jc w:val="center"/>
              <w:rPr>
                <w:rFonts w:hint="default" w:asciiTheme="majorEastAsia" w:hAnsiTheme="majorEastAsia" w:eastAsiaTheme="majorEastAsia" w:cstheme="minorBidi"/>
                <w:kern w:val="2"/>
                <w:sz w:val="15"/>
                <w:szCs w:val="15"/>
                <w:lang w:val="en-US" w:eastAsia="zh-CN" w:bidi="ar-SA"/>
              </w:rPr>
            </w:pPr>
            <w:r>
              <w:rPr>
                <w:rFonts w:hint="eastAsia" w:asciiTheme="majorEastAsia" w:hAnsiTheme="majorEastAsia" w:eastAsiaTheme="majorEastAsia"/>
                <w:sz w:val="15"/>
                <w:szCs w:val="15"/>
                <w:lang w:val="en-US" w:eastAsia="zh-CN"/>
              </w:rPr>
              <w:t>6电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 w:hRule="atLeast"/>
          <w:jc w:val="center"/>
        </w:trPr>
        <w:tc>
          <w:tcPr>
            <w:tcW w:w="0" w:type="auto"/>
            <w:vAlign w:val="center"/>
          </w:tcPr>
          <w:p>
            <w:pPr>
              <w:jc w:val="center"/>
              <w:rPr>
                <w:rFonts w:hint="default"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内存</w:t>
            </w:r>
          </w:p>
        </w:tc>
        <w:tc>
          <w:tcPr>
            <w:tcW w:w="0" w:type="auto"/>
            <w:vAlign w:val="center"/>
          </w:tcPr>
          <w:p>
            <w:pPr>
              <w:jc w:val="center"/>
              <w:rPr>
                <w:rFonts w:hint="eastAsia" w:asciiTheme="majorEastAsia" w:hAnsiTheme="majorEastAsia" w:eastAsiaTheme="majorEastAsia" w:cstheme="minorBidi"/>
                <w:kern w:val="2"/>
                <w:sz w:val="15"/>
                <w:szCs w:val="15"/>
                <w:lang w:val="en-US" w:eastAsia="zh-CN" w:bidi="ar-SA"/>
              </w:rPr>
            </w:pPr>
            <w:r>
              <w:rPr>
                <w:rFonts w:hint="eastAsia" w:asciiTheme="majorEastAsia" w:hAnsiTheme="majorEastAsia" w:eastAsiaTheme="majorEastAsia"/>
                <w:sz w:val="15"/>
                <w:szCs w:val="15"/>
                <w:lang w:val="en-US" w:eastAsia="zh-CN"/>
              </w:rPr>
              <w:t>2G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 w:hRule="atLeast"/>
          <w:jc w:val="center"/>
        </w:trPr>
        <w:tc>
          <w:tcPr>
            <w:tcW w:w="0" w:type="auto"/>
            <w:vAlign w:val="top"/>
          </w:tcPr>
          <w:p>
            <w:pPr>
              <w:jc w:val="center"/>
              <w:rPr>
                <w:rFonts w:hint="default"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硬盘容量</w:t>
            </w:r>
          </w:p>
        </w:tc>
        <w:tc>
          <w:tcPr>
            <w:tcW w:w="0" w:type="auto"/>
            <w:vAlign w:val="center"/>
          </w:tcPr>
          <w:p>
            <w:pPr>
              <w:jc w:val="center"/>
              <w:rPr>
                <w:rFonts w:hint="default" w:asciiTheme="majorEastAsia" w:hAnsiTheme="majorEastAsia" w:eastAsiaTheme="majorEastAsia" w:cstheme="minorBidi"/>
                <w:kern w:val="2"/>
                <w:sz w:val="15"/>
                <w:szCs w:val="15"/>
                <w:lang w:val="en-US" w:eastAsia="zh-CN" w:bidi="ar-SA"/>
              </w:rPr>
            </w:pPr>
            <w:r>
              <w:rPr>
                <w:rFonts w:hint="eastAsia" w:asciiTheme="majorEastAsia" w:hAnsiTheme="majorEastAsia" w:eastAsiaTheme="majorEastAsia" w:cstheme="minorBidi"/>
                <w:kern w:val="2"/>
                <w:sz w:val="15"/>
                <w:szCs w:val="15"/>
                <w:lang w:val="en-US" w:eastAsia="zh-CN" w:bidi="ar-SA"/>
              </w:rPr>
              <w:t>64G minisata SSD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 w:hRule="atLeast"/>
          <w:jc w:val="center"/>
        </w:trPr>
        <w:tc>
          <w:tcPr>
            <w:tcW w:w="0" w:type="auto"/>
            <w:vAlign w:val="top"/>
          </w:tcPr>
          <w:p>
            <w:pPr>
              <w:jc w:val="center"/>
              <w:rPr>
                <w:rFonts w:hint="default"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电源</w:t>
            </w:r>
          </w:p>
        </w:tc>
        <w:tc>
          <w:tcPr>
            <w:tcW w:w="0" w:type="auto"/>
            <w:vAlign w:val="center"/>
          </w:tcPr>
          <w:p>
            <w:pPr>
              <w:jc w:val="center"/>
              <w:rPr>
                <w:rFonts w:hint="default" w:asciiTheme="majorEastAsia" w:hAnsiTheme="majorEastAsia" w:eastAsiaTheme="majorEastAsia"/>
                <w:sz w:val="15"/>
                <w:szCs w:val="15"/>
                <w:lang w:val="en-US" w:eastAsia="zh-CN"/>
              </w:rPr>
            </w:pPr>
            <w:r>
              <w:rPr>
                <w:rFonts w:hint="eastAsia" w:asciiTheme="majorEastAsia" w:hAnsiTheme="majorEastAsia" w:eastAsiaTheme="majorEastAsia"/>
                <w:sz w:val="15"/>
                <w:szCs w:val="15"/>
                <w:lang w:val="en-US" w:eastAsia="zh-CN"/>
              </w:rPr>
              <w:t>单电源</w:t>
            </w:r>
          </w:p>
        </w:tc>
      </w:tr>
    </w:tbl>
    <w:p>
      <w:pPr>
        <w:rPr>
          <w:rFonts w:cs="Arial" w:asciiTheme="majorEastAsia" w:hAnsiTheme="majorEastAsia" w:eastAsiaTheme="majorEastAsia"/>
          <w:b/>
          <w:color w:val="404040" w:themeColor="text1" w:themeTint="BF"/>
          <w:sz w:val="13"/>
          <w:szCs w:val="13"/>
          <w14:textFill>
            <w14:solidFill>
              <w14:schemeClr w14:val="tx1">
                <w14:lumMod w14:val="75000"/>
                <w14:lumOff w14:val="25000"/>
              </w14:schemeClr>
            </w14:solidFill>
          </w14:textFill>
        </w:rPr>
      </w:pPr>
    </w:p>
    <w:p>
      <w:pPr>
        <w:spacing w:line="600" w:lineRule="auto"/>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p>
    <w:p>
      <w:pPr>
        <w:spacing w:line="600" w:lineRule="auto"/>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p>
    <w:p>
      <w:pPr>
        <w:spacing w:line="600" w:lineRule="auto"/>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p>
    <w:p>
      <w:pPr>
        <w:spacing w:line="600" w:lineRule="auto"/>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p>
    <w:p>
      <w:pPr>
        <w:spacing w:line="600" w:lineRule="auto"/>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p>
    <w:p>
      <w:pPr>
        <w:spacing w:line="600" w:lineRule="auto"/>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p>
    <w:p>
      <w:pPr>
        <w:spacing w:line="600" w:lineRule="auto"/>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p>
    <w:p>
      <w:pPr>
        <w:spacing w:line="600" w:lineRule="auto"/>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p>
    <w:p>
      <w:pPr>
        <w:spacing w:line="600" w:lineRule="auto"/>
        <w:rPr>
          <w:rFonts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pPr>
      <w:r>
        <w:rPr>
          <w:rFonts w:hint="eastAsia" w:cs="Arial" w:asciiTheme="minorEastAsia" w:hAnsiTheme="minorEastAsia" w:eastAsiaTheme="minorEastAsia"/>
          <w:b/>
          <w:color w:val="558ED5" w:themeColor="text2" w:themeTint="99"/>
          <w:sz w:val="32"/>
          <w:szCs w:val="32"/>
          <w14:textFill>
            <w14:solidFill>
              <w14:schemeClr w14:val="tx2">
                <w14:lumMod w14:val="60000"/>
                <w14:lumOff w14:val="40000"/>
              </w14:schemeClr>
            </w14:solidFill>
          </w14:textFill>
        </w:rPr>
        <w:t>产品功能列表</w:t>
      </w:r>
    </w:p>
    <w:tbl>
      <w:tblPr>
        <w:tblStyle w:val="21"/>
        <w:tblW w:w="4999"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1303"/>
        <w:gridCol w:w="7247"/>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52" w:hRule="atLeast"/>
        </w:trPr>
        <w:tc>
          <w:tcPr>
            <w:tcW w:w="762"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widowControl/>
              <w:spacing w:line="240" w:lineRule="auto"/>
              <w:jc w:val="left"/>
              <w:rPr>
                <w:rFonts w:ascii="宋体" w:hAnsi="宋体" w:eastAsia="宋体"/>
                <w:b w:val="0"/>
                <w:bCs w:val="0"/>
                <w:color w:val="558ED5" w:themeColor="text2" w:themeTint="99"/>
                <w:kern w:val="0"/>
                <w:szCs w:val="21"/>
                <w14:textFill>
                  <w14:solidFill>
                    <w14:schemeClr w14:val="tx2">
                      <w14:lumMod w14:val="60000"/>
                      <w14:lumOff w14:val="40000"/>
                    </w14:schemeClr>
                  </w14:solidFill>
                </w14:textFill>
              </w:rPr>
            </w:pPr>
            <w:r>
              <w:rPr>
                <w:rFonts w:hint="eastAsia" w:ascii="宋体" w:hAnsi="宋体" w:eastAsia="宋体"/>
                <w:b/>
                <w:bCs/>
                <w:color w:val="FFFFFF" w:themeColor="background1"/>
                <w:kern w:val="0"/>
                <w:szCs w:val="21"/>
                <w14:textFill>
                  <w14:solidFill>
                    <w14:schemeClr w14:val="bg1"/>
                  </w14:solidFill>
                </w14:textFill>
              </w:rPr>
              <w:t>功能特性</w:t>
            </w:r>
          </w:p>
        </w:tc>
        <w:tc>
          <w:tcPr>
            <w:tcW w:w="4237"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widowControl/>
              <w:spacing w:line="240" w:lineRule="auto"/>
              <w:jc w:val="left"/>
              <w:rPr>
                <w:rFonts w:ascii="宋体" w:hAnsi="宋体" w:eastAsia="宋体"/>
                <w:b w:val="0"/>
                <w:bCs w:val="0"/>
                <w:color w:val="FFFFFF" w:themeColor="background1"/>
                <w:kern w:val="0"/>
                <w:szCs w:val="21"/>
                <w14:textFill>
                  <w14:solidFill>
                    <w14:schemeClr w14:val="bg1"/>
                  </w14:solidFill>
                </w14:textFill>
              </w:rPr>
            </w:pPr>
            <w:r>
              <w:rPr>
                <w:rFonts w:hint="eastAsia" w:ascii="宋体" w:hAnsi="宋体" w:eastAsia="宋体"/>
                <w:b/>
                <w:bCs/>
                <w:color w:val="FFFFFF" w:themeColor="background1"/>
                <w:kern w:val="0"/>
                <w:szCs w:val="21"/>
                <w14:textFill>
                  <w14:solidFill>
                    <w14:schemeClr w14:val="bg1"/>
                  </w14:solidFill>
                </w14:textFill>
              </w:rPr>
              <w:t>描述</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center"/>
          </w:tcPr>
          <w:p>
            <w:pPr>
              <w:spacing w:line="240" w:lineRule="auto"/>
              <w:jc w:val="left"/>
              <w:rPr>
                <w:rFonts w:ascii="宋体" w:hAnsi="宋体" w:eastAsia="宋体"/>
                <w:b w:val="0"/>
                <w:bCs w:val="0"/>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应用访问控制</w:t>
            </w:r>
          </w:p>
        </w:tc>
        <w:tc>
          <w:tcPr>
            <w:tcW w:w="4237" w:type="pct"/>
          </w:tcPr>
          <w:p>
            <w:pPr>
              <w:spacing w:line="240" w:lineRule="auto"/>
              <w:jc w:val="left"/>
              <w:rPr>
                <w:rFonts w:ascii="宋体" w:hAnsi="宋体" w:eastAsia="宋体"/>
                <w:color w:val="404040" w:themeColor="text1" w:themeTint="BF"/>
                <w:kern w:val="0"/>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访问控制规则支持从IP、端口、服务、应用、用户、时间等多个维度进行细粒度的一体化管控。</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t>DoS/</w:t>
            </w: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DDoS攻击防护</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支持SYN Flood、ICMP Flood、UDP Flood、DNS Flood、ARP</w:t>
            </w:r>
            <w:r>
              <w:rPr>
                <w:rFonts w:ascii="宋体" w:hAnsi="宋体" w:eastAsia="宋体"/>
                <w:color w:val="404040" w:themeColor="text1" w:themeTint="BF"/>
                <w:sz w:val="18"/>
                <w:szCs w:val="20"/>
                <w14:textFill>
                  <w14:solidFill>
                    <w14:schemeClr w14:val="tx1">
                      <w14:lumMod w14:val="75000"/>
                      <w14:lumOff w14:val="25000"/>
                    </w14:schemeClr>
                  </w14:solidFill>
                </w14:textFill>
              </w:rPr>
              <w:t xml:space="preserve"> Flood</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等</w:t>
            </w:r>
            <w:r>
              <w:rPr>
                <w:rFonts w:ascii="宋体" w:hAnsi="宋体" w:eastAsia="宋体"/>
                <w:color w:val="404040" w:themeColor="text1" w:themeTint="BF"/>
                <w:sz w:val="18"/>
                <w:szCs w:val="20"/>
                <w14:textFill>
                  <w14:solidFill>
                    <w14:schemeClr w14:val="tx1">
                      <w14:lumMod w14:val="75000"/>
                      <w14:lumOff w14:val="25000"/>
                    </w14:schemeClr>
                  </w14:solidFill>
                </w14:textFill>
              </w:rPr>
              <w:t>DoS</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/D</w:t>
            </w:r>
            <w:r>
              <w:rPr>
                <w:rFonts w:ascii="宋体" w:hAnsi="宋体" w:eastAsia="宋体"/>
                <w:color w:val="404040" w:themeColor="text1" w:themeTint="BF"/>
                <w:sz w:val="18"/>
                <w:szCs w:val="20"/>
                <w14:textFill>
                  <w14:solidFill>
                    <w14:schemeClr w14:val="tx1">
                      <w14:lumMod w14:val="75000"/>
                      <w14:lumOff w14:val="25000"/>
                    </w14:schemeClr>
                  </w14:solidFill>
                </w14:textFill>
              </w:rPr>
              <w:t>DoS</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攻击防护</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V</w:t>
            </w:r>
            <w:r>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t>PN</w:t>
            </w: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功能</w:t>
            </w:r>
          </w:p>
        </w:tc>
        <w:tc>
          <w:tcPr>
            <w:tcW w:w="4237" w:type="pct"/>
            <w:vAlign w:val="center"/>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支持IPSec VPN、SSL VPNE等VPN接入方式。</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上网行为管理</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内置千万级U</w:t>
            </w:r>
            <w:r>
              <w:rPr>
                <w:rFonts w:ascii="宋体" w:hAnsi="宋体" w:eastAsia="宋体"/>
                <w:color w:val="404040" w:themeColor="text1" w:themeTint="BF"/>
                <w:sz w:val="18"/>
                <w:szCs w:val="20"/>
                <w14:textFill>
                  <w14:solidFill>
                    <w14:schemeClr w14:val="tx1">
                      <w14:lumMod w14:val="75000"/>
                      <w14:lumOff w14:val="25000"/>
                    </w14:schemeClr>
                  </w14:solidFill>
                </w14:textFill>
              </w:rPr>
              <w:t>RL</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分类库，识别上万种常见应用，包括常见P</w:t>
            </w:r>
            <w:r>
              <w:rPr>
                <w:rFonts w:ascii="宋体" w:hAnsi="宋体" w:eastAsia="宋体"/>
                <w:color w:val="404040" w:themeColor="text1" w:themeTint="BF"/>
                <w:sz w:val="18"/>
                <w:szCs w:val="20"/>
                <w14:textFill>
                  <w14:solidFill>
                    <w14:schemeClr w14:val="tx1">
                      <w14:lumMod w14:val="75000"/>
                      <w14:lumOff w14:val="25000"/>
                    </w14:schemeClr>
                  </w14:solidFill>
                </w14:textFill>
              </w:rPr>
              <w:t>2P</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（迅雷）、</w:t>
            </w:r>
            <w:r>
              <w:rPr>
                <w:rFonts w:ascii="宋体" w:hAnsi="宋体" w:eastAsia="宋体"/>
                <w:color w:val="404040" w:themeColor="text1" w:themeTint="BF"/>
                <w:sz w:val="18"/>
                <w:szCs w:val="20"/>
                <w14:textFill>
                  <w14:solidFill>
                    <w14:schemeClr w14:val="tx1">
                      <w14:lumMod w14:val="75000"/>
                      <w14:lumOff w14:val="25000"/>
                    </w14:schemeClr>
                  </w14:solidFill>
                </w14:textFill>
              </w:rPr>
              <w:t>IM</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（Q</w:t>
            </w:r>
            <w:r>
              <w:rPr>
                <w:rFonts w:ascii="宋体" w:hAnsi="宋体" w:eastAsia="宋体"/>
                <w:color w:val="404040" w:themeColor="text1" w:themeTint="BF"/>
                <w:sz w:val="18"/>
                <w:szCs w:val="20"/>
                <w14:textFill>
                  <w14:solidFill>
                    <w14:schemeClr w14:val="tx1">
                      <w14:lumMod w14:val="75000"/>
                      <w14:lumOff w14:val="25000"/>
                    </w14:schemeClr>
                  </w14:solidFill>
                </w14:textFill>
              </w:rPr>
              <w:t>Q</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w:t>
            </w:r>
            <w:r>
              <w:rPr>
                <w:rFonts w:ascii="宋体" w:hAnsi="宋体" w:eastAsia="宋体"/>
                <w:color w:val="404040" w:themeColor="text1" w:themeTint="BF"/>
                <w:sz w:val="18"/>
                <w:szCs w:val="20"/>
                <w14:textFill>
                  <w14:solidFill>
                    <w14:schemeClr w14:val="tx1">
                      <w14:lumMod w14:val="75000"/>
                      <w14:lumOff w14:val="25000"/>
                    </w14:schemeClr>
                  </w14:solidFill>
                </w14:textFill>
              </w:rPr>
              <w:t>游戏</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（Q</w:t>
            </w:r>
            <w:r>
              <w:rPr>
                <w:rFonts w:ascii="宋体" w:hAnsi="宋体" w:eastAsia="宋体"/>
                <w:color w:val="404040" w:themeColor="text1" w:themeTint="BF"/>
                <w:sz w:val="18"/>
                <w:szCs w:val="20"/>
                <w14:textFill>
                  <w14:solidFill>
                    <w14:schemeClr w14:val="tx1">
                      <w14:lumMod w14:val="75000"/>
                      <w14:lumOff w14:val="25000"/>
                    </w14:schemeClr>
                  </w14:solidFill>
                </w14:textFill>
              </w:rPr>
              <w:t>Q</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游戏）、</w:t>
            </w:r>
            <w:r>
              <w:rPr>
                <w:rFonts w:ascii="宋体" w:hAnsi="宋体" w:eastAsia="宋体"/>
                <w:color w:val="404040" w:themeColor="text1" w:themeTint="BF"/>
                <w:sz w:val="18"/>
                <w:szCs w:val="20"/>
                <w14:textFill>
                  <w14:solidFill>
                    <w14:schemeClr w14:val="tx1">
                      <w14:lumMod w14:val="75000"/>
                      <w14:lumOff w14:val="25000"/>
                    </w14:schemeClr>
                  </w14:solidFill>
                </w14:textFill>
              </w:rPr>
              <w:t>炒股软件</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、网银</w:t>
            </w:r>
            <w:r>
              <w:rPr>
                <w:rFonts w:ascii="宋体" w:hAnsi="宋体" w:eastAsia="宋体"/>
                <w:color w:val="404040" w:themeColor="text1" w:themeTint="BF"/>
                <w:sz w:val="18"/>
                <w:szCs w:val="20"/>
                <w14:textFill>
                  <w14:solidFill>
                    <w14:schemeClr w14:val="tx1">
                      <w14:lumMod w14:val="75000"/>
                      <w14:lumOff w14:val="25000"/>
                    </w14:schemeClr>
                  </w14:solidFill>
                </w14:textFill>
              </w:rPr>
              <w:t>，</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网络电视等应用。</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带宽管理</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基于线路、I</w:t>
            </w:r>
            <w:r>
              <w:rPr>
                <w:rFonts w:ascii="宋体" w:hAnsi="宋体" w:eastAsia="宋体"/>
                <w:color w:val="404040" w:themeColor="text1" w:themeTint="BF"/>
                <w:sz w:val="18"/>
                <w:szCs w:val="20"/>
                <w14:textFill>
                  <w14:solidFill>
                    <w14:schemeClr w14:val="tx1">
                      <w14:lumMod w14:val="75000"/>
                      <w14:lumOff w14:val="25000"/>
                    </w14:schemeClr>
                  </w14:solidFill>
                </w14:textFill>
              </w:rPr>
              <w:t>P</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地址、上下行通道进行带宽分配和流量控制，保障核心业务带宽正常使用。</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防病毒</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支持H</w:t>
            </w:r>
            <w:r>
              <w:rPr>
                <w:rFonts w:ascii="宋体" w:hAnsi="宋体" w:eastAsia="宋体"/>
                <w:color w:val="404040" w:themeColor="text1" w:themeTint="BF"/>
                <w:sz w:val="18"/>
                <w:szCs w:val="20"/>
                <w14:textFill>
                  <w14:solidFill>
                    <w14:schemeClr w14:val="tx1">
                      <w14:lumMod w14:val="75000"/>
                      <w14:lumOff w14:val="25000"/>
                    </w14:schemeClr>
                  </w14:solidFill>
                </w14:textFill>
              </w:rPr>
              <w:t>TTP</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、H</w:t>
            </w:r>
            <w:r>
              <w:rPr>
                <w:rFonts w:ascii="宋体" w:hAnsi="宋体" w:eastAsia="宋体"/>
                <w:color w:val="404040" w:themeColor="text1" w:themeTint="BF"/>
                <w:sz w:val="18"/>
                <w:szCs w:val="20"/>
                <w14:textFill>
                  <w14:solidFill>
                    <w14:schemeClr w14:val="tx1">
                      <w14:lumMod w14:val="75000"/>
                      <w14:lumOff w14:val="25000"/>
                    </w14:schemeClr>
                  </w14:solidFill>
                </w14:textFill>
              </w:rPr>
              <w:t>TTPS</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、S</w:t>
            </w:r>
            <w:r>
              <w:rPr>
                <w:rFonts w:ascii="宋体" w:hAnsi="宋体" w:eastAsia="宋体"/>
                <w:color w:val="404040" w:themeColor="text1" w:themeTint="BF"/>
                <w:sz w:val="18"/>
                <w:szCs w:val="20"/>
                <w14:textFill>
                  <w14:solidFill>
                    <w14:schemeClr w14:val="tx1">
                      <w14:lumMod w14:val="75000"/>
                      <w14:lumOff w14:val="25000"/>
                    </w14:schemeClr>
                  </w14:solidFill>
                </w14:textFill>
              </w:rPr>
              <w:t>MB</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、F</w:t>
            </w:r>
            <w:r>
              <w:rPr>
                <w:rFonts w:ascii="宋体" w:hAnsi="宋体" w:eastAsia="宋体"/>
                <w:color w:val="404040" w:themeColor="text1" w:themeTint="BF"/>
                <w:sz w:val="18"/>
                <w:szCs w:val="20"/>
                <w14:textFill>
                  <w14:solidFill>
                    <w14:schemeClr w14:val="tx1">
                      <w14:lumMod w14:val="75000"/>
                      <w14:lumOff w14:val="25000"/>
                    </w14:schemeClr>
                  </w14:solidFill>
                </w14:textFill>
              </w:rPr>
              <w:t>TP</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等协议的文件检测，支持针对SMTP、POP3、IMAP邮件协议的内容检测。</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入侵防御功能</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深度检测并识别各类针对漏洞发起的攻击，抵御常见蠕虫、木马、恶意代码、间谍软件等威胁。</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僵尸网络检测</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支持对已被植入远控木马或者病毒等恶意软件的终端进行检测，并快速定位失陷主机，并联动终端检测响应产品E</w:t>
            </w:r>
            <w:r>
              <w:rPr>
                <w:rFonts w:ascii="宋体" w:hAnsi="宋体" w:eastAsia="宋体"/>
                <w:color w:val="404040" w:themeColor="text1" w:themeTint="BF"/>
                <w:sz w:val="18"/>
                <w:szCs w:val="20"/>
                <w14:textFill>
                  <w14:solidFill>
                    <w14:schemeClr w14:val="tx1">
                      <w14:lumMod w14:val="75000"/>
                      <w14:lumOff w14:val="25000"/>
                    </w14:schemeClr>
                  </w14:solidFill>
                </w14:textFill>
              </w:rPr>
              <w:t>DR</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进行快速处置。</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Web应用防护</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支持常见Web攻击防护。</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账号安全</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支持用户账号全生命周期保护功能，包括用户账号多余入口检测、用户账号弱口令检测、用户账号暴力破解检测、失陷账号检测，防止因账号被暴力破解导致的非法提权情况发生</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用户认证</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支持多种用户认证方式，包括本地认证、外部服务器认证和单点登录认证。</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安全策略管理</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支持安全防护策略一体化配置，减少策略配置数目，提高管理易用性。</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日志报表</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支持可视化多维度报表，可自动生成综合风险报表快速展示全网安全态势。</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N</w:t>
            </w:r>
            <w:r>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t>AT</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支持多种N</w:t>
            </w:r>
            <w:r>
              <w:rPr>
                <w:rFonts w:ascii="宋体" w:hAnsi="宋体" w:eastAsia="宋体"/>
                <w:color w:val="404040" w:themeColor="text1" w:themeTint="BF"/>
                <w:sz w:val="18"/>
                <w:szCs w:val="20"/>
                <w14:textFill>
                  <w14:solidFill>
                    <w14:schemeClr w14:val="tx1">
                      <w14:lumMod w14:val="75000"/>
                      <w14:lumOff w14:val="25000"/>
                    </w14:schemeClr>
                  </w14:solidFill>
                </w14:textFill>
              </w:rPr>
              <w:t>AT</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地址转换功能，包括IPv4／v6 NAT地址转换。</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网络特性</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全面支持IPV4/IPV6下的多种路由协议。</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高可靠性</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支持双机主/备、主/主两种工作模式。</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安全集中管理</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支持全网设备统一管理，包括配置策略统一下发，规则库统一更新，安全日志，流量日志实时上报等功能。</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center"/>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联动终端软件</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支持联动终端安全组件、云端蜜罐和态势感知平台</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tcPr>
          <w:p>
            <w:pPr>
              <w:spacing w:line="240" w:lineRule="auto"/>
              <w:jc w:val="left"/>
              <w:rPr>
                <w:rFonts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部署方式</w:t>
            </w:r>
          </w:p>
        </w:tc>
        <w:tc>
          <w:tcPr>
            <w:tcW w:w="4237" w:type="pct"/>
          </w:tcPr>
          <w:p>
            <w:pPr>
              <w:spacing w:line="240" w:lineRule="auto"/>
              <w:jc w:val="left"/>
              <w:rPr>
                <w:rFonts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支持路由模式、透明模式、镜像模式、混合模式等多种部署方式，满足用户复杂多样的网络环境。</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top"/>
          </w:tcPr>
          <w:p>
            <w:pPr>
              <w:spacing w:line="240" w:lineRule="auto"/>
              <w:jc w:val="left"/>
              <w:rPr>
                <w:rFonts w:hint="eastAsia" w:ascii="宋体" w:hAnsi="宋体" w:eastAsia="宋体" w:cstheme="minorBidi"/>
                <w:b/>
                <w:bCs/>
                <w:color w:val="558ED5" w:themeColor="text2" w:themeTint="99"/>
                <w:kern w:val="0"/>
                <w:sz w:val="20"/>
                <w:szCs w:val="20"/>
                <w:lang w:val="en-US" w:eastAsia="zh-CN" w:bidi="ar-SA"/>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BEST智能选路引擎</w:t>
            </w:r>
          </w:p>
        </w:tc>
        <w:tc>
          <w:tcPr>
            <w:tcW w:w="4237" w:type="pct"/>
            <w:vAlign w:val="top"/>
          </w:tcPr>
          <w:p>
            <w:pPr>
              <w:spacing w:line="240" w:lineRule="auto"/>
              <w:jc w:val="left"/>
              <w:rPr>
                <w:rFonts w:hint="eastAsia" w:ascii="宋体" w:hAnsi="宋体" w:eastAsia="宋体" w:cstheme="minorBidi"/>
                <w:color w:val="404040" w:themeColor="text1" w:themeTint="BF"/>
                <w:kern w:val="2"/>
                <w:sz w:val="18"/>
                <w:szCs w:val="20"/>
                <w:lang w:val="en-US" w:eastAsia="zh-CN" w:bidi="ar-SA"/>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lang w:val="en-US" w:eastAsia="zh-CN"/>
                <w14:textFill>
                  <w14:solidFill>
                    <w14:schemeClr w14:val="tx1">
                      <w14:lumMod w14:val="75000"/>
                      <w14:lumOff w14:val="25000"/>
                    </w14:schemeClr>
                  </w14:solidFill>
                </w14:textFill>
              </w:rPr>
              <w:t>支持多种选路策略，包括：</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Auto选路、</w:t>
            </w:r>
            <w:r>
              <w:rPr>
                <w:rFonts w:ascii="宋体" w:hAnsi="宋体" w:eastAsia="宋体"/>
                <w:color w:val="404040" w:themeColor="text1" w:themeTint="BF"/>
                <w:sz w:val="18"/>
                <w:szCs w:val="20"/>
                <w14:textFill>
                  <w14:solidFill>
                    <w14:schemeClr w14:val="tx1">
                      <w14:lumMod w14:val="75000"/>
                      <w14:lumOff w14:val="25000"/>
                    </w14:schemeClr>
                  </w14:solidFill>
                </w14:textFill>
              </w:rPr>
              <w:t>QOE</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最优选路、按剩余带宽比例负载、指定应用指定线路等智能流量调度策略</w:t>
            </w:r>
            <w:r>
              <w:rPr>
                <w:rFonts w:hint="eastAsia" w:ascii="宋体" w:hAnsi="宋体" w:eastAsia="宋体"/>
                <w:color w:val="404040" w:themeColor="text1" w:themeTint="BF"/>
                <w:sz w:val="18"/>
                <w:szCs w:val="20"/>
                <w:lang w:val="en-US" w:eastAsia="zh-CN"/>
                <w14:textFill>
                  <w14:solidFill>
                    <w14:schemeClr w14:val="tx1">
                      <w14:lumMod w14:val="75000"/>
                      <w14:lumOff w14:val="25000"/>
                    </w14:schemeClr>
                  </w14:solidFill>
                </w14:textFill>
              </w:rPr>
              <w:t>等。其中Auto选路，</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基于DPI/DFI技术识别应用种类，高频率检测链路QOE质量，基于不同类型应用SLA需求实现自适应最优选路，确保业务时刻在最佳链路上传输</w:t>
            </w:r>
            <w:r>
              <w:rPr>
                <w:rFonts w:hint="eastAsia" w:ascii="宋体" w:hAnsi="宋体" w:eastAsia="宋体"/>
                <w:color w:val="404040" w:themeColor="text1" w:themeTint="BF"/>
                <w:sz w:val="18"/>
                <w:szCs w:val="20"/>
                <w:lang w:eastAsia="zh-CN"/>
                <w14:textFill>
                  <w14:solidFill>
                    <w14:schemeClr w14:val="tx1">
                      <w14:lumMod w14:val="75000"/>
                      <w14:lumOff w14:val="25000"/>
                    </w14:schemeClr>
                  </w14:solidFill>
                </w14:textFill>
              </w:rPr>
              <w: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top"/>
          </w:tcPr>
          <w:p>
            <w:pPr>
              <w:spacing w:line="240" w:lineRule="auto"/>
              <w:jc w:val="left"/>
              <w:rPr>
                <w:rFonts w:hint="eastAsia" w:ascii="宋体" w:hAnsi="宋体" w:eastAsia="宋体" w:cstheme="minorBidi"/>
                <w:b/>
                <w:bCs/>
                <w:color w:val="558ED5" w:themeColor="text2" w:themeTint="99"/>
                <w:kern w:val="0"/>
                <w:sz w:val="20"/>
                <w:szCs w:val="20"/>
                <w:lang w:val="en-US" w:eastAsia="zh-CN" w:bidi="ar-SA"/>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SOFAST链路优化引擎</w:t>
            </w:r>
          </w:p>
        </w:tc>
        <w:tc>
          <w:tcPr>
            <w:tcW w:w="4237" w:type="pct"/>
            <w:vAlign w:val="top"/>
          </w:tcPr>
          <w:p>
            <w:pPr>
              <w:spacing w:line="240" w:lineRule="auto"/>
              <w:jc w:val="left"/>
              <w:rPr>
                <w:rFonts w:hint="eastAsia" w:ascii="宋体" w:hAnsi="宋体" w:eastAsia="宋体" w:cstheme="minorBidi"/>
                <w:color w:val="404040" w:themeColor="text1" w:themeTint="BF"/>
                <w:kern w:val="2"/>
                <w:sz w:val="18"/>
                <w:szCs w:val="20"/>
                <w:lang w:val="en-US" w:eastAsia="zh-CN" w:bidi="ar-SA"/>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智能识别应用种类并将应用划分为交互类、实时类、传输类，感知链路丢包情况，匹配最佳比例冗余数据包，在高丢包场景下，依然保障业务流畅访问体验。</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top"/>
          </w:tcPr>
          <w:p>
            <w:pPr>
              <w:spacing w:line="240" w:lineRule="auto"/>
              <w:jc w:val="left"/>
              <w:rPr>
                <w:rFonts w:hint="eastAsia" w:ascii="宋体" w:hAnsi="宋体" w:eastAsia="宋体" w:cstheme="minorBidi"/>
                <w:b/>
                <w:bCs/>
                <w:color w:val="558ED5" w:themeColor="text2" w:themeTint="99"/>
                <w:kern w:val="0"/>
                <w:sz w:val="20"/>
                <w:szCs w:val="20"/>
                <w:lang w:val="en-US" w:eastAsia="zh-CN" w:bidi="ar-SA"/>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易部署</w:t>
            </w:r>
          </w:p>
        </w:tc>
        <w:tc>
          <w:tcPr>
            <w:tcW w:w="4237" w:type="pct"/>
            <w:vAlign w:val="top"/>
          </w:tcPr>
          <w:p>
            <w:pPr>
              <w:spacing w:line="240" w:lineRule="auto"/>
              <w:jc w:val="left"/>
              <w:rPr>
                <w:rFonts w:hint="eastAsia" w:ascii="宋体" w:hAnsi="宋体" w:eastAsia="宋体" w:cstheme="minorBidi"/>
                <w:color w:val="404040" w:themeColor="text1" w:themeTint="BF"/>
                <w:kern w:val="2"/>
                <w:sz w:val="18"/>
                <w:szCs w:val="20"/>
                <w:lang w:val="en-US" w:eastAsia="zh-CN" w:bidi="ar-SA"/>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采用</w:t>
            </w:r>
            <w:r>
              <w:rPr>
                <w:rFonts w:hint="eastAsia" w:ascii="宋体" w:hAnsi="宋体" w:eastAsia="宋体"/>
                <w:color w:val="404040" w:themeColor="text1" w:themeTint="BF"/>
                <w:sz w:val="18"/>
                <w:szCs w:val="20"/>
                <w:lang w:val="en-US" w:eastAsia="zh-CN"/>
                <w14:textFill>
                  <w14:solidFill>
                    <w14:schemeClr w14:val="tx1">
                      <w14:lumMod w14:val="75000"/>
                      <w14:lumOff w14:val="25000"/>
                    </w14:schemeClr>
                  </w14:solidFill>
                </w14:textFill>
              </w:rPr>
              <w:t>邮件</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易部署，</w:t>
            </w:r>
            <w:r>
              <w:rPr>
                <w:rFonts w:hint="eastAsia" w:ascii="宋体" w:hAnsi="宋体" w:eastAsia="宋体"/>
                <w:color w:val="404040" w:themeColor="text1" w:themeTint="BF"/>
                <w:sz w:val="18"/>
                <w:szCs w:val="20"/>
                <w:lang w:val="en-US" w:eastAsia="zh-CN"/>
                <w14:textFill>
                  <w14:solidFill>
                    <w14:schemeClr w14:val="tx1">
                      <w14:lumMod w14:val="75000"/>
                      <w14:lumOff w14:val="25000"/>
                    </w14:schemeClr>
                  </w14:solidFill>
                </w14:textFill>
              </w:rPr>
              <w:t>通过邮件</w:t>
            </w: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完成注册及部署上线，相对于传统组网设备可大幅度缩短上线周期和实施成本</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top"/>
          </w:tcPr>
          <w:p>
            <w:pPr>
              <w:spacing w:line="240" w:lineRule="auto"/>
              <w:jc w:val="left"/>
              <w:rPr>
                <w:rFonts w:hint="eastAsia" w:ascii="宋体" w:hAnsi="宋体" w:eastAsia="宋体" w:cstheme="minorBidi"/>
                <w:b/>
                <w:bCs/>
                <w:color w:val="558ED5" w:themeColor="text2" w:themeTint="99"/>
                <w:kern w:val="0"/>
                <w:sz w:val="20"/>
                <w:szCs w:val="20"/>
                <w:lang w:val="en-US" w:eastAsia="zh-CN" w:bidi="ar-SA"/>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lang w:val="en-US" w:eastAsia="zh-CN"/>
                <w14:textFill>
                  <w14:solidFill>
                    <w14:schemeClr w14:val="tx2">
                      <w14:lumMod w14:val="60000"/>
                      <w14:lumOff w14:val="40000"/>
                    </w14:schemeClr>
                  </w14:solidFill>
                </w14:textFill>
              </w:rPr>
              <w:t>集中</w:t>
            </w: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可视化</w:t>
            </w:r>
            <w:r>
              <w:rPr>
                <w:rFonts w:hint="eastAsia" w:ascii="宋体" w:hAnsi="宋体" w:eastAsia="宋体"/>
                <w:b/>
                <w:bCs/>
                <w:color w:val="558ED5" w:themeColor="text2" w:themeTint="99"/>
                <w:kern w:val="0"/>
                <w:sz w:val="20"/>
                <w:szCs w:val="20"/>
                <w:lang w:val="en-US" w:eastAsia="zh-CN"/>
                <w14:textFill>
                  <w14:solidFill>
                    <w14:schemeClr w14:val="tx2">
                      <w14:lumMod w14:val="60000"/>
                      <w14:lumOff w14:val="40000"/>
                    </w14:schemeClr>
                  </w14:solidFill>
                </w14:textFill>
              </w:rPr>
              <w:t>管理运维</w:t>
            </w:r>
          </w:p>
        </w:tc>
        <w:tc>
          <w:tcPr>
            <w:tcW w:w="4237" w:type="pct"/>
            <w:vAlign w:val="top"/>
          </w:tcPr>
          <w:p>
            <w:pPr>
              <w:pStyle w:val="4"/>
              <w:spacing w:line="360" w:lineRule="auto"/>
              <w:jc w:val="left"/>
              <w:rPr>
                <w:rFonts w:hint="eastAsia" w:ascii="宋体" w:hAnsi="宋体" w:eastAsia="宋体" w:cstheme="minorBidi"/>
                <w:color w:val="404040" w:themeColor="text1" w:themeTint="BF"/>
                <w:kern w:val="2"/>
                <w:sz w:val="18"/>
                <w:szCs w:val="20"/>
                <w:lang w:val="en-US" w:eastAsia="zh-CN" w:bidi="ar-SA"/>
                <w14:textFill>
                  <w14:solidFill>
                    <w14:schemeClr w14:val="tx1">
                      <w14:lumMod w14:val="75000"/>
                      <w14:lumOff w14:val="25000"/>
                    </w14:schemeClr>
                  </w14:solidFill>
                </w14:textFill>
              </w:rPr>
            </w:pPr>
            <w:r>
              <w:rPr>
                <w:rFonts w:hint="eastAsia" w:cstheme="minorBidi"/>
                <w:color w:val="404040" w:themeColor="text1" w:themeTint="BF"/>
                <w:kern w:val="2"/>
                <w:sz w:val="18"/>
                <w:szCs w:val="20"/>
                <w:lang w:val="en-US" w:bidi="ar-SA"/>
                <w14:textFill>
                  <w14:solidFill>
                    <w14:schemeClr w14:val="tx1">
                      <w14:lumMod w14:val="75000"/>
                      <w14:lumOff w14:val="25000"/>
                    </w14:schemeClr>
                  </w14:solidFill>
                </w14:textFill>
              </w:rPr>
              <w:t>支持接入SD-WAN集中管理平台实现全网设备、链路、应用流量可视化监控及管理。</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top"/>
          </w:tcPr>
          <w:p>
            <w:pPr>
              <w:spacing w:line="240" w:lineRule="auto"/>
              <w:jc w:val="left"/>
              <w:rPr>
                <w:rFonts w:hint="eastAsia" w:ascii="宋体" w:hAnsi="宋体" w:eastAsia="宋体" w:cstheme="minorBidi"/>
                <w:b/>
                <w:bCs/>
                <w:color w:val="558ED5" w:themeColor="text2" w:themeTint="99"/>
                <w:kern w:val="0"/>
                <w:sz w:val="20"/>
                <w:szCs w:val="20"/>
                <w:lang w:val="en-US" w:eastAsia="zh-CN" w:bidi="ar-SA"/>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数据传输安全</w:t>
            </w:r>
          </w:p>
        </w:tc>
        <w:tc>
          <w:tcPr>
            <w:tcW w:w="4237" w:type="pct"/>
            <w:vAlign w:val="top"/>
          </w:tcPr>
          <w:p>
            <w:pPr>
              <w:spacing w:line="240" w:lineRule="auto"/>
              <w:jc w:val="left"/>
              <w:rPr>
                <w:rFonts w:hint="eastAsia" w:ascii="宋体" w:hAnsi="宋体" w:eastAsia="宋体" w:cstheme="minorBidi"/>
                <w:color w:val="404040" w:themeColor="text1" w:themeTint="BF"/>
                <w:kern w:val="2"/>
                <w:sz w:val="18"/>
                <w:szCs w:val="20"/>
                <w:lang w:val="en-US" w:eastAsia="zh-CN" w:bidi="ar-SA"/>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支持基于VPN国际算法加密数据传输</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top"/>
          </w:tcPr>
          <w:p>
            <w:pPr>
              <w:spacing w:line="240" w:lineRule="auto"/>
              <w:jc w:val="left"/>
              <w:rPr>
                <w:rFonts w:hint="eastAsia" w:ascii="宋体" w:hAnsi="宋体" w:eastAsia="宋体"/>
                <w:b/>
                <w:bCs/>
                <w:color w:val="558ED5" w:themeColor="text2" w:themeTint="99"/>
                <w:kern w:val="0"/>
                <w:sz w:val="20"/>
                <w:szCs w:val="20"/>
                <w:lang w:val="en-US" w:eastAsia="zh-CN"/>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联动</w:t>
            </w:r>
            <w:r>
              <w:rPr>
                <w:rFonts w:hint="eastAsia" w:ascii="宋体" w:hAnsi="宋体" w:eastAsia="宋体"/>
                <w:b/>
                <w:bCs/>
                <w:color w:val="558ED5" w:themeColor="text2" w:themeTint="99"/>
                <w:kern w:val="0"/>
                <w:sz w:val="20"/>
                <w:szCs w:val="20"/>
                <w:lang w:val="en-US" w:eastAsia="zh-CN"/>
                <w14:textFill>
                  <w14:solidFill>
                    <w14:schemeClr w14:val="tx2">
                      <w14:lumMod w14:val="60000"/>
                      <w14:lumOff w14:val="40000"/>
                    </w14:schemeClr>
                  </w14:solidFill>
                </w14:textFill>
              </w:rPr>
              <w:t>管理</w:t>
            </w:r>
          </w:p>
        </w:tc>
        <w:tc>
          <w:tcPr>
            <w:tcW w:w="4237" w:type="pct"/>
            <w:vAlign w:val="top"/>
          </w:tcPr>
          <w:p>
            <w:pPr>
              <w:spacing w:line="240" w:lineRule="auto"/>
              <w:jc w:val="left"/>
              <w:rPr>
                <w:rFonts w:hint="eastAsia"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产品支持与云桌面终端安全联动管理，在防火墙产品完成终端安全策略设置和内网终端安全软件的统一管理。</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top"/>
          </w:tcPr>
          <w:p>
            <w:pPr>
              <w:spacing w:line="240" w:lineRule="auto"/>
              <w:jc w:val="left"/>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勒索病毒检测</w:t>
            </w:r>
          </w:p>
        </w:tc>
        <w:tc>
          <w:tcPr>
            <w:tcW w:w="4237" w:type="pct"/>
            <w:vAlign w:val="top"/>
          </w:tcPr>
          <w:p>
            <w:pPr>
              <w:spacing w:line="240" w:lineRule="auto"/>
              <w:jc w:val="left"/>
              <w:rPr>
                <w:rFonts w:hint="eastAsia" w:ascii="宋体" w:hAnsi="宋体" w:eastAsia="宋体"/>
                <w:color w:val="404040" w:themeColor="text1" w:themeTint="BF"/>
                <w:sz w:val="18"/>
                <w:szCs w:val="20"/>
                <w:lang w:val="en-US" w:eastAsia="zh-CN"/>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支持勒索病毒检测功能，针对勒索病毒攻击设置专项安全</w:t>
            </w:r>
            <w:r>
              <w:rPr>
                <w:rFonts w:hint="eastAsia" w:ascii="宋体" w:hAnsi="宋体" w:eastAsia="宋体"/>
                <w:color w:val="404040" w:themeColor="text1" w:themeTint="BF"/>
                <w:sz w:val="18"/>
                <w:szCs w:val="20"/>
                <w:lang w:val="en-US" w:eastAsia="zh-CN"/>
                <w14:textFill>
                  <w14:solidFill>
                    <w14:schemeClr w14:val="tx1">
                      <w14:lumMod w14:val="75000"/>
                      <w14:lumOff w14:val="25000"/>
                    </w14:schemeClr>
                  </w14:solidFill>
                </w14:textFill>
              </w:rPr>
              <w:t>策略</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55" w:hRule="atLeast"/>
        </w:trPr>
        <w:tc>
          <w:tcPr>
            <w:tcW w:w="762" w:type="pct"/>
            <w:vAlign w:val="top"/>
          </w:tcPr>
          <w:p>
            <w:pPr>
              <w:spacing w:line="240" w:lineRule="auto"/>
              <w:jc w:val="left"/>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pPr>
            <w:r>
              <w:rPr>
                <w:rFonts w:hint="eastAsia" w:ascii="宋体" w:hAnsi="宋体" w:eastAsia="宋体"/>
                <w:b/>
                <w:bCs/>
                <w:color w:val="558ED5" w:themeColor="text2" w:themeTint="99"/>
                <w:kern w:val="0"/>
                <w:sz w:val="20"/>
                <w:szCs w:val="20"/>
                <w14:textFill>
                  <w14:solidFill>
                    <w14:schemeClr w14:val="tx2">
                      <w14:lumMod w14:val="60000"/>
                      <w14:lumOff w14:val="40000"/>
                    </w14:schemeClr>
                  </w14:solidFill>
                </w14:textFill>
              </w:rPr>
              <w:t>应用识别和控制</w:t>
            </w:r>
          </w:p>
        </w:tc>
        <w:tc>
          <w:tcPr>
            <w:tcW w:w="4237" w:type="pct"/>
            <w:vAlign w:val="top"/>
          </w:tcPr>
          <w:p>
            <w:pPr>
              <w:spacing w:line="240" w:lineRule="auto"/>
              <w:jc w:val="left"/>
              <w:rPr>
                <w:rFonts w:hint="eastAsia" w:ascii="宋体" w:hAnsi="宋体" w:eastAsia="宋体"/>
                <w:color w:val="404040" w:themeColor="text1" w:themeTint="BF"/>
                <w:sz w:val="18"/>
                <w:szCs w:val="20"/>
                <w14:textFill>
                  <w14:solidFill>
                    <w14:schemeClr w14:val="tx1">
                      <w14:lumMod w14:val="75000"/>
                      <w14:lumOff w14:val="25000"/>
                    </w14:schemeClr>
                  </w14:solidFill>
                </w14:textFill>
              </w:rPr>
            </w:pPr>
            <w:r>
              <w:rPr>
                <w:rFonts w:hint="eastAsia" w:ascii="宋体" w:hAnsi="宋体" w:eastAsia="宋体"/>
                <w:color w:val="404040" w:themeColor="text1" w:themeTint="BF"/>
                <w:sz w:val="18"/>
                <w:szCs w:val="20"/>
                <w14:textFill>
                  <w14:solidFill>
                    <w14:schemeClr w14:val="tx1">
                      <w14:lumMod w14:val="75000"/>
                      <w14:lumOff w14:val="25000"/>
                    </w14:schemeClr>
                  </w14:solidFill>
                </w14:textFill>
              </w:rPr>
              <w:t>产品支持对不少于9000种应用的识别和控制，应用类型包括游戏、购物、图书百科、工作招聘、P2P下载、聊天工具、旅游出行、股票软件等类型应用进行检测与控制。</w:t>
            </w:r>
          </w:p>
        </w:tc>
      </w:tr>
    </w:tbl>
    <w:p>
      <w:pPr>
        <w:spacing w:line="240" w:lineRule="auto"/>
        <w:jc w:val="left"/>
      </w:pPr>
    </w:p>
    <w:p>
      <w:pPr>
        <w:spacing w:line="240" w:lineRule="auto"/>
        <w:jc w:val="left"/>
      </w:pPr>
    </w:p>
    <w:p>
      <w:pPr>
        <w:spacing w:line="240" w:lineRule="auto"/>
        <w:jc w:val="left"/>
      </w:pPr>
      <w:r>
        <w:drawing>
          <wp:inline distT="0" distB="0" distL="114300" distR="114300">
            <wp:extent cx="6653530" cy="8890000"/>
            <wp:effectExtent l="0" t="0" r="127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653530" cy="8890000"/>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b/>
          <w:sz w:val="21"/>
          <w:szCs w:val="21"/>
          <w:lang w:val="en-US" w:eastAsia="zh-CN"/>
        </w:rPr>
      </w:pPr>
      <w:r>
        <w:rPr>
          <w:rFonts w:hint="eastAsia"/>
          <w:b/>
          <w:sz w:val="21"/>
          <w:szCs w:val="21"/>
          <w:lang w:val="en-US" w:eastAsia="zh-CN"/>
        </w:rPr>
        <w:t>2.</w:t>
      </w:r>
      <w:r>
        <w:rPr>
          <w:rFonts w:hint="default"/>
          <w:b/>
          <w:sz w:val="21"/>
          <w:szCs w:val="21"/>
          <w:lang w:val="en-US" w:eastAsia="zh-CN"/>
        </w:rPr>
        <w:t>防火墙</w:t>
      </w:r>
      <w:r>
        <w:rPr>
          <w:rFonts w:hint="eastAsia"/>
          <w:b/>
          <w:sz w:val="21"/>
          <w:szCs w:val="21"/>
          <w:lang w:val="en-US" w:eastAsia="zh-CN"/>
        </w:rPr>
        <w:t>（下一代防火墙）</w:t>
      </w:r>
    </w:p>
    <w:p>
      <w:pPr>
        <w:spacing w:before="142" w:line="292" w:lineRule="auto"/>
        <w:ind w:left="24" w:right="13" w:hanging="2"/>
        <w:rPr>
          <w:rFonts w:hint="eastAsia" w:ascii="宋体" w:hAnsi="宋体" w:eastAsia="微软雅黑" w:cs="宋体"/>
          <w:sz w:val="20"/>
          <w:szCs w:val="20"/>
          <w:lang w:eastAsia="zh-CN"/>
        </w:rPr>
      </w:pPr>
      <w:r>
        <w:rPr>
          <w:rFonts w:hint="default"/>
          <w:lang w:val="en-US" w:eastAsia="zh-CN"/>
        </w:rPr>
        <w:t>产品支持勒索病毒检测与防御功能，需提供产品功能截图证明，并提供公安部计算机信息系统安全产品质量监督检验中心、中国信息安全测评中心、中华人民共和国国家版权局、公安部信息安全产品检测中心之中任意一家检测机构出具关于“勒索病毒”的证书或检测报告证明功能有效性。</w:t>
      </w:r>
      <w:r>
        <w:rPr>
          <w:rFonts w:hint="eastAsia" w:ascii="宋体" w:hAnsi="宋体" w:eastAsia="宋体" w:cs="宋体"/>
          <w:spacing w:val="11"/>
          <w:sz w:val="20"/>
          <w:szCs w:val="20"/>
          <w:lang w:val="en-US" w:eastAsia="zh-CN"/>
        </w:rPr>
        <w:t xml:space="preserve"> </w:t>
      </w:r>
    </w:p>
    <w:p>
      <w:pPr>
        <w:spacing w:line="11724" w:lineRule="exact"/>
        <w:ind w:firstLine="14"/>
        <w:textAlignment w:val="center"/>
      </w:pPr>
      <w:r>
        <w:drawing>
          <wp:inline distT="0" distB="0" distL="0" distR="0">
            <wp:extent cx="5266690" cy="7444740"/>
            <wp:effectExtent l="0" t="0" r="3810" b="10160"/>
            <wp:docPr id="8" name="IM 3"/>
            <wp:cNvGraphicFramePr/>
            <a:graphic xmlns:a="http://schemas.openxmlformats.org/drawingml/2006/main">
              <a:graphicData uri="http://schemas.openxmlformats.org/drawingml/2006/picture">
                <pic:pic xmlns:pic="http://schemas.openxmlformats.org/drawingml/2006/picture">
                  <pic:nvPicPr>
                    <pic:cNvPr id="8" name="IM 3"/>
                    <pic:cNvPicPr/>
                  </pic:nvPicPr>
                  <pic:blipFill>
                    <a:blip r:embed="rId12"/>
                    <a:stretch>
                      <a:fillRect/>
                    </a:stretch>
                  </pic:blipFill>
                  <pic:spPr>
                    <a:xfrm>
                      <a:off x="0" y="0"/>
                      <a:ext cx="5266944" cy="7444740"/>
                    </a:xfrm>
                    <a:prstGeom prst="rect">
                      <a:avLst/>
                    </a:prstGeom>
                  </pic:spPr>
                </pic:pic>
              </a:graphicData>
            </a:graphic>
          </wp:inline>
        </w:drawing>
      </w:r>
    </w:p>
    <w:p>
      <w:pPr>
        <w:sectPr>
          <w:pgSz w:w="11906" w:h="16839"/>
          <w:pgMar w:top="1431" w:right="1785" w:bottom="0" w:left="1785" w:header="0" w:footer="0" w:gutter="0"/>
          <w:cols w:space="720" w:num="1"/>
        </w:sectPr>
      </w:pPr>
    </w:p>
    <w:p>
      <w:pPr>
        <w:numPr>
          <w:ilvl w:val="0"/>
          <w:numId w:val="0"/>
        </w:numPr>
        <w:rPr>
          <w:rFonts w:hint="default"/>
          <w:lang w:val="en-US" w:eastAsia="zh-CN"/>
        </w:rPr>
      </w:pPr>
    </w:p>
    <w:p>
      <w:pPr>
        <w:numPr>
          <w:ilvl w:val="0"/>
          <w:numId w:val="0"/>
        </w:numPr>
        <w:jc w:val="center"/>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r>
        <w:rPr>
          <w:rFonts w:hint="default"/>
          <w:lang w:val="en-US" w:eastAsia="zh-CN"/>
        </w:rPr>
        <w:t>★产品支持与云桌面终端安全联动管理，在防火墙产品完成终端安全策略设置和内网终端安全软件的统一管理。（需提供产品功能证明材料） 三年产品质保及软件升级服务。</w:t>
      </w:r>
    </w:p>
    <w:p>
      <w:pPr>
        <w:spacing w:line="8260" w:lineRule="exact"/>
        <w:ind w:firstLine="14"/>
        <w:textAlignment w:val="center"/>
      </w:pPr>
      <w:r>
        <w:drawing>
          <wp:inline distT="0" distB="0" distL="0" distR="0">
            <wp:extent cx="6666865" cy="5854700"/>
            <wp:effectExtent l="0" t="0" r="635"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tretch>
                      <a:fillRect/>
                    </a:stretch>
                  </pic:blipFill>
                  <pic:spPr>
                    <a:xfrm>
                      <a:off x="0" y="0"/>
                      <a:ext cx="6666865" cy="5854700"/>
                    </a:xfrm>
                    <a:prstGeom prst="rect">
                      <a:avLst/>
                    </a:prstGeom>
                  </pic:spPr>
                </pic:pic>
              </a:graphicData>
            </a:graphic>
          </wp:inline>
        </w:drawing>
      </w:r>
    </w:p>
    <w:p>
      <w:pPr>
        <w:numPr>
          <w:ilvl w:val="0"/>
          <w:numId w:val="0"/>
        </w:numPr>
        <w:ind w:leftChars="0"/>
        <w:rPr>
          <w:rFonts w:hint="default"/>
          <w:lang w:val="en-US" w:eastAsia="zh-CN"/>
        </w:rPr>
      </w:pPr>
    </w:p>
    <w:p>
      <w:pPr>
        <w:spacing w:line="240" w:lineRule="auto"/>
        <w:jc w:val="left"/>
      </w:pPr>
    </w:p>
    <w:sectPr>
      <w:footerReference r:id="rId7" w:type="first"/>
      <w:headerReference r:id="rId5" w:type="default"/>
      <w:footerReference r:id="rId6" w:type="default"/>
      <w:pgSz w:w="11906" w:h="16838"/>
      <w:pgMar w:top="720" w:right="720" w:bottom="720" w:left="72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Noto Sans Mono CJK JP Regular">
    <w:altName w:val="Calibri"/>
    <w:panose1 w:val="00000000000000000000"/>
    <w:charset w:val="00"/>
    <w:family w:val="swiss"/>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drawing>
        <wp:anchor distT="0" distB="0" distL="114300" distR="114300" simplePos="0" relativeHeight="251659264" behindDoc="1" locked="0" layoutInCell="1" allowOverlap="1">
          <wp:simplePos x="0" y="0"/>
          <wp:positionH relativeFrom="margin">
            <wp:align>right</wp:align>
          </wp:positionH>
          <wp:positionV relativeFrom="page">
            <wp:posOffset>10058400</wp:posOffset>
          </wp:positionV>
          <wp:extent cx="6651625" cy="453390"/>
          <wp:effectExtent l="0" t="0" r="0" b="3810"/>
          <wp:wrapTight wrapText="bothSides">
            <wp:wrapPolygon>
              <wp:start x="0" y="0"/>
              <wp:lineTo x="0" y="20874"/>
              <wp:lineTo x="21530" y="20874"/>
              <wp:lineTo x="21530"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51512" cy="45339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2336" behindDoc="1" locked="0" layoutInCell="1" allowOverlap="1">
          <wp:simplePos x="0" y="0"/>
          <wp:positionH relativeFrom="margin">
            <wp:posOffset>0</wp:posOffset>
          </wp:positionH>
          <wp:positionV relativeFrom="page">
            <wp:posOffset>10057130</wp:posOffset>
          </wp:positionV>
          <wp:extent cx="6651625" cy="453390"/>
          <wp:effectExtent l="0" t="0" r="0" b="3810"/>
          <wp:wrapTight wrapText="bothSides">
            <wp:wrapPolygon>
              <wp:start x="0" y="0"/>
              <wp:lineTo x="0" y="20874"/>
              <wp:lineTo x="21530" y="20874"/>
              <wp:lineTo x="2153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51512" cy="45339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1312" behindDoc="1" locked="0" layoutInCell="1" allowOverlap="1">
          <wp:simplePos x="0" y="0"/>
          <wp:positionH relativeFrom="column">
            <wp:posOffset>3613785</wp:posOffset>
          </wp:positionH>
          <wp:positionV relativeFrom="page">
            <wp:posOffset>158750</wp:posOffset>
          </wp:positionV>
          <wp:extent cx="3002915" cy="312420"/>
          <wp:effectExtent l="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a:extLst>
                      <a:ext uri="{28A0092B-C50C-407E-A947-70E740481C1C}">
                        <a14:useLocalDpi xmlns:a14="http://schemas.microsoft.com/office/drawing/2010/main" val="0"/>
                      </a:ext>
                    </a:extLst>
                  </a:blip>
                  <a:srcRect l="47949" r="-148" b="-18"/>
                  <a:stretch>
                    <a:fillRect/>
                  </a:stretch>
                </pic:blipFill>
                <pic:spPr>
                  <a:xfrm>
                    <a:off x="0" y="0"/>
                    <a:ext cx="3002915" cy="312420"/>
                  </a:xfrm>
                  <a:prstGeom prst="rect">
                    <a:avLst/>
                  </a:prstGeom>
                  <a:ln>
                    <a:noFill/>
                  </a:ln>
                </pic:spPr>
              </pic:pic>
            </a:graphicData>
          </a:graphic>
        </wp:anchor>
      </w:drawing>
    </w:r>
    <w:r>
      <w:drawing>
        <wp:anchor distT="0" distB="0" distL="114300" distR="114300" simplePos="0" relativeHeight="251660288" behindDoc="1" locked="0" layoutInCell="1" allowOverlap="1">
          <wp:simplePos x="0" y="0"/>
          <wp:positionH relativeFrom="margin">
            <wp:align>left</wp:align>
          </wp:positionH>
          <wp:positionV relativeFrom="page">
            <wp:posOffset>161925</wp:posOffset>
          </wp:positionV>
          <wp:extent cx="2265680" cy="335280"/>
          <wp:effectExtent l="0" t="0" r="0" b="7620"/>
          <wp:wrapNone/>
          <wp:docPr id="13" name="图片 13" descr="微信图片_2019041210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0412103654"/>
                  <pic:cNvPicPr>
                    <a:picLocks noChangeAspect="1"/>
                  </pic:cNvPicPr>
                </pic:nvPicPr>
                <pic:blipFill>
                  <a:blip r:embed="rId2"/>
                  <a:srcRect l="8672" t="33266" r="-14849" b="32050"/>
                  <a:stretch>
                    <a:fillRect/>
                  </a:stretch>
                </pic:blipFill>
                <pic:spPr>
                  <a:xfrm>
                    <a:off x="0" y="0"/>
                    <a:ext cx="2265680" cy="3352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00702312"/>
    <w:rsid w:val="00000986"/>
    <w:rsid w:val="00001780"/>
    <w:rsid w:val="00004AE4"/>
    <w:rsid w:val="000072B1"/>
    <w:rsid w:val="00010196"/>
    <w:rsid w:val="00020A3A"/>
    <w:rsid w:val="00021215"/>
    <w:rsid w:val="00024F18"/>
    <w:rsid w:val="00026B63"/>
    <w:rsid w:val="0003162A"/>
    <w:rsid w:val="00033F5B"/>
    <w:rsid w:val="00037C78"/>
    <w:rsid w:val="000459B9"/>
    <w:rsid w:val="00060606"/>
    <w:rsid w:val="00062BBD"/>
    <w:rsid w:val="0006348D"/>
    <w:rsid w:val="00070C0D"/>
    <w:rsid w:val="00072D90"/>
    <w:rsid w:val="00082268"/>
    <w:rsid w:val="00087B40"/>
    <w:rsid w:val="00090676"/>
    <w:rsid w:val="00094B16"/>
    <w:rsid w:val="000978CF"/>
    <w:rsid w:val="000A043C"/>
    <w:rsid w:val="000A4027"/>
    <w:rsid w:val="000A6599"/>
    <w:rsid w:val="000D62CB"/>
    <w:rsid w:val="000E0C27"/>
    <w:rsid w:val="000E1EB5"/>
    <w:rsid w:val="000E5B63"/>
    <w:rsid w:val="000E7B1B"/>
    <w:rsid w:val="000E7E27"/>
    <w:rsid w:val="000F1802"/>
    <w:rsid w:val="000F5CAA"/>
    <w:rsid w:val="00100633"/>
    <w:rsid w:val="001115F8"/>
    <w:rsid w:val="001150E9"/>
    <w:rsid w:val="00116801"/>
    <w:rsid w:val="00116B6C"/>
    <w:rsid w:val="00117D14"/>
    <w:rsid w:val="001222AE"/>
    <w:rsid w:val="00127396"/>
    <w:rsid w:val="0013404C"/>
    <w:rsid w:val="00134551"/>
    <w:rsid w:val="00156AB8"/>
    <w:rsid w:val="001677E5"/>
    <w:rsid w:val="001722FA"/>
    <w:rsid w:val="001825FD"/>
    <w:rsid w:val="00187378"/>
    <w:rsid w:val="00190230"/>
    <w:rsid w:val="00196039"/>
    <w:rsid w:val="001A0C13"/>
    <w:rsid w:val="001A2BBD"/>
    <w:rsid w:val="001A630A"/>
    <w:rsid w:val="001A6BBC"/>
    <w:rsid w:val="001C6C12"/>
    <w:rsid w:val="001E3840"/>
    <w:rsid w:val="001E5600"/>
    <w:rsid w:val="001F55FE"/>
    <w:rsid w:val="002006AD"/>
    <w:rsid w:val="0020451E"/>
    <w:rsid w:val="00210279"/>
    <w:rsid w:val="00213EC6"/>
    <w:rsid w:val="00221764"/>
    <w:rsid w:val="00223C20"/>
    <w:rsid w:val="00224A77"/>
    <w:rsid w:val="00227604"/>
    <w:rsid w:val="002470DF"/>
    <w:rsid w:val="00247244"/>
    <w:rsid w:val="00255E6A"/>
    <w:rsid w:val="00262875"/>
    <w:rsid w:val="00264473"/>
    <w:rsid w:val="00270CAB"/>
    <w:rsid w:val="00293A19"/>
    <w:rsid w:val="002A17FF"/>
    <w:rsid w:val="002A4DE3"/>
    <w:rsid w:val="002B38B6"/>
    <w:rsid w:val="002B441D"/>
    <w:rsid w:val="002B4F48"/>
    <w:rsid w:val="002D7AE3"/>
    <w:rsid w:val="002E316D"/>
    <w:rsid w:val="002E4152"/>
    <w:rsid w:val="002E5EF1"/>
    <w:rsid w:val="002E62E6"/>
    <w:rsid w:val="00304892"/>
    <w:rsid w:val="00314FCA"/>
    <w:rsid w:val="00316A01"/>
    <w:rsid w:val="00321FB5"/>
    <w:rsid w:val="00324C76"/>
    <w:rsid w:val="00331507"/>
    <w:rsid w:val="003333F3"/>
    <w:rsid w:val="00335D01"/>
    <w:rsid w:val="0034090A"/>
    <w:rsid w:val="003445D0"/>
    <w:rsid w:val="00347C02"/>
    <w:rsid w:val="003622BB"/>
    <w:rsid w:val="00362A2E"/>
    <w:rsid w:val="003738E3"/>
    <w:rsid w:val="0038205F"/>
    <w:rsid w:val="00385B0C"/>
    <w:rsid w:val="003954C1"/>
    <w:rsid w:val="003B0735"/>
    <w:rsid w:val="003B1EF8"/>
    <w:rsid w:val="003B4375"/>
    <w:rsid w:val="003C3F03"/>
    <w:rsid w:val="003C6C75"/>
    <w:rsid w:val="003C79B8"/>
    <w:rsid w:val="003D1E0F"/>
    <w:rsid w:val="003D272B"/>
    <w:rsid w:val="003E1863"/>
    <w:rsid w:val="003F19F5"/>
    <w:rsid w:val="004026FF"/>
    <w:rsid w:val="0040705F"/>
    <w:rsid w:val="00412447"/>
    <w:rsid w:val="004156C7"/>
    <w:rsid w:val="00422A1A"/>
    <w:rsid w:val="0042383F"/>
    <w:rsid w:val="00433BE3"/>
    <w:rsid w:val="00456B87"/>
    <w:rsid w:val="00457568"/>
    <w:rsid w:val="0046578C"/>
    <w:rsid w:val="0046789F"/>
    <w:rsid w:val="00470F5B"/>
    <w:rsid w:val="004712D6"/>
    <w:rsid w:val="004809CA"/>
    <w:rsid w:val="0048141A"/>
    <w:rsid w:val="0048400D"/>
    <w:rsid w:val="00484167"/>
    <w:rsid w:val="00485C15"/>
    <w:rsid w:val="00486654"/>
    <w:rsid w:val="00486E3F"/>
    <w:rsid w:val="004A0C13"/>
    <w:rsid w:val="004A1994"/>
    <w:rsid w:val="004A6C13"/>
    <w:rsid w:val="004B6CB6"/>
    <w:rsid w:val="004B7D32"/>
    <w:rsid w:val="004C144D"/>
    <w:rsid w:val="00501748"/>
    <w:rsid w:val="00504480"/>
    <w:rsid w:val="00510B21"/>
    <w:rsid w:val="00514BAD"/>
    <w:rsid w:val="00523E7B"/>
    <w:rsid w:val="00535E56"/>
    <w:rsid w:val="0053657D"/>
    <w:rsid w:val="00540888"/>
    <w:rsid w:val="00546799"/>
    <w:rsid w:val="00550DC9"/>
    <w:rsid w:val="00561A70"/>
    <w:rsid w:val="00567FDE"/>
    <w:rsid w:val="0057183F"/>
    <w:rsid w:val="00575EEA"/>
    <w:rsid w:val="0057783F"/>
    <w:rsid w:val="00577F2A"/>
    <w:rsid w:val="005A156C"/>
    <w:rsid w:val="005B4209"/>
    <w:rsid w:val="005C0691"/>
    <w:rsid w:val="005C0D17"/>
    <w:rsid w:val="005D3796"/>
    <w:rsid w:val="005E3F0A"/>
    <w:rsid w:val="005F1386"/>
    <w:rsid w:val="005F46EC"/>
    <w:rsid w:val="005F5A00"/>
    <w:rsid w:val="005F7B99"/>
    <w:rsid w:val="00601B00"/>
    <w:rsid w:val="00602F31"/>
    <w:rsid w:val="0060592F"/>
    <w:rsid w:val="00606868"/>
    <w:rsid w:val="00616CB2"/>
    <w:rsid w:val="00624380"/>
    <w:rsid w:val="00630F29"/>
    <w:rsid w:val="00631389"/>
    <w:rsid w:val="00654CC6"/>
    <w:rsid w:val="00655633"/>
    <w:rsid w:val="0066205C"/>
    <w:rsid w:val="006719CE"/>
    <w:rsid w:val="00673977"/>
    <w:rsid w:val="00676AB1"/>
    <w:rsid w:val="006A51BA"/>
    <w:rsid w:val="006A6931"/>
    <w:rsid w:val="006A6AF2"/>
    <w:rsid w:val="006B0379"/>
    <w:rsid w:val="006B09E2"/>
    <w:rsid w:val="006B3D2A"/>
    <w:rsid w:val="006B53CD"/>
    <w:rsid w:val="006B57D7"/>
    <w:rsid w:val="006C3FB5"/>
    <w:rsid w:val="006C5478"/>
    <w:rsid w:val="006C6D53"/>
    <w:rsid w:val="006D2F76"/>
    <w:rsid w:val="006D4372"/>
    <w:rsid w:val="006D5826"/>
    <w:rsid w:val="006E06EF"/>
    <w:rsid w:val="006F3D4C"/>
    <w:rsid w:val="007005B3"/>
    <w:rsid w:val="00700655"/>
    <w:rsid w:val="00702312"/>
    <w:rsid w:val="00714D45"/>
    <w:rsid w:val="007231D1"/>
    <w:rsid w:val="00725D73"/>
    <w:rsid w:val="007359B7"/>
    <w:rsid w:val="00742534"/>
    <w:rsid w:val="00744398"/>
    <w:rsid w:val="0074444C"/>
    <w:rsid w:val="00750A29"/>
    <w:rsid w:val="007544E8"/>
    <w:rsid w:val="007661FD"/>
    <w:rsid w:val="00771959"/>
    <w:rsid w:val="007743FC"/>
    <w:rsid w:val="00774C5E"/>
    <w:rsid w:val="0079071C"/>
    <w:rsid w:val="0079193B"/>
    <w:rsid w:val="00793515"/>
    <w:rsid w:val="007941CA"/>
    <w:rsid w:val="00794990"/>
    <w:rsid w:val="007B1E07"/>
    <w:rsid w:val="007B47DD"/>
    <w:rsid w:val="007C0640"/>
    <w:rsid w:val="007C4EBD"/>
    <w:rsid w:val="007C5F6D"/>
    <w:rsid w:val="007C7436"/>
    <w:rsid w:val="007D4815"/>
    <w:rsid w:val="007D7C0D"/>
    <w:rsid w:val="007E10F7"/>
    <w:rsid w:val="007E143B"/>
    <w:rsid w:val="007E2B3A"/>
    <w:rsid w:val="007E4DBA"/>
    <w:rsid w:val="007E4E5E"/>
    <w:rsid w:val="007E7DBF"/>
    <w:rsid w:val="00801CA1"/>
    <w:rsid w:val="00803767"/>
    <w:rsid w:val="00824DED"/>
    <w:rsid w:val="00825ED0"/>
    <w:rsid w:val="0083427A"/>
    <w:rsid w:val="0084659D"/>
    <w:rsid w:val="0085253D"/>
    <w:rsid w:val="00856D7E"/>
    <w:rsid w:val="00856D9B"/>
    <w:rsid w:val="00864A66"/>
    <w:rsid w:val="0086581D"/>
    <w:rsid w:val="008667EB"/>
    <w:rsid w:val="00867BDC"/>
    <w:rsid w:val="00877CD3"/>
    <w:rsid w:val="00885136"/>
    <w:rsid w:val="00895745"/>
    <w:rsid w:val="008A3700"/>
    <w:rsid w:val="008A422B"/>
    <w:rsid w:val="008A5BD2"/>
    <w:rsid w:val="008C5D00"/>
    <w:rsid w:val="008D6FD5"/>
    <w:rsid w:val="008E0D27"/>
    <w:rsid w:val="008E20E1"/>
    <w:rsid w:val="008E38FF"/>
    <w:rsid w:val="00903B68"/>
    <w:rsid w:val="00927156"/>
    <w:rsid w:val="00931AF8"/>
    <w:rsid w:val="00933E19"/>
    <w:rsid w:val="00935ADB"/>
    <w:rsid w:val="00946354"/>
    <w:rsid w:val="009513B9"/>
    <w:rsid w:val="009515AA"/>
    <w:rsid w:val="009611AE"/>
    <w:rsid w:val="009615BD"/>
    <w:rsid w:val="0097170E"/>
    <w:rsid w:val="00974443"/>
    <w:rsid w:val="00974D4A"/>
    <w:rsid w:val="0097758E"/>
    <w:rsid w:val="00984646"/>
    <w:rsid w:val="00986F7F"/>
    <w:rsid w:val="00990B07"/>
    <w:rsid w:val="009922BE"/>
    <w:rsid w:val="009A2CC1"/>
    <w:rsid w:val="009A3023"/>
    <w:rsid w:val="009B22AB"/>
    <w:rsid w:val="009B2CFD"/>
    <w:rsid w:val="009E06C8"/>
    <w:rsid w:val="009E2C4B"/>
    <w:rsid w:val="009E4EE7"/>
    <w:rsid w:val="009E5905"/>
    <w:rsid w:val="009F57F2"/>
    <w:rsid w:val="009F6466"/>
    <w:rsid w:val="00A001BB"/>
    <w:rsid w:val="00A2318E"/>
    <w:rsid w:val="00A35DBE"/>
    <w:rsid w:val="00A360E0"/>
    <w:rsid w:val="00A36FBB"/>
    <w:rsid w:val="00A478C0"/>
    <w:rsid w:val="00A506DB"/>
    <w:rsid w:val="00A53C83"/>
    <w:rsid w:val="00A53E27"/>
    <w:rsid w:val="00A54CD1"/>
    <w:rsid w:val="00A56D41"/>
    <w:rsid w:val="00A63A44"/>
    <w:rsid w:val="00A646FF"/>
    <w:rsid w:val="00A652F2"/>
    <w:rsid w:val="00A70DA1"/>
    <w:rsid w:val="00A71C88"/>
    <w:rsid w:val="00A72CD2"/>
    <w:rsid w:val="00A76872"/>
    <w:rsid w:val="00A8194A"/>
    <w:rsid w:val="00A84DF0"/>
    <w:rsid w:val="00A853DD"/>
    <w:rsid w:val="00A85ABB"/>
    <w:rsid w:val="00A91761"/>
    <w:rsid w:val="00A92924"/>
    <w:rsid w:val="00A977BF"/>
    <w:rsid w:val="00AA2DE9"/>
    <w:rsid w:val="00AA39A2"/>
    <w:rsid w:val="00AA3A66"/>
    <w:rsid w:val="00AB57B1"/>
    <w:rsid w:val="00AB74E2"/>
    <w:rsid w:val="00AC085A"/>
    <w:rsid w:val="00AC0C46"/>
    <w:rsid w:val="00AF092E"/>
    <w:rsid w:val="00AF3552"/>
    <w:rsid w:val="00B03C9F"/>
    <w:rsid w:val="00B0474B"/>
    <w:rsid w:val="00B15FC8"/>
    <w:rsid w:val="00B22A9A"/>
    <w:rsid w:val="00B22B33"/>
    <w:rsid w:val="00B23850"/>
    <w:rsid w:val="00B32EC1"/>
    <w:rsid w:val="00B40A30"/>
    <w:rsid w:val="00B45CE8"/>
    <w:rsid w:val="00B51458"/>
    <w:rsid w:val="00B522B7"/>
    <w:rsid w:val="00B66A54"/>
    <w:rsid w:val="00B753D4"/>
    <w:rsid w:val="00B81AA3"/>
    <w:rsid w:val="00B81AA9"/>
    <w:rsid w:val="00B82ED9"/>
    <w:rsid w:val="00B92E84"/>
    <w:rsid w:val="00B95695"/>
    <w:rsid w:val="00BA10B8"/>
    <w:rsid w:val="00BA2827"/>
    <w:rsid w:val="00BA28DC"/>
    <w:rsid w:val="00BB3734"/>
    <w:rsid w:val="00BC516E"/>
    <w:rsid w:val="00BD3A92"/>
    <w:rsid w:val="00BD53C7"/>
    <w:rsid w:val="00BD6A7A"/>
    <w:rsid w:val="00BE52BC"/>
    <w:rsid w:val="00BE533B"/>
    <w:rsid w:val="00BF0982"/>
    <w:rsid w:val="00C07AEB"/>
    <w:rsid w:val="00C1022A"/>
    <w:rsid w:val="00C1029A"/>
    <w:rsid w:val="00C11C38"/>
    <w:rsid w:val="00C13926"/>
    <w:rsid w:val="00C16877"/>
    <w:rsid w:val="00C2090B"/>
    <w:rsid w:val="00C2499E"/>
    <w:rsid w:val="00C26703"/>
    <w:rsid w:val="00C42B0D"/>
    <w:rsid w:val="00C45637"/>
    <w:rsid w:val="00C521F0"/>
    <w:rsid w:val="00C67BAE"/>
    <w:rsid w:val="00C74376"/>
    <w:rsid w:val="00C7642E"/>
    <w:rsid w:val="00C83CE7"/>
    <w:rsid w:val="00C84933"/>
    <w:rsid w:val="00C910DE"/>
    <w:rsid w:val="00C9124A"/>
    <w:rsid w:val="00CA0D8A"/>
    <w:rsid w:val="00CB4C22"/>
    <w:rsid w:val="00CC10B5"/>
    <w:rsid w:val="00CC16C6"/>
    <w:rsid w:val="00CD59A4"/>
    <w:rsid w:val="00CF3FA8"/>
    <w:rsid w:val="00D143CC"/>
    <w:rsid w:val="00D31DC6"/>
    <w:rsid w:val="00D379D8"/>
    <w:rsid w:val="00D41607"/>
    <w:rsid w:val="00D51B24"/>
    <w:rsid w:val="00D52994"/>
    <w:rsid w:val="00D604F1"/>
    <w:rsid w:val="00D6099B"/>
    <w:rsid w:val="00D64371"/>
    <w:rsid w:val="00D75536"/>
    <w:rsid w:val="00D75970"/>
    <w:rsid w:val="00D80E95"/>
    <w:rsid w:val="00D859F5"/>
    <w:rsid w:val="00D8637B"/>
    <w:rsid w:val="00D935A0"/>
    <w:rsid w:val="00D94992"/>
    <w:rsid w:val="00DA29EF"/>
    <w:rsid w:val="00DA7AC0"/>
    <w:rsid w:val="00DC236B"/>
    <w:rsid w:val="00DC30D7"/>
    <w:rsid w:val="00DC3DBC"/>
    <w:rsid w:val="00DC4719"/>
    <w:rsid w:val="00DD072E"/>
    <w:rsid w:val="00DD1C72"/>
    <w:rsid w:val="00DD33B1"/>
    <w:rsid w:val="00DD5FD6"/>
    <w:rsid w:val="00DE1077"/>
    <w:rsid w:val="00DE747A"/>
    <w:rsid w:val="00DE74B2"/>
    <w:rsid w:val="00DF14E4"/>
    <w:rsid w:val="00E0520E"/>
    <w:rsid w:val="00E1036B"/>
    <w:rsid w:val="00E22819"/>
    <w:rsid w:val="00E26800"/>
    <w:rsid w:val="00E31020"/>
    <w:rsid w:val="00E326D2"/>
    <w:rsid w:val="00E33542"/>
    <w:rsid w:val="00E350D6"/>
    <w:rsid w:val="00E52091"/>
    <w:rsid w:val="00E53F75"/>
    <w:rsid w:val="00E74ECC"/>
    <w:rsid w:val="00E85057"/>
    <w:rsid w:val="00E91A67"/>
    <w:rsid w:val="00EA0423"/>
    <w:rsid w:val="00EA355B"/>
    <w:rsid w:val="00EA4224"/>
    <w:rsid w:val="00EA5858"/>
    <w:rsid w:val="00EB3781"/>
    <w:rsid w:val="00EB6739"/>
    <w:rsid w:val="00EB6832"/>
    <w:rsid w:val="00EC2BEA"/>
    <w:rsid w:val="00EC3083"/>
    <w:rsid w:val="00EC516A"/>
    <w:rsid w:val="00EC5C2A"/>
    <w:rsid w:val="00ED2CF7"/>
    <w:rsid w:val="00EE0694"/>
    <w:rsid w:val="00EE16D1"/>
    <w:rsid w:val="00EE5E4A"/>
    <w:rsid w:val="00EF0CC3"/>
    <w:rsid w:val="00EF5EBF"/>
    <w:rsid w:val="00EF7A11"/>
    <w:rsid w:val="00F02D9B"/>
    <w:rsid w:val="00F1181C"/>
    <w:rsid w:val="00F131AA"/>
    <w:rsid w:val="00F13721"/>
    <w:rsid w:val="00F262A1"/>
    <w:rsid w:val="00F269FD"/>
    <w:rsid w:val="00F34066"/>
    <w:rsid w:val="00F42A28"/>
    <w:rsid w:val="00F431C7"/>
    <w:rsid w:val="00F476A1"/>
    <w:rsid w:val="00F47F5E"/>
    <w:rsid w:val="00F50BB6"/>
    <w:rsid w:val="00F56E20"/>
    <w:rsid w:val="00F645D5"/>
    <w:rsid w:val="00F709CB"/>
    <w:rsid w:val="00F7144B"/>
    <w:rsid w:val="00F73F36"/>
    <w:rsid w:val="00F849D6"/>
    <w:rsid w:val="00F85363"/>
    <w:rsid w:val="00F97C2D"/>
    <w:rsid w:val="00FA654B"/>
    <w:rsid w:val="00FD12B0"/>
    <w:rsid w:val="00FD1962"/>
    <w:rsid w:val="00FD43A3"/>
    <w:rsid w:val="00FE412A"/>
    <w:rsid w:val="00FF523C"/>
    <w:rsid w:val="01D11AE3"/>
    <w:rsid w:val="04957EC7"/>
    <w:rsid w:val="05E938A2"/>
    <w:rsid w:val="12E9528A"/>
    <w:rsid w:val="15303D48"/>
    <w:rsid w:val="189864E0"/>
    <w:rsid w:val="216065D7"/>
    <w:rsid w:val="25D8236B"/>
    <w:rsid w:val="30273A78"/>
    <w:rsid w:val="3FC92B3F"/>
    <w:rsid w:val="40C8039A"/>
    <w:rsid w:val="414449D2"/>
    <w:rsid w:val="472B1C24"/>
    <w:rsid w:val="48FD78F9"/>
    <w:rsid w:val="499B17C1"/>
    <w:rsid w:val="4B7262C4"/>
    <w:rsid w:val="52E673CE"/>
    <w:rsid w:val="598F6626"/>
    <w:rsid w:val="5D027239"/>
    <w:rsid w:val="5D207064"/>
    <w:rsid w:val="63810B52"/>
    <w:rsid w:val="68370899"/>
    <w:rsid w:val="6CB56728"/>
    <w:rsid w:val="77846D70"/>
    <w:rsid w:val="7792626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微软雅黑" w:asciiTheme="minorHAnsi" w:hAnsiTheme="minorHAnsi"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semiHidden/>
    <w:unhideWhenUsed/>
    <w:qFormat/>
    <w:uiPriority w:val="99"/>
    <w:pPr>
      <w:spacing w:line="240" w:lineRule="auto"/>
      <w:jc w:val="left"/>
    </w:pPr>
    <w:rPr>
      <w:rFonts w:ascii="Calibri" w:hAnsi="Calibri" w:eastAsia="宋体" w:cs="Times New Roman"/>
    </w:rPr>
  </w:style>
  <w:style w:type="paragraph" w:styleId="4">
    <w:name w:val="Body Text"/>
    <w:basedOn w:val="1"/>
    <w:qFormat/>
    <w:uiPriority w:val="1"/>
    <w:pPr>
      <w:autoSpaceDE w:val="0"/>
      <w:autoSpaceDN w:val="0"/>
      <w:spacing w:line="240" w:lineRule="auto"/>
      <w:jc w:val="left"/>
    </w:pPr>
    <w:rPr>
      <w:rFonts w:ascii="宋体" w:hAnsi="宋体" w:eastAsia="宋体" w:cs="宋体"/>
      <w:kern w:val="0"/>
      <w:sz w:val="17"/>
      <w:szCs w:val="17"/>
      <w:lang w:val="zh-CN" w:bidi="zh-CN"/>
    </w:rPr>
  </w:style>
  <w:style w:type="paragraph" w:styleId="5">
    <w:name w:val="Balloon Text"/>
    <w:basedOn w:val="1"/>
    <w:link w:val="17"/>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3"/>
    <w:next w:val="3"/>
    <w:link w:val="19"/>
    <w:semiHidden/>
    <w:unhideWhenUsed/>
    <w:qFormat/>
    <w:uiPriority w:val="99"/>
    <w:pPr>
      <w:spacing w:line="360" w:lineRule="auto"/>
    </w:pPr>
    <w:rPr>
      <w:rFonts w:eastAsia="微软雅黑" w:asciiTheme="minorHAnsi" w:hAnsiTheme="minorHAnsi" w:cstheme="minorBidi"/>
      <w:b/>
      <w:bCs/>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11">
    <w:name w:val="Medium Shading 1 Accent 1"/>
    <w:basedOn w:val="9"/>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shd w:val="clear" w:color="auto" w:fill="F1F1F1" w:themeFill="background1" w:themeFillShade="F2"/>
    </w:tc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13">
    <w:name w:val="annotation reference"/>
    <w:basedOn w:val="12"/>
    <w:semiHidden/>
    <w:unhideWhenUsed/>
    <w:qFormat/>
    <w:uiPriority w:val="99"/>
    <w:rPr>
      <w:sz w:val="21"/>
      <w:szCs w:val="21"/>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customStyle="1" w:styleId="16">
    <w:name w:val="样式 Arial 行距: 多倍行距 1.2 字行 首行缩进:  2 字符"/>
    <w:basedOn w:val="1"/>
    <w:qFormat/>
    <w:uiPriority w:val="0"/>
    <w:pPr>
      <w:spacing w:line="288" w:lineRule="auto"/>
      <w:ind w:firstLine="420" w:firstLineChars="200"/>
    </w:pPr>
    <w:rPr>
      <w:rFonts w:ascii="Arial" w:hAnsi="Arial" w:eastAsia="宋体" w:cs="宋体"/>
      <w:sz w:val="20"/>
      <w:szCs w:val="20"/>
    </w:rPr>
  </w:style>
  <w:style w:type="character" w:customStyle="1" w:styleId="17">
    <w:name w:val="批注框文本 字符"/>
    <w:basedOn w:val="12"/>
    <w:link w:val="5"/>
    <w:semiHidden/>
    <w:qFormat/>
    <w:uiPriority w:val="99"/>
    <w:rPr>
      <w:sz w:val="18"/>
      <w:szCs w:val="18"/>
    </w:rPr>
  </w:style>
  <w:style w:type="character" w:customStyle="1" w:styleId="18">
    <w:name w:val="批注文字 字符"/>
    <w:basedOn w:val="12"/>
    <w:link w:val="3"/>
    <w:semiHidden/>
    <w:qFormat/>
    <w:uiPriority w:val="99"/>
    <w:rPr>
      <w:rFonts w:ascii="Calibri" w:hAnsi="Calibri" w:eastAsia="宋体" w:cs="Times New Roman"/>
    </w:rPr>
  </w:style>
  <w:style w:type="character" w:customStyle="1" w:styleId="19">
    <w:name w:val="批注主题 字符"/>
    <w:basedOn w:val="18"/>
    <w:link w:val="8"/>
    <w:semiHidden/>
    <w:qFormat/>
    <w:uiPriority w:val="99"/>
    <w:rPr>
      <w:rFonts w:ascii="Calibri" w:hAnsi="Calibri" w:eastAsia="微软雅黑" w:cs="Times New Roman"/>
      <w:b/>
      <w:bCs/>
    </w:rPr>
  </w:style>
  <w:style w:type="paragraph" w:customStyle="1" w:styleId="20">
    <w:name w:val="Table Paragraph"/>
    <w:basedOn w:val="1"/>
    <w:qFormat/>
    <w:uiPriority w:val="1"/>
    <w:pPr>
      <w:autoSpaceDE w:val="0"/>
      <w:autoSpaceDN w:val="0"/>
      <w:spacing w:line="240" w:lineRule="auto"/>
      <w:jc w:val="left"/>
    </w:pPr>
    <w:rPr>
      <w:rFonts w:ascii="Noto Sans Mono CJK JP Regular" w:hAnsi="Noto Sans Mono CJK JP Regular" w:eastAsia="Noto Sans Mono CJK JP Regular" w:cs="Noto Sans Mono CJK JP Regular"/>
      <w:kern w:val="0"/>
      <w:sz w:val="22"/>
      <w:lang w:eastAsia="en-US"/>
    </w:rPr>
  </w:style>
  <w:style w:type="table" w:customStyle="1" w:styleId="21">
    <w:name w:val="Grid Table 4 Accent 1"/>
    <w:basedOn w:val="9"/>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22">
    <w:name w:val="Grid Table 5 Dark Accent 1"/>
    <w:basedOn w:val="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7C6E6-4784-4AC3-B394-40F634964E1C}">
  <ds:schemaRefs/>
</ds:datastoreItem>
</file>

<file path=docProps/app.xml><?xml version="1.0" encoding="utf-8"?>
<Properties xmlns="http://schemas.openxmlformats.org/officeDocument/2006/extended-properties" xmlns:vt="http://schemas.openxmlformats.org/officeDocument/2006/docPropsVTypes">
  <Template>Normal.dotm</Template>
  <Pages>2</Pages>
  <Words>1626</Words>
  <Characters>1835</Characters>
  <Lines>19</Lines>
  <Paragraphs>5</Paragraphs>
  <TotalTime>0</TotalTime>
  <ScaleCrop>false</ScaleCrop>
  <LinksUpToDate>false</LinksUpToDate>
  <CharactersWithSpaces>1847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2019-08-26T03:17:00Z</dcterms:created>
  <dc:creator>王帆</dc:creator>
  <cp:lastModifiedBy>王亚军</cp:lastModifiedBy>
  <cp:lastPrinted>2019-09-03T10:34:00Z</cp:lastPrinted>
  <dcterms:modified xsi:type="dcterms:W3CDTF">2023-01-11T10:43:04Z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96FD330BCB7E46ACAE9CCA55DD600B3D</vt:lpwstr>
  </property>
</Properties>
</file>