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5" w:type="dxa"/>
          <w:bottom w:w="0" w:type="dxa"/>
          <w:right w:w="15" w:type="dxa"/>
        </w:tblCellMar>
      </w:tblPr>
      <w:tblGrid>
        <w:gridCol w:w="580"/>
        <w:gridCol w:w="1410"/>
        <w:gridCol w:w="1179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bookmarkStart w:id="0" w:name="_GoBack"/>
            <w:r>
              <w:rPr>
                <w:rFonts w:hint="eastAsia" w:ascii="宋体" w:hAnsi="宋体" w:eastAsia="宋体" w:cs="宋体"/>
                <w:b/>
                <w:bCs/>
                <w:i w:val="0"/>
                <w:iCs w:val="0"/>
                <w:color w:val="auto"/>
                <w:kern w:val="0"/>
                <w:sz w:val="24"/>
                <w:szCs w:val="24"/>
                <w:u w:val="none"/>
                <w:lang w:val="en-US" w:eastAsia="zh-CN" w:bidi="ar"/>
              </w:rPr>
              <w:t>序号</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设备名称</w:t>
            </w:r>
          </w:p>
        </w:tc>
        <w:tc>
          <w:tcPr>
            <w:tcW w:w="408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技术指标及配置</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906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气相色谱-四级杆质谱联用仪</w:t>
            </w:r>
          </w:p>
        </w:tc>
        <w:tc>
          <w:tcPr>
            <w:tcW w:w="4081" w:type="pct"/>
            <w:shd w:val="clear" w:color="auto" w:fill="auto"/>
            <w:vAlign w:val="center"/>
          </w:tcPr>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气相色谱部分：</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主机：全EPC控制的高性能气相色谱仪。</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1、进样口</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1.1分流/不分流毛细管柱进样口</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r>
              <w:rPr>
                <w:rFonts w:hint="eastAsia" w:ascii="宋体" w:hAnsi="宋体" w:eastAsia="宋体" w:cs="宋体"/>
                <w:b w:val="0"/>
                <w:bCs w:val="0"/>
                <w:i w:val="0"/>
                <w:iCs w:val="0"/>
                <w:color w:val="auto"/>
                <w:kern w:val="0"/>
                <w:sz w:val="24"/>
                <w:szCs w:val="24"/>
                <w:u w:val="none"/>
                <w:lang w:val="en-US" w:eastAsia="zh-CN" w:bidi="ar"/>
              </w:rPr>
              <w:t>*分流比：可达1000:1，避免色谱柱超载</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1.3最高使用温度400℃</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1.4总流量设定范围：0-200mL/min N2；0-1250 mL/min He</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1.5载气节省模式：具备</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w:t>
            </w:r>
            <w:r>
              <w:rPr>
                <w:rFonts w:hint="eastAsia" w:ascii="宋体" w:hAnsi="宋体" w:eastAsia="宋体" w:cs="宋体"/>
                <w:b w:val="0"/>
                <w:bCs w:val="0"/>
                <w:i w:val="0"/>
                <w:iCs w:val="0"/>
                <w:color w:val="auto"/>
                <w:kern w:val="0"/>
                <w:sz w:val="24"/>
                <w:szCs w:val="24"/>
                <w:u w:val="none"/>
                <w:lang w:val="en-US" w:eastAsia="zh-CN" w:bidi="ar"/>
              </w:rPr>
              <w:t>*采用扳转式而非螺旋式顶部密封系统，有利于快速，简便更换进样口衬管</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2、气相色谱柱箱</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w:t>
            </w:r>
            <w:r>
              <w:rPr>
                <w:rFonts w:hint="eastAsia" w:ascii="宋体" w:hAnsi="宋体" w:eastAsia="宋体" w:cs="宋体"/>
                <w:b w:val="0"/>
                <w:bCs w:val="0"/>
                <w:i w:val="0"/>
                <w:iCs w:val="0"/>
                <w:color w:val="auto"/>
                <w:kern w:val="0"/>
                <w:sz w:val="24"/>
                <w:szCs w:val="24"/>
                <w:u w:val="none"/>
                <w:lang w:val="en-US" w:eastAsia="zh-CN" w:bidi="ar"/>
              </w:rPr>
              <w:t>*操作温度：室温以上4℃~450℃</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2.2温度设定值分辨率：1℃</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w:t>
            </w:r>
            <w:r>
              <w:rPr>
                <w:rFonts w:hint="eastAsia" w:ascii="宋体" w:hAnsi="宋体" w:eastAsia="宋体" w:cs="宋体"/>
                <w:b w:val="0"/>
                <w:bCs w:val="0"/>
                <w:i w:val="0"/>
                <w:iCs w:val="0"/>
                <w:color w:val="auto"/>
                <w:kern w:val="0"/>
                <w:sz w:val="24"/>
                <w:szCs w:val="24"/>
                <w:u w:val="none"/>
                <w:lang w:val="en-US" w:eastAsia="zh-CN" w:bidi="ar"/>
              </w:rPr>
              <w:t>*最大升温速率：120℃/min</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2.4最长运行时间：999.99分钟</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2.5程序升温: 7阶8 平台。</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2.6温度稳定性:室温每变化1℃柱温变化＜0.0l℃</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2.7</w:t>
            </w:r>
            <w:r>
              <w:rPr>
                <w:rFonts w:hint="eastAsia" w:ascii="宋体" w:hAnsi="宋体" w:eastAsia="宋体" w:cs="宋体"/>
                <w:b w:val="0"/>
                <w:bCs w:val="0"/>
                <w:i w:val="0"/>
                <w:iCs w:val="0"/>
                <w:color w:val="auto"/>
                <w:kern w:val="0"/>
                <w:sz w:val="24"/>
                <w:szCs w:val="24"/>
                <w:u w:val="none"/>
                <w:lang w:val="en-US" w:eastAsia="zh-CN" w:bidi="ar"/>
              </w:rPr>
              <w:t>*降温：450℃~50℃，＜4分钟</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3、加热区</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3.1不包括柱箱的独立加热区：6个（两个进样口，两个检测器，以及两个辅助加热区）</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3.2辅助加热区最高使用温度：400℃</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4、电子气路控制</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4.1对大气压力或环境温度变化的补偿功能为标准内置。</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4.2</w:t>
            </w:r>
            <w:r>
              <w:rPr>
                <w:rFonts w:hint="eastAsia" w:ascii="宋体" w:hAnsi="宋体" w:eastAsia="宋体" w:cs="宋体"/>
                <w:b w:val="0"/>
                <w:bCs w:val="0"/>
                <w:i w:val="0"/>
                <w:iCs w:val="0"/>
                <w:color w:val="auto"/>
                <w:kern w:val="0"/>
                <w:sz w:val="24"/>
                <w:szCs w:val="24"/>
                <w:u w:val="none"/>
                <w:lang w:val="en-US" w:eastAsia="zh-CN" w:bidi="ar"/>
              </w:rPr>
              <w:t>*压力设定精度0.01 psi。</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4.3压力设定范围：0~100 psi。</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4.4流量设定范围：0~100 ml/min （以氦气或氮气为载气）。</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4.5程序升压/升流：最大三阶。</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5、自动进样系统</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5.1特点描述：比其他自动进样器产品快5倍；可选择普通进样、柱头进样或多次进样；可变取样深度；可扩展进样盘，最多承载 150 个 2mL 样品瓶，允许更长时间的无人执守操作。</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5.2自动进样重复精度：＜1%</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5.3进样量线性：≥99%</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5.4自动进样重复精度：＜1%</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5.5进样量范围：0.1~50uL，或更多（对于多次进样）；</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5.6进样量线性：≥ 99%</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质谱部分：</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6、气质接口</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6.1形式：毛细管柱直接接口</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6.2独立控温，50~300℃</w:t>
            </w:r>
            <w:r>
              <w:rPr>
                <w:rFonts w:hint="eastAsia" w:ascii="宋体" w:hAnsi="宋体" w:eastAsia="宋体" w:cs="宋体"/>
                <w:b w:val="0"/>
                <w:bCs w:val="0"/>
                <w:i w:val="0"/>
                <w:iCs w:val="0"/>
                <w:color w:val="auto"/>
                <w:kern w:val="0"/>
                <w:sz w:val="24"/>
                <w:szCs w:val="24"/>
                <w:u w:val="none"/>
                <w:lang w:val="en-US" w:eastAsia="zh-CN" w:bidi="ar"/>
              </w:rPr>
              <w:tab/>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7、EI离子源</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7.1备有耐高温长效双灯丝的高效电子轰击源，采用完全惰性的材料制成</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7.2离子化能量：10~100eV可调</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7.3离子源温度：双加热棒独立控温，最高温度350°C，可调</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8、质量分析器：四极杆质量分析器</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8.1高精度金属钼四级杆质量分析器确保达到标准的单位质量分辨率。</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8.2可拆卸的预四极过滤装置，降低主四极杆污染，避免对四极杆清洗维护。</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8.3预四极过滤装置加有随扫描质量变化的电压，可改善边缘场，提高离子入射效率，获得更好的检测灵敏度。</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9、真空系统</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9.1高性能的前级真空泵与涡轮分子泵组成的真空系统，减少离子碰撞，降低背景噪声与记忆效应。</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9.2全新侧开门式真空腔，利于维护。</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9.3前级真空泵几何抽速165L/min。</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9.4分子泵：采用德国PFEIFFER HipaceTM 300 新型磁悬浮小型涡轮分子泵，抽速260L/s</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10、指标参数</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10.1质量数范围：1.5~1050 u</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10.2质量准确度：±0.1 u</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10.3质量轴稳定性: 优于±0.1 u/48h</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10.4分辨率：单位质量数分辨</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10.5灵敏度（信噪比）：全扫描（EI）：1pg 八氟萘，信/噪比≥150︰1；选择离子检测（EI）：100fg 八氟萘，信/噪比≥150︰1</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10.6最大扫描速率：11,000 u/s</w:t>
            </w:r>
          </w:p>
          <w:p>
            <w:pPr>
              <w:pStyle w:val="2"/>
              <w:spacing w:line="240" w:lineRule="auto"/>
              <w:ind w:left="0" w:leftChars="0" w:firstLine="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10.7提供三聚氰胺，草甘膦等分子印迹材料，并提供对应的第三方检测报告</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11、售后服务</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11.1*产品生产商需在新疆省内直接设立售后服务机构或技术服务机构，具有专职工程师3名（含）以上（需提供新疆省内直接设立的售后或服务机构的营业执照复印件、名称、地址、工程师名单、身份证明材料、联系电话等）。自验收合格之日起，中标人应免费提供仪器设备1年保修期的技术服务；软件终身免费升级。</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11.2*仪器生产厂商具备NTC资质。（提供证明材料）</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11.3制定技术服务条款，有明确的售后服务措施和收费标准。在保修期内，厂家在接到用户要求对所购仪器设备进行维修时，应在2小时之内给予响应，12小时内上门服务。</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11.4首次仪器安装时厂家提供现场免费培训，确保使用人员能够正确操作使用仪器。培训内容包括仪器设备的基本原理、操作使用和日常维护等，直到学会为止。</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仪器耗材配置：</w:t>
            </w: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pStyle w:val="2"/>
              <w:numPr>
                <w:ilvl w:val="0"/>
                <w:numId w:val="1"/>
              </w:numPr>
              <w:wordWrap/>
              <w:snapToGrid/>
              <w:spacing w:line="240" w:lineRule="auto"/>
              <w:ind w:right="0" w:firstLineChars="0"/>
              <w:textAlignment w:val="auto"/>
              <w:outlineLvl w:val="0"/>
              <w:rPr>
                <w:rFonts w:hint="eastAsia" w:ascii="宋体" w:hAnsi="宋体" w:eastAsia="宋体" w:cs="宋体"/>
                <w:vanish/>
                <w:color w:val="auto"/>
                <w:kern w:val="0"/>
                <w:sz w:val="24"/>
                <w:szCs w:val="24"/>
              </w:rPr>
            </w:pP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单四极杆质谱仪</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1台</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气相色谱仪</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1台</w:t>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传输线</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1根</w:t>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色谱柱</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DM-5MS 毛细管柱(30m×0.25mm×0.25µm)</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1个</w:t>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软件谱库</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 xml:space="preserve">普析MSWorkStation气质联用软件V1.0 </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1套</w:t>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2014标准谱库程序</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1套</w:t>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氦气捕集阱</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1台</w:t>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安装启动工具包</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1套</w:t>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质谱仪附件箱</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1台</w:t>
            </w:r>
          </w:p>
          <w:p>
            <w:pPr>
              <w:widowControl w:val="0"/>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进样垫一包</w:t>
            </w:r>
            <w:r>
              <w:rPr>
                <w:rFonts w:hint="eastAsia" w:ascii="宋体" w:hAnsi="宋体" w:eastAsia="宋体" w:cs="宋体"/>
                <w:b w:val="0"/>
                <w:bCs w:val="0"/>
                <w:i w:val="0"/>
                <w:iCs w:val="0"/>
                <w:color w:val="auto"/>
                <w:kern w:val="0"/>
                <w:sz w:val="24"/>
                <w:szCs w:val="24"/>
                <w:u w:val="none"/>
                <w:lang w:val="en-US" w:eastAsia="zh-CN" w:bidi="ar"/>
              </w:rPr>
              <w:tab/>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石墨密封垫一包</w:t>
            </w:r>
            <w:r>
              <w:rPr>
                <w:rFonts w:hint="eastAsia" w:ascii="宋体" w:hAnsi="宋体" w:eastAsia="宋体" w:cs="宋体"/>
                <w:b w:val="0"/>
                <w:bCs w:val="0"/>
                <w:i w:val="0"/>
                <w:iCs w:val="0"/>
                <w:color w:val="auto"/>
                <w:kern w:val="0"/>
                <w:sz w:val="24"/>
                <w:szCs w:val="24"/>
                <w:u w:val="none"/>
                <w:lang w:val="en-US" w:eastAsia="zh-CN" w:bidi="ar"/>
              </w:rPr>
              <w:tab/>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气源</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高纯氦气（99.999%）</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1瓶</w:t>
            </w:r>
          </w:p>
          <w:p>
            <w:pPr>
              <w:widowControl w:val="0"/>
              <w:spacing w:line="240" w:lineRule="auto"/>
              <w:jc w:val="left"/>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电脑、打印机</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主流配置商务电脑，带光驱、网卡及网络接口,系统WIN XP或WIN7专业版</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1套</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固相萃取仪</w:t>
            </w:r>
          </w:p>
        </w:tc>
        <w:tc>
          <w:tcPr>
            <w:tcW w:w="4081" w:type="pct"/>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主要应用：生物体液分析，主要包括：血清、血浆、血液、尿液及细胞间质、牛奶处理、白酒、啤酒和饮料、果汁、引用水、地下水和污水的分析监控、挥发油、植物组织、水果、蔬菜及谷物、液体药物样品、土壤和沉积物、肉、鱼或其它动物组织、药片及其它固体药物</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技术参数：         </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防交叉污染，防雾化真空槽设计，操作简单快速。     </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固相萃取装置可配大容量采集容器，可批量处理样品24个样品</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真空槽采用特硬玻璃模具成形，其壁厚均匀故可承受-0.085Mpa以上的高负压。</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真空槽透明材质，能够实时监测提取过程，便于清洁。玻璃缸配备有泄压阀与真空压力表，可以在提取过程中控制真空室的压力。</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收集支架由底板、凹槽板和3支支架，以及4片适用不同收集容器的收集板组成。支架与板之间使用固定夹固定。</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内部试管架由聚四氟制成故有很高的耐腐蚀。</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2"/>
                <w:sz w:val="24"/>
                <w:szCs w:val="24"/>
                <w:lang w:val="en-US" w:eastAsia="zh-CN" w:bidi="ar-SA"/>
              </w:rPr>
              <w:t>真空面板采用刚性材质，抗变型。真空面板配备有防水的鲁尔针座及鲁尔塞，配面板支架。</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恒温摇床</w:t>
            </w:r>
          </w:p>
        </w:tc>
        <w:tc>
          <w:tcPr>
            <w:tcW w:w="4081" w:type="pct"/>
            <w:shd w:val="clear" w:color="auto" w:fill="auto"/>
            <w:vAlign w:val="top"/>
          </w:tcPr>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1性能要求：</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创新的恒温摇床设计，内置冷却盘管，可实现无人值守的温控环境。 </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大屏数显液晶屏，可显示振荡转速和时间设置 </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控制面板采用防菌涂层，可有效减少细菌滋生</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*内置PID温度控制系统(采用两个温度传感器)</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电子温度和速度控制，</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可选内置冷却盘管用于连接外部冷却单元</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振荡过于剧烈时，仪器自动停止运转</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上盖开启时，仪器自动停止运转，仪器尾部配置排水管，用于排出收集盘中洒落的液体</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所有功能可通过实验室专用软件 进行纪录和控制</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2、技术要求：</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震荡方式: 圆周振荡</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周转直径: ≥19.6mm</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最大载重(含夹具):  19.5kg</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工作制式: 100%</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调速范围: 10-498 rpm</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*最大速度偏差：±1%</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加热功率: 1000W</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控温范围 (使用冷却器，冷却水温在3℃):  室温(RT)-10℃-80℃                 </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温度稳定性:0.1k</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冷却软管接口: Φ10mm</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冷却软管接口: 包含</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电子定时: ∞/1s-999h</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转速、时间及温度显示:  数字显示</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仪器尾部配置排水管，用于排出收集盘中洒落的液体</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允许相对湿度: 80%</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保护等级: IP30</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接口: RS232</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2"/>
                <w:sz w:val="24"/>
                <w:szCs w:val="24"/>
                <w:lang w:val="en-US" w:eastAsia="zh-CN" w:bidi="ar-SA"/>
              </w:rPr>
              <w:t>3、配置要求：恒温摇床主机1台、多功能夹具1套、温度传感器1个、中英文说明书1份等。</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旋转蒸发仪</w:t>
            </w:r>
          </w:p>
        </w:tc>
        <w:tc>
          <w:tcPr>
            <w:tcW w:w="4081" w:type="pct"/>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仪器主机电动升降，具有安全停止功能，最低点设置0~60mm，高度可调。</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.*间歇性的左右旋转，间歇时间可调0~60s</w:t>
            </w:r>
            <w:r>
              <w:rPr>
                <w:rFonts w:hint="eastAsia" w:ascii="宋体" w:hAnsi="宋体" w:eastAsia="宋体" w:cs="宋体"/>
                <w:color w:val="auto"/>
                <w:kern w:val="2"/>
                <w:sz w:val="24"/>
                <w:szCs w:val="24"/>
                <w:lang w:val="en-US" w:eastAsia="zh-CN" w:bidi="ar-SA"/>
              </w:rPr>
              <w:t>。</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3.转速范围：5-280 RPM，最低转速不高于5rpm,TFT大屏幕显示</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4.内置真空控制器和冷却水温度监测系统，真空度，转速，进出水温差，冷却水流量在同一控制面板数字显示，直观。</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5.*中英文等多有语言控制面板可显示进出水温差和蒸馏曲线，轻松实现自动梯度蒸馏和定量蒸馏功能。</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*三层冷凝管设计</w:t>
            </w:r>
            <w:r>
              <w:rPr>
                <w:rFonts w:hint="eastAsia" w:ascii="宋体" w:hAnsi="宋体" w:eastAsia="宋体" w:cs="宋体"/>
                <w:color w:val="auto"/>
                <w:kern w:val="2"/>
                <w:sz w:val="24"/>
                <w:szCs w:val="24"/>
                <w:lang w:val="en-US" w:eastAsia="zh-CN" w:bidi="ar-SA"/>
              </w:rPr>
              <w:t>，特殊防爆设计，全部可通冷却液，全方位冷凝，冷凝面积不低于1485cm2。（提供证明材料）</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7.内置定时功能，方便实现重复性实验。</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8.平稳启动，转速100RPM，有效防止热水泼溅。</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9.智能化全自动蒸馏：具备自动沸点识别功能，自动调至未知溶剂的最佳蒸馏参数，防爆沸。</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10.内置溶剂数据库，包含常规40种溶剂的蒸馏参数，并可自定义其他溶剂的蒸馏参数。</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kern w:val="2"/>
                <w:sz w:val="24"/>
                <w:szCs w:val="24"/>
                <w:lang w:val="en-US" w:eastAsia="zh-CN" w:bidi="ar-SA"/>
              </w:rPr>
              <w:t>具有定量蒸馏功能</w:t>
            </w:r>
            <w:r>
              <w:rPr>
                <w:rFonts w:hint="eastAsia" w:ascii="宋体" w:hAnsi="宋体" w:eastAsia="宋体" w:cs="宋体"/>
                <w:color w:val="auto"/>
                <w:kern w:val="2"/>
                <w:sz w:val="24"/>
                <w:szCs w:val="24"/>
                <w:lang w:val="en-US" w:eastAsia="zh-CN" w:bidi="ar-SA"/>
              </w:rPr>
              <w:t>，可以满足国家标准要求的定量浓缩实验等。（提供证明材料）</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12.*具备自清洁功能，可选择间隔固定时间段，或运行固定时间后，或立即清洁。</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13.*具备计算功能，可计算不同蒸汽温度下，溶剂蒸馏的最佳真空值</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14.PTFE带不锈钢弹片的密封圈，耐磨耐腐蚀。</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15.电源中断时，蒸发瓶将自动提升至加热锅以上位置，保护样品。</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16.专用退瓶旋钮便于取出紧密结合的蒸发瓶。</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17.可提供免费试用Labworldsoft软件来控制旋转蒸发仪，实现多功能梯度功能和自动蒸馏。</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18.配套真空缓冲瓶，保护隔膜泵。</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二、加热锅</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19.加热锅：控温范围：RT-180℃ 数字显示。设置精度：1℃，温度偏差不高于±1℃。容积不少于3.5L，加热功率1300W。</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20.*红外接口用于加热锅和旋转蒸发仪主机间的数据传输和控制。</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21.*加热锅安全温度调节范围：50~186°C，非固定安全温度，根据实际需要调节</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22.加热锅底部采用斜坡设计，快速升温，有效缩短实验前期的等待时间，最大程度利用有效容积。加热锅可以单独使用，水油浴一体。</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23.*加热锅带锁定功能键，避免误操作</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三、真空泵</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24.变频四级隔膜真空泵，泵速285-1200rpm可调，可显示</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25.无油干式运行，应用于低真空范围。</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26.抽气速率1.32m3/h（22L/min）</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27.*最低真空度不高于3mbar。</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28.隔膜及气体接触的部分由PTFE耐腐蚀材质组成。</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29.内置二次冷凝装置，保护隔膜泵和实验室环境安全。</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30.工作环境：电压：220~240V；允许环境温度：5~40°C</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四．RC2 BASIC 冷却循环系统</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31.LED大屏幕数字显示，显示直观，清晰</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32.控温范围：-19~RT</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33.PID精确控温，温度稳定性+0.1℃</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34.*泵最大流量：17L/min，泵速1000~3000rpm, 无固定档位，无极可调</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35.采用二元一体泵，泵最大压力0.3bar, 泵最大吸力0.2bar。可同时适用于密闭式或敞口式外循环。</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36.冷却功率20°C时：400w </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37.变频压缩机，运行低噪音，节能，环保</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 具有USB/RS232接口，可连接电脑通过Labworldsoft软件对实验过程进行控制和记录</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36.*具有高低液位双重监测探头；并具有低液位声音警报保护功能和清晰的液位显示</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37. 防水防尘的保护等级IP21</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38. *控制面板带锁定键，防止误操作</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39. 旋转蒸发仪套装中所有设备工作电压：220V；允许环境温度：5~32°C；允许相对湿度：80%。</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40. 配置：</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1)自动控制型旋转蒸发仪主机，含真空控制器</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2)三层垂直防爆玻璃组件：包含冷凝管，1L接收瓶和1L蒸发瓶</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3)数显型红外控制加热锅</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4)变频三级隔膜真空泵</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5)二次冷凝装置</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2"/>
                <w:sz w:val="24"/>
                <w:szCs w:val="24"/>
                <w:lang w:val="en-US" w:eastAsia="zh-CN" w:bidi="ar-SA"/>
              </w:rPr>
              <w:t>6)变频冷却循环系统</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匀浆机</w:t>
            </w:r>
          </w:p>
        </w:tc>
        <w:tc>
          <w:tcPr>
            <w:tcW w:w="4081" w:type="pct"/>
            <w:shd w:val="clear" w:color="auto" w:fill="auto"/>
            <w:vAlign w:val="center"/>
          </w:tcPr>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电源/频率：220V/50HZ </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功率（输入/输出）：160 / 125W</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转子线速度：6.3-14m/sec</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重量：0.7kg</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噪音：72Db(A)</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速度设定：5000-35000 rpm </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环境温度：10℃-35℃</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相对湿度：85%</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允许工作时间：100%</w:t>
            </w:r>
          </w:p>
          <w:p>
            <w:pPr>
              <w:keepNext w:val="0"/>
              <w:keepLines w:val="0"/>
              <w:pageBreakBefore w:val="0"/>
              <w:widowControl/>
              <w:kinsoku/>
              <w:wordWrap/>
              <w:overflowPunct/>
              <w:topLinePunct w:val="0"/>
              <w:bidi w:val="0"/>
              <w:adjustRightInd w:val="0"/>
              <w:snapToGrid w:val="0"/>
              <w:spacing w:line="240" w:lineRule="auto"/>
              <w:ind w:left="0" w:leftChars="0"/>
              <w:textAlignment w:val="top"/>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kern w:val="2"/>
                <w:sz w:val="24"/>
                <w:szCs w:val="24"/>
                <w:lang w:val="en-US" w:eastAsia="zh-CN" w:bidi="ar-SA"/>
              </w:rPr>
              <w:t>设计保护：IP30</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98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十万分之一天平</w:t>
            </w:r>
          </w:p>
        </w:tc>
        <w:tc>
          <w:tcPr>
            <w:tcW w:w="4081" w:type="pct"/>
            <w:shd w:val="clear" w:color="auto" w:fill="auto"/>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最大称量值：120g/220g</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可读性：0.01mg/0.1mg</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线性误差：0.1mg</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重复性：0.015-0.02mg</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秤盘尺寸：直径80mm</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稳定时间：0,01mg≤8S,0.1mg≤3S *1.高分辨率5.7英寸(145mm)彩色TFT显示屏,电阻式的触摸屏，智能识别手指或者手写笔点触操作，反应灵敏.                                   </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*2,5.7寸TFT彩色触摸屏可以与基座可分离的。</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3.丰富的程序应用：基本称量、计件称量、百分比称量、检重称重、动物称量、目标值称量、累加称量、配比称量、差异称量、密度测定、峰值保持、成本核算、SQC等多种称量模式</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4.采用瑞士高精度、高分辨率单模块传感器,</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*5.温度触发及每隔11小时自动触发的Autocal全自动内部砝码校准技术,全程温度补偿、全自动故障诊断</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6.内置过载保护功能，全程去皮。</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*7。卓越的无线感应：天平具有四个非接触式无线感应器，用于控制去皮，打印，校准等免接触天平操作。</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*8.防风罩采用铝合金背板，防静电涂层玻璃及免工具易安装、拆卸的结构设计，并有称量室LED照明设计。</w:t>
            </w:r>
          </w:p>
          <w:p>
            <w:pPr>
              <w:numPr>
                <w:ilvl w:val="0"/>
                <w:numId w:val="2"/>
              </w:num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智能便捷的图形操作界面，有包含中文在内的11种语言可任意选择     </w:t>
            </w:r>
          </w:p>
          <w:p>
            <w:pPr>
              <w:numPr>
                <w:ilvl w:val="0"/>
                <w:numId w:val="0"/>
              </w:num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*10.可自动识别连接的打印机型号，GLP/GMP打印格式                                 </w:t>
            </w:r>
          </w:p>
          <w:p>
            <w:pPr>
              <w:numPr>
                <w:ilvl w:val="0"/>
                <w:numId w:val="0"/>
              </w:numPr>
              <w:spacing w:line="240" w:lineRule="auto"/>
              <w:ind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11.管理员锁功能，防止数据被篡改                                                </w:t>
            </w:r>
          </w:p>
          <w:p>
            <w:pPr>
              <w:numPr>
                <w:ilvl w:val="0"/>
                <w:numId w:val="0"/>
              </w:numPr>
              <w:spacing w:line="240" w:lineRule="auto"/>
              <w:ind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*12.USB接口可直接将数据传输到Microsoft Office程序，无需任何软件，DDE数据同步采集工具帮助将数据直接输出为Microsoft Excel表格，通讯端口，包括标准USB和RS232数据接口。                                           </w:t>
            </w:r>
          </w:p>
          <w:p>
            <w:pPr>
              <w:numPr>
                <w:ilvl w:val="0"/>
                <w:numId w:val="0"/>
              </w:numPr>
              <w:spacing w:line="240" w:lineRule="auto"/>
              <w:ind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*13, 水平泡自动背光闪烁显示，提示客户使用天平前需调节水平</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*14,人工工学设计的调节指轮可以轻松方便地对天平进行水平调节</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15,水平调节的辅助示意图帮助用户快速确定哪些水平调节指轮需要进行调节</w:t>
            </w:r>
          </w:p>
          <w:p>
            <w:pPr>
              <w:spacing w:line="240" w:lineRule="auto"/>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sz w:val="24"/>
                <w:szCs w:val="24"/>
                <w:lang w:val="en-US" w:eastAsia="zh-CN"/>
              </w:rPr>
              <w:t>16，称量单位：克、千克、克拉、盎司、金衡制盎司、磅、本尼威特、格令、牛顿、Momme、Mesghal、香港两、新加坡两、台湾两、Tical、Tola、Baht、三个自定义单位</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氰化物发生器</w:t>
            </w:r>
          </w:p>
        </w:tc>
        <w:tc>
          <w:tcPr>
            <w:tcW w:w="4081" w:type="pct"/>
            <w:shd w:val="clear" w:color="auto" w:fill="auto"/>
            <w:vAlign w:val="center"/>
          </w:tcPr>
          <w:p>
            <w:pPr>
              <w:numPr>
                <w:ilvl w:val="0"/>
                <w:numId w:val="3"/>
              </w:numPr>
              <w:spacing w:line="400" w:lineRule="exact"/>
              <w:ind w:left="10" w:leftChars="0" w:hanging="10" w:firstLineChars="0"/>
              <w:rPr>
                <w:rFonts w:hint="eastAsia"/>
                <w:color w:val="auto"/>
                <w:sz w:val="24"/>
                <w:szCs w:val="24"/>
              </w:rPr>
            </w:pPr>
            <w:r>
              <w:rPr>
                <w:rFonts w:hint="eastAsia"/>
                <w:color w:val="auto"/>
                <w:sz w:val="24"/>
                <w:szCs w:val="24"/>
              </w:rPr>
              <w:t>本仪器采用氢化物原子吸收法经典的蠕动泵连续进样；</w:t>
            </w:r>
            <w:r>
              <w:rPr>
                <w:rFonts w:hint="eastAsia"/>
                <w:color w:val="auto"/>
                <w:sz w:val="24"/>
              </w:rPr>
              <w:t xml:space="preserve">采用二级气液分离装置（中国专利）、检出限低、线性范围宽、稳定性（RSD）极优，达到3%以下、灵敏度指标达到或超过流动注射型。 </w:t>
            </w:r>
          </w:p>
          <w:p>
            <w:pPr>
              <w:numPr>
                <w:ilvl w:val="0"/>
                <w:numId w:val="3"/>
              </w:numPr>
              <w:spacing w:line="400" w:lineRule="exact"/>
              <w:ind w:left="10" w:leftChars="0" w:hanging="10" w:firstLineChars="0"/>
              <w:rPr>
                <w:rFonts w:hint="eastAsia"/>
                <w:color w:val="auto"/>
                <w:sz w:val="24"/>
                <w:szCs w:val="24"/>
              </w:rPr>
            </w:pPr>
            <w:r>
              <w:rPr>
                <w:rFonts w:hint="eastAsia"/>
                <w:color w:val="auto"/>
                <w:sz w:val="24"/>
                <w:szCs w:val="24"/>
              </w:rPr>
              <w:t xml:space="preserve">本机采用内置微电脑控制，所有需调控的数据全部内存于微电脑内（电热石英管温度可调），使用、操作极为方便快捷。 </w:t>
            </w:r>
          </w:p>
          <w:p>
            <w:pPr>
              <w:numPr>
                <w:ilvl w:val="0"/>
                <w:numId w:val="3"/>
              </w:numPr>
              <w:spacing w:line="400" w:lineRule="exact"/>
              <w:ind w:left="10" w:leftChars="0" w:hanging="10" w:firstLineChars="0"/>
              <w:rPr>
                <w:color w:val="auto"/>
                <w:sz w:val="24"/>
                <w:szCs w:val="24"/>
              </w:rPr>
            </w:pPr>
            <w:r>
              <w:rPr>
                <w:rFonts w:hint="eastAsia"/>
                <w:color w:val="auto"/>
                <w:sz w:val="24"/>
                <w:szCs w:val="24"/>
              </w:rPr>
              <w:t>灵敏度高：灵敏度与检出限都极佳，可达到目前同类型氢化物发生器的国际最佳水平。</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814"/>
              <w:gridCol w:w="1056"/>
              <w:gridCol w:w="875"/>
              <w:gridCol w:w="971"/>
              <w:gridCol w:w="924"/>
              <w:gridCol w:w="1056"/>
              <w:gridCol w:w="1188"/>
              <w:gridCol w:w="1188"/>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4"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元 素</w:t>
                  </w:r>
                </w:p>
              </w:tc>
              <w:tc>
                <w:tcPr>
                  <w:tcW w:w="346"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As</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Pb</w:t>
                  </w:r>
                </w:p>
              </w:tc>
              <w:tc>
                <w:tcPr>
                  <w:tcW w:w="372"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Sb</w:t>
                  </w:r>
                </w:p>
              </w:tc>
              <w:tc>
                <w:tcPr>
                  <w:tcW w:w="413"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Sn</w:t>
                  </w:r>
                </w:p>
              </w:tc>
              <w:tc>
                <w:tcPr>
                  <w:tcW w:w="393"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Se</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Te</w:t>
                  </w:r>
                </w:p>
              </w:tc>
              <w:tc>
                <w:tcPr>
                  <w:tcW w:w="505"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Bi</w:t>
                  </w:r>
                </w:p>
              </w:tc>
              <w:tc>
                <w:tcPr>
                  <w:tcW w:w="505"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Ge</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Hg</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64"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灵敏度</w:t>
                  </w:r>
                </w:p>
              </w:tc>
              <w:tc>
                <w:tcPr>
                  <w:tcW w:w="346"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0.20</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0.25</w:t>
                  </w:r>
                </w:p>
              </w:tc>
              <w:tc>
                <w:tcPr>
                  <w:tcW w:w="372"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0.50</w:t>
                  </w:r>
                </w:p>
              </w:tc>
              <w:tc>
                <w:tcPr>
                  <w:tcW w:w="413"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0.35</w:t>
                  </w:r>
                </w:p>
              </w:tc>
              <w:tc>
                <w:tcPr>
                  <w:tcW w:w="393"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0.50</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0.65</w:t>
                  </w:r>
                </w:p>
              </w:tc>
              <w:tc>
                <w:tcPr>
                  <w:tcW w:w="505"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0.65</w:t>
                  </w:r>
                </w:p>
              </w:tc>
              <w:tc>
                <w:tcPr>
                  <w:tcW w:w="505"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0.30</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4"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最佳可达</w:t>
                  </w:r>
                </w:p>
              </w:tc>
              <w:tc>
                <w:tcPr>
                  <w:tcW w:w="346"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0.10</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0.15</w:t>
                  </w:r>
                </w:p>
              </w:tc>
              <w:tc>
                <w:tcPr>
                  <w:tcW w:w="372"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0.35</w:t>
                  </w:r>
                </w:p>
              </w:tc>
              <w:tc>
                <w:tcPr>
                  <w:tcW w:w="413"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0.25</w:t>
                  </w:r>
                </w:p>
              </w:tc>
              <w:tc>
                <w:tcPr>
                  <w:tcW w:w="393"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0.35</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0.30</w:t>
                  </w:r>
                </w:p>
              </w:tc>
              <w:tc>
                <w:tcPr>
                  <w:tcW w:w="505" w:type="pct"/>
                  <w:noWrap w:val="0"/>
                  <w:vAlign w:val="center"/>
                </w:tcPr>
                <w:p>
                  <w:pPr>
                    <w:spacing w:line="400" w:lineRule="exact"/>
                    <w:ind w:left="10" w:leftChars="0" w:hanging="10" w:firstLineChars="0"/>
                    <w:jc w:val="center"/>
                    <w:rPr>
                      <w:rFonts w:hint="eastAsia"/>
                      <w:color w:val="auto"/>
                      <w:sz w:val="24"/>
                      <w:szCs w:val="24"/>
                    </w:rPr>
                  </w:pPr>
                  <w:r>
                    <w:rPr>
                      <w:color w:val="auto"/>
                      <w:sz w:val="24"/>
                      <w:szCs w:val="24"/>
                    </w:rPr>
                    <w:t>0.</w:t>
                  </w:r>
                  <w:r>
                    <w:rPr>
                      <w:rFonts w:hint="eastAsia"/>
                      <w:color w:val="auto"/>
                      <w:sz w:val="24"/>
                      <w:szCs w:val="24"/>
                    </w:rPr>
                    <w:t>30</w:t>
                  </w:r>
                </w:p>
              </w:tc>
              <w:tc>
                <w:tcPr>
                  <w:tcW w:w="505"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0.15</w:t>
                  </w:r>
                </w:p>
              </w:tc>
              <w:tc>
                <w:tcPr>
                  <w:tcW w:w="449" w:type="pct"/>
                  <w:noWrap w:val="0"/>
                  <w:vAlign w:val="center"/>
                </w:tcPr>
                <w:p>
                  <w:pPr>
                    <w:spacing w:line="400" w:lineRule="exact"/>
                    <w:ind w:left="10" w:leftChars="0" w:hanging="10" w:firstLineChars="0"/>
                    <w:jc w:val="center"/>
                    <w:rPr>
                      <w:rFonts w:hint="eastAsia"/>
                      <w:color w:val="auto"/>
                      <w:sz w:val="24"/>
                      <w:szCs w:val="24"/>
                    </w:rPr>
                  </w:pPr>
                  <w:r>
                    <w:rPr>
                      <w:rFonts w:hint="eastAsia"/>
                      <w:color w:val="auto"/>
                      <w:sz w:val="24"/>
                      <w:szCs w:val="24"/>
                    </w:rPr>
                    <w:t>0.35</w:t>
                  </w:r>
                </w:p>
              </w:tc>
            </w:tr>
          </w:tbl>
          <w:p>
            <w:pPr>
              <w:spacing w:line="400" w:lineRule="exact"/>
              <w:ind w:left="10" w:leftChars="0" w:hanging="10" w:firstLineChars="0"/>
              <w:rPr>
                <w:rFonts w:hint="eastAsia"/>
                <w:color w:val="auto"/>
                <w:sz w:val="24"/>
                <w:szCs w:val="24"/>
              </w:rPr>
            </w:pPr>
            <w:r>
              <w:rPr>
                <w:rFonts w:hint="eastAsia"/>
                <w:color w:val="auto"/>
                <w:sz w:val="24"/>
                <w:szCs w:val="24"/>
              </w:rPr>
              <w:t>以下是任选一台本型发生器灵敏度( ng/mL/1%A )的实测数据：</w:t>
            </w:r>
          </w:p>
          <w:p>
            <w:pPr>
              <w:spacing w:line="400" w:lineRule="exact"/>
              <w:ind w:left="10" w:leftChars="0" w:hanging="10" w:firstLineChars="0"/>
              <w:rPr>
                <w:rFonts w:hint="eastAsia"/>
                <w:color w:val="auto"/>
                <w:sz w:val="24"/>
                <w:szCs w:val="24"/>
              </w:rPr>
            </w:pPr>
            <w:r>
              <w:rPr>
                <w:rFonts w:hint="eastAsia"/>
                <w:color w:val="auto"/>
                <w:sz w:val="24"/>
                <w:szCs w:val="24"/>
              </w:rPr>
              <w:t xml:space="preserve">注：此测定最佳数据是用北京浩天晖科贸有限公司生产的CAAM－2001型多功能原子吸收光谱仪和高性能空心阴极灯测得。出厂检查测定砷，指标:&lt;0.20ng/mL/1%A。实际控制在0.12左右。根据原子吸收主机性能的不同所测灵敏度吸光值也不同。 </w:t>
            </w:r>
          </w:p>
          <w:p>
            <w:pPr>
              <w:spacing w:line="400" w:lineRule="exact"/>
              <w:ind w:left="10" w:leftChars="0" w:hanging="10" w:firstLineChars="0"/>
              <w:rPr>
                <w:color w:val="auto"/>
                <w:sz w:val="24"/>
                <w:szCs w:val="24"/>
              </w:rPr>
            </w:pPr>
            <w:r>
              <w:rPr>
                <w:rFonts w:hint="eastAsia"/>
                <w:b w:val="0"/>
                <w:bCs w:val="0"/>
                <w:color w:val="auto"/>
                <w:sz w:val="24"/>
                <w:szCs w:val="24"/>
                <w:lang w:val="en-US" w:eastAsia="zh-CN"/>
              </w:rPr>
              <w:t>4</w:t>
            </w:r>
            <w:r>
              <w:rPr>
                <w:rFonts w:hint="eastAsia"/>
                <w:color w:val="auto"/>
                <w:sz w:val="24"/>
                <w:szCs w:val="24"/>
              </w:rPr>
              <w:t>.稳定性好；出厂指标RSD相对标准偏差，即变异系数&lt;3%(实际可小于2%)。测定砷；吸光度在0.18-0.5之间, 测定11次计算 。</w:t>
            </w:r>
          </w:p>
          <w:p>
            <w:pPr>
              <w:spacing w:line="400" w:lineRule="exact"/>
              <w:ind w:left="10" w:leftChars="0" w:hanging="10" w:firstLineChars="0"/>
              <w:rPr>
                <w:rFonts w:hint="eastAsia"/>
                <w:color w:val="auto"/>
                <w:sz w:val="24"/>
                <w:szCs w:val="24"/>
              </w:rPr>
            </w:pPr>
            <w:r>
              <w:rPr>
                <w:rFonts w:hint="eastAsia"/>
                <w:color w:val="auto"/>
                <w:sz w:val="24"/>
                <w:szCs w:val="24"/>
                <w:lang w:val="en-US" w:eastAsia="zh-CN"/>
              </w:rPr>
              <w:t>5</w:t>
            </w:r>
            <w:r>
              <w:rPr>
                <w:rFonts w:hint="eastAsia"/>
                <w:color w:val="auto"/>
                <w:sz w:val="24"/>
                <w:szCs w:val="24"/>
              </w:rPr>
              <w:t>.检出限低；以3 倍标准偏差计算, 数值约为灵敏度数值的2/3(单位为ng/mL)可满足试样中低达0.01－0.1ppm的测定要求。</w:t>
            </w:r>
          </w:p>
          <w:p>
            <w:pPr>
              <w:spacing w:line="400" w:lineRule="exact"/>
              <w:ind w:left="10" w:leftChars="0" w:hanging="10" w:firstLineChars="0"/>
              <w:rPr>
                <w:rFonts w:hint="eastAsia"/>
                <w:color w:val="auto"/>
                <w:sz w:val="24"/>
                <w:szCs w:val="24"/>
              </w:rPr>
            </w:pPr>
            <w:r>
              <w:rPr>
                <w:rFonts w:hint="eastAsia"/>
                <w:color w:val="auto"/>
                <w:sz w:val="24"/>
                <w:szCs w:val="24"/>
                <w:lang w:val="en-US" w:eastAsia="zh-CN"/>
              </w:rPr>
              <w:t>6</w:t>
            </w:r>
            <w:r>
              <w:rPr>
                <w:rFonts w:hint="eastAsia"/>
                <w:color w:val="auto"/>
                <w:sz w:val="24"/>
                <w:szCs w:val="24"/>
              </w:rPr>
              <w:t>.效率高；不包括样品前处理, 连续进样测定重复5次，时间小于40秒。</w:t>
            </w:r>
          </w:p>
          <w:p>
            <w:pPr>
              <w:spacing w:line="400" w:lineRule="exact"/>
              <w:ind w:left="10" w:leftChars="0" w:hanging="10" w:firstLineChars="0"/>
              <w:rPr>
                <w:rFonts w:hint="eastAsia"/>
                <w:color w:val="auto"/>
                <w:sz w:val="24"/>
                <w:szCs w:val="24"/>
              </w:rPr>
            </w:pPr>
            <w:r>
              <w:rPr>
                <w:rFonts w:hint="eastAsia"/>
                <w:color w:val="auto"/>
                <w:sz w:val="24"/>
                <w:szCs w:val="24"/>
                <w:lang w:val="en-US" w:eastAsia="zh-CN"/>
              </w:rPr>
              <w:t>7</w:t>
            </w:r>
            <w:r>
              <w:rPr>
                <w:rFonts w:hint="eastAsia"/>
                <w:color w:val="auto"/>
                <w:sz w:val="24"/>
                <w:szCs w:val="24"/>
              </w:rPr>
              <w:t>.蠕动泵使用条件：转速100转/min，运转时间40秒；试样每次吸入7-9mL可获取5次重复数据、载液每次吸入7-9mL 。</w:t>
            </w:r>
          </w:p>
          <w:p>
            <w:pPr>
              <w:spacing w:line="400" w:lineRule="exact"/>
              <w:ind w:left="10" w:leftChars="0" w:hanging="10" w:firstLineChars="0"/>
              <w:rPr>
                <w:rFonts w:hint="eastAsia"/>
                <w:color w:val="auto"/>
                <w:sz w:val="24"/>
                <w:szCs w:val="24"/>
              </w:rPr>
            </w:pPr>
            <w:r>
              <w:rPr>
                <w:rFonts w:hint="eastAsia"/>
                <w:color w:val="auto"/>
                <w:sz w:val="24"/>
                <w:szCs w:val="24"/>
                <w:lang w:val="en-US" w:eastAsia="zh-CN"/>
              </w:rPr>
              <w:t>8</w:t>
            </w:r>
            <w:r>
              <w:rPr>
                <w:rFonts w:hint="eastAsia"/>
                <w:color w:val="auto"/>
                <w:sz w:val="24"/>
                <w:szCs w:val="24"/>
              </w:rPr>
              <w:t xml:space="preserve">.自动化程度高：一键操作即可完成进样、清洗、反应、测定、排废液工作全过程。  </w:t>
            </w:r>
          </w:p>
          <w:p>
            <w:pPr>
              <w:spacing w:line="400" w:lineRule="exact"/>
              <w:ind w:left="10" w:leftChars="0" w:hanging="10" w:firstLineChars="0"/>
              <w:rPr>
                <w:rFonts w:hint="eastAsia"/>
                <w:color w:val="auto"/>
                <w:sz w:val="24"/>
                <w:szCs w:val="24"/>
              </w:rPr>
            </w:pPr>
            <w:r>
              <w:rPr>
                <w:rFonts w:hint="eastAsia"/>
                <w:color w:val="auto"/>
                <w:sz w:val="24"/>
                <w:szCs w:val="24"/>
                <w:lang w:val="en-US" w:eastAsia="zh-CN"/>
              </w:rPr>
              <w:t>9</w:t>
            </w:r>
            <w:r>
              <w:rPr>
                <w:rFonts w:hint="eastAsia"/>
                <w:color w:val="auto"/>
                <w:sz w:val="24"/>
                <w:szCs w:val="24"/>
              </w:rPr>
              <w:t>.线性范围宽：As（0.5-50ng/mL）；Hg0.3-100ng/mL；Se（1-100 ng/mL）；Pb（0.5-80 ng/mL）</w:t>
            </w:r>
          </w:p>
          <w:p>
            <w:pPr>
              <w:spacing w:line="400" w:lineRule="exact"/>
              <w:ind w:left="10" w:leftChars="0" w:hanging="10" w:firstLineChars="0"/>
              <w:rPr>
                <w:rFonts w:hint="eastAsia"/>
                <w:color w:val="auto"/>
                <w:sz w:val="24"/>
                <w:szCs w:val="24"/>
              </w:rPr>
            </w:pPr>
            <w:r>
              <w:rPr>
                <w:rFonts w:hint="eastAsia"/>
                <w:color w:val="auto"/>
                <w:sz w:val="24"/>
                <w:szCs w:val="24"/>
                <w:lang w:val="en-US" w:eastAsia="zh-CN"/>
              </w:rPr>
              <w:t>10</w:t>
            </w:r>
            <w:r>
              <w:rPr>
                <w:rFonts w:hint="eastAsia"/>
                <w:color w:val="auto"/>
                <w:sz w:val="24"/>
                <w:szCs w:val="24"/>
              </w:rPr>
              <w:t>.适应性强：国内外新老型号原子吸收分光光度计都可配用, 可用峰高读数、连续平均积分法读数、峰面积读数（计算方式）。可用电加热也可用火焰加热。可配用塞曼型原吸主机。</w:t>
            </w:r>
          </w:p>
          <w:p>
            <w:pPr>
              <w:spacing w:line="400" w:lineRule="exact"/>
              <w:ind w:left="10" w:leftChars="0" w:hanging="10" w:firstLineChars="0"/>
              <w:rPr>
                <w:rFonts w:hint="eastAsia"/>
                <w:color w:val="auto"/>
                <w:sz w:val="24"/>
                <w:szCs w:val="24"/>
              </w:rPr>
            </w:pPr>
            <w:r>
              <w:rPr>
                <w:rFonts w:hint="eastAsia"/>
                <w:color w:val="auto"/>
                <w:sz w:val="24"/>
                <w:szCs w:val="24"/>
                <w:lang w:val="en-US" w:eastAsia="zh-CN"/>
              </w:rPr>
              <w:t>11</w:t>
            </w:r>
            <w:r>
              <w:rPr>
                <w:rFonts w:hint="eastAsia"/>
                <w:color w:val="auto"/>
                <w:sz w:val="24"/>
                <w:szCs w:val="24"/>
              </w:rPr>
              <w:t>. 重量轻体积小：净重约3kg, 长195mm、宽195mm、高180mm。</w:t>
            </w:r>
          </w:p>
          <w:p>
            <w:pPr>
              <w:spacing w:line="400" w:lineRule="exact"/>
              <w:ind w:left="10" w:leftChars="0" w:hanging="1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 质量稳定，故障率低，安装简便，维修方便。</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马弗炉</w:t>
            </w:r>
          </w:p>
        </w:tc>
        <w:tc>
          <w:tcPr>
            <w:tcW w:w="4081" w:type="pct"/>
            <w:shd w:val="clear" w:color="auto" w:fill="auto"/>
            <w:vAlign w:val="center"/>
          </w:tcPr>
          <w:p>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适用范围</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应用于电厂、煤矿、商检、环保、化工、科研、教育等部门测定煤、焦炭、石油等物质的灰分、挥发分。</w:t>
            </w:r>
          </w:p>
          <w:p>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技术参数</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控温范围：RT+10～1000℃</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测温分辨率：1℃</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控温精度：±3℃</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设定时间：≤5999min</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控时分辨率：1min</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测时精度：30s/24h</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测试功能：慢灰、快灰、挥发份及其他自定义程序</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试样数量：灰分12个/次，挥发份6个/次</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工作电源：AC220V±22V/50Hz</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功率：≤4kW  </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主机尺寸(mm)：560×560×610</w:t>
            </w:r>
          </w:p>
          <w:p>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主机重量(kg)：83</w:t>
            </w:r>
          </w:p>
          <w:p>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技术特点</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1、采用单片机控制系统、数码管显示模块、薄膜按键选择，操作方便；</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2、采用PID控温算法，控温精度更高；</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3、控温、控时准确，自选测试模块可方便用户进行检查性灼烧，或根据用户意愿进行温度及时间控制；</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4、采用多晶莫来石纤维炉膛，恒温区域广，温度稳定，升温、降温速度快，可15min升至920℃，一天可重复进行多次实验；</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5、控制板采用激光蚀刻校准的新型温度转换芯片，具有冷端补偿、断偶保护和超温软件保护等功能；</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6、具有托板放样平台，方便快灰测试时放样；</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、可接入实验室管理系统，实现测试结果备份和上传。</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标准配置：</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配件名称</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数量</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裸机/快速马弗炉控制盒</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1台</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裸机/箱型电阻炉/快速</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1台</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镍铬镍硅热电偶/300mm/节管</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2支</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热电偶护套/HF</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坩埚铲/马弗炉</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1把</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锉刀把/坩埚铲子木把</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1把</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陶瓷坩埚/灰皿</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10个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陶瓷挥发分坩埚</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10个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刚玉挥发分坩埚盖</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10个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灰分坩埚架</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挥发分坩埚架</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石棉网板(HF)</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2块</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保险管</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5个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插座/3孔/20A</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轻质炉膛搁板/碳化硅</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1块</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烟囱带盖</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1套</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控制盒电源线</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1根</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T型电源线</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1根</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电源插座板</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1块</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马弗炉电源线</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1根</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热电偶线</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1根</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螺丝刀(一字)</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1把</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螺丝刀(十字)</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1把</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仪器罩布</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1块</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不锈钢样勺</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小毛刷</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螺钉/M4*6</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10个</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线扎CZ100/3*100</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10根</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使用说明书</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1本</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保修单</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1张</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装箱清单</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2份</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出厂检验报告</w:t>
            </w:r>
            <w:r>
              <w:rPr>
                <w:rFonts w:hint="eastAsia" w:ascii="宋体" w:hAnsi="宋体" w:eastAsia="宋体" w:cs="宋体"/>
                <w:b w:val="0"/>
                <w:bCs w:val="0"/>
                <w:i w:val="0"/>
                <w:iCs w:val="0"/>
                <w:color w:val="auto"/>
                <w:kern w:val="0"/>
                <w:sz w:val="24"/>
                <w:szCs w:val="24"/>
                <w:u w:val="none"/>
                <w:lang w:val="en-US" w:eastAsia="zh-CN" w:bidi="ar"/>
              </w:rPr>
              <w:tab/>
            </w:r>
            <w:r>
              <w:rPr>
                <w:rFonts w:hint="eastAsia" w:ascii="宋体" w:hAnsi="宋体" w:eastAsia="宋体" w:cs="宋体"/>
                <w:b w:val="0"/>
                <w:bCs w:val="0"/>
                <w:i w:val="0"/>
                <w:iCs w:val="0"/>
                <w:color w:val="auto"/>
                <w:kern w:val="0"/>
                <w:sz w:val="24"/>
                <w:szCs w:val="24"/>
                <w:u w:val="none"/>
                <w:lang w:val="en-US" w:eastAsia="zh-CN" w:bidi="ar"/>
              </w:rPr>
              <w:t>1份</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电子单纤维强力机</w:t>
            </w:r>
          </w:p>
        </w:tc>
        <w:tc>
          <w:tcPr>
            <w:tcW w:w="4081" w:type="pct"/>
            <w:shd w:val="clear" w:color="auto" w:fill="auto"/>
            <w:vAlign w:val="center"/>
          </w:tcPr>
          <w:p>
            <w:pPr>
              <w:spacing w:line="240" w:lineRule="auto"/>
              <w:rPr>
                <w:rFonts w:hint="eastAsia" w:ascii="宋体" w:hAnsi="宋体" w:eastAsia="宋体" w:cs="宋体"/>
                <w:color w:val="auto"/>
                <w:sz w:val="24"/>
                <w:szCs w:val="24"/>
              </w:rPr>
            </w:pPr>
            <w:r>
              <w:rPr>
                <w:rFonts w:hint="eastAsia" w:ascii="宋体" w:hAnsi="宋体" w:eastAsia="宋体" w:cs="宋体"/>
                <w:b/>
                <w:color w:val="auto"/>
                <w:sz w:val="24"/>
                <w:szCs w:val="24"/>
              </w:rPr>
              <w:t>【仪器特性】</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1、采样频率高达1000次/秒</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2、步进电机驱动，滚珠丝杆传动</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3、支持联机通讯，全面显示测试动态及数据分析</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4、内置8种测试方法</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【技术参数】</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1、工作模式：等速伸长（CRE）原理，微机控制,支持联机通讯。</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2、采样频率：1000次</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3、负荷测试范围：满量程的1%～100%</w:t>
            </w:r>
          </w:p>
          <w:p>
            <w:pPr>
              <w:spacing w:line="240" w:lineRule="auto"/>
              <w:ind w:left="0" w:leftChars="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4、负荷测试误差：0.3%( F.S)</w:t>
            </w:r>
          </w:p>
          <w:p>
            <w:pPr>
              <w:spacing w:line="240" w:lineRule="auto"/>
              <w:ind w:left="0" w:leftChars="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5、拉伸速度：(1～200)mm/min</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6、最大伸长测量范围：≤130mm   分辨率：0.01mm</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7、下夹持器上升速度：100mm/min；</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下夹持器下降速度：(4～120)mm/min（下降速度误差：≤1%）</w:t>
            </w:r>
          </w:p>
          <w:p>
            <w:pPr>
              <w:numPr>
                <w:ilvl w:val="0"/>
                <w:numId w:val="4"/>
              </w:num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夹具可调范围：(10～50)mm（初始夹具10mm）；</w:t>
            </w:r>
          </w:p>
          <w:p>
            <w:pPr>
              <w:spacing w:line="24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仪器调速范围：(4～120)mm/min</w:t>
            </w:r>
          </w:p>
          <w:p>
            <w:pPr>
              <w:spacing w:line="240" w:lineRule="auto"/>
              <w:ind w:left="0" w:leftChars="0" w:firstLine="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sz w:val="24"/>
                <w:szCs w:val="24"/>
              </w:rPr>
              <w:t>9、使用电源：AC220V±10%  50Hz  100W</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多功能袜子拉伸仪</w:t>
            </w:r>
          </w:p>
        </w:tc>
        <w:tc>
          <w:tcPr>
            <w:tcW w:w="4081" w:type="pct"/>
            <w:shd w:val="clear" w:color="auto" w:fill="auto"/>
            <w:vAlign w:val="center"/>
          </w:tcPr>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设备用途：用于袜子、针织腹带、针织泳装、针织裤、针织袜套等针织物的直向延伸值的测定。</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符合标准：FZ/T 73006、FZ/T 73001、FZ/T 73011、FZ/T 73013、FZ/T 73029、FZ/T 7303等</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技术指标：</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1、型式：等速伸长 （CRE）</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2、量程400N  精度：±0.5%  分辨率：0.05N   </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3、夹距长度可调节</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4、最大伸长：≥800mm</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5、试验方式：定速伸长</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6、测试数据输出方式：</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a 液晶显示：试验次数、延伸值、力负荷值</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b 打印输出：中文测试报表</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sz w:val="24"/>
                <w:szCs w:val="24"/>
                <w:lang w:val="en-US"/>
              </w:rPr>
              <w:t>7、电源电压：AC220V±10%   50Hz   245W</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数字式袜子拉伸仪</w:t>
            </w:r>
          </w:p>
        </w:tc>
        <w:tc>
          <w:tcPr>
            <w:tcW w:w="4081" w:type="pct"/>
            <w:shd w:val="clear" w:color="auto" w:fill="auto"/>
            <w:vAlign w:val="center"/>
          </w:tcPr>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设备用途：用于袜子、针织腹带、针织泳装、针织裤、针织袜套等针织物横向延伸值的测定。</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符合标准：FZ/T 73006、FZ/T 73001、FZ/T 73011、FZ/T 73013、FZ/T 73029、FZ/T 7303等</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技术指标：</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1、拉伸力值：(0.1～50)N数字设定</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2、拉伸速度：(1～50)mm/s数字设定</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3、最大拉伸行程：280mm</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4、夹持距离：(100～300)mm数字设定</w:t>
            </w:r>
          </w:p>
          <w:p>
            <w:pPr>
              <w:spacing w:line="240" w:lineRule="auto"/>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5、测试结果为彩色触摸屏控制显示，输出打印报告</w:t>
            </w:r>
          </w:p>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sz w:val="24"/>
                <w:szCs w:val="24"/>
                <w:lang w:val="en-US"/>
              </w:rPr>
              <w:t xml:space="preserve">6、电 源:  AC220V±10%    50Hz  </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织物起毛起球仪</w:t>
            </w:r>
          </w:p>
        </w:tc>
        <w:tc>
          <w:tcPr>
            <w:tcW w:w="408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仪器特性</w:t>
            </w:r>
            <w:r>
              <w:rPr>
                <w:rFonts w:hint="eastAsia" w:ascii="宋体" w:hAnsi="宋体" w:eastAsia="宋体" w:cs="宋体"/>
                <w:color w:val="auto"/>
                <w:sz w:val="24"/>
                <w:szCs w:val="24"/>
              </w:rPr>
              <w:t>】</w:t>
            </w:r>
          </w:p>
          <w:p>
            <w:pPr>
              <w:keepNext w:val="0"/>
              <w:keepLines w:val="0"/>
              <w:pageBreakBefore w:val="0"/>
              <w:widowControl w:val="0"/>
              <w:tabs>
                <w:tab w:val="left" w:pos="2100"/>
              </w:tabs>
              <w:kinsoku/>
              <w:wordWrap/>
              <w:overflowPunct/>
              <w:topLinePunct w:val="0"/>
              <w:autoSpaceDE/>
              <w:autoSpaceDN/>
              <w:bidi w:val="0"/>
              <w:adjustRightInd/>
              <w:snapToGrid/>
              <w:spacing w:line="240" w:lineRule="auto"/>
              <w:ind w:left="-2"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科学的免翻转机械结构，转动平稳，适合长时间连续运行</w:t>
            </w:r>
            <w:r>
              <w:rPr>
                <w:rFonts w:hint="eastAsia" w:ascii="宋体" w:hAnsi="宋体" w:eastAsia="宋体" w:cs="宋体"/>
                <w:color w:val="auto"/>
                <w:sz w:val="24"/>
                <w:szCs w:val="24"/>
                <w:lang w:eastAsia="zh-CN"/>
              </w:rPr>
              <w:t>；</w:t>
            </w:r>
          </w:p>
          <w:p>
            <w:pPr>
              <w:keepNext w:val="0"/>
              <w:keepLines w:val="0"/>
              <w:pageBreakBefore w:val="0"/>
              <w:widowControl w:val="0"/>
              <w:tabs>
                <w:tab w:val="left" w:pos="1800"/>
                <w:tab w:val="left" w:pos="1980"/>
                <w:tab w:val="left" w:pos="2100"/>
              </w:tabs>
              <w:kinsoku/>
              <w:wordWrap/>
              <w:overflowPunct/>
              <w:topLinePunct w:val="0"/>
              <w:autoSpaceDE/>
              <w:autoSpaceDN/>
              <w:bidi w:val="0"/>
              <w:adjustRightInd/>
              <w:snapToGrid/>
              <w:spacing w:line="240" w:lineRule="auto"/>
              <w:ind w:left="-2"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2、尼龙刷采用热切处理技术一次加工成型，不会刮伤样布</w:t>
            </w:r>
            <w:r>
              <w:rPr>
                <w:rFonts w:hint="eastAsia" w:ascii="宋体" w:hAnsi="宋体" w:eastAsia="宋体" w:cs="宋体"/>
                <w:color w:val="auto"/>
                <w:sz w:val="24"/>
                <w:szCs w:val="24"/>
                <w:lang w:eastAsia="zh-CN"/>
              </w:rPr>
              <w:t>；</w:t>
            </w:r>
          </w:p>
          <w:p>
            <w:pPr>
              <w:keepNext w:val="0"/>
              <w:keepLines w:val="0"/>
              <w:pageBreakBefore w:val="0"/>
              <w:widowControl w:val="0"/>
              <w:tabs>
                <w:tab w:val="left" w:pos="1800"/>
                <w:tab w:val="left" w:pos="1980"/>
                <w:tab w:val="left" w:pos="2100"/>
              </w:tabs>
              <w:kinsoku/>
              <w:wordWrap/>
              <w:overflowPunct/>
              <w:topLinePunct w:val="0"/>
              <w:autoSpaceDE/>
              <w:autoSpaceDN/>
              <w:bidi w:val="0"/>
              <w:adjustRightInd/>
              <w:snapToGrid/>
              <w:spacing w:line="240" w:lineRule="auto"/>
              <w:ind w:left="-2"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人体工程学设计，</w:t>
            </w:r>
            <w:r>
              <w:rPr>
                <w:rFonts w:hint="eastAsia" w:ascii="宋体" w:hAnsi="宋体" w:eastAsia="宋体" w:cs="宋体"/>
                <w:color w:val="auto"/>
                <w:sz w:val="24"/>
                <w:szCs w:val="24"/>
                <w:lang w:val="en-US" w:eastAsia="zh-CN"/>
              </w:rPr>
              <w:t>试验员舒适操作。</w:t>
            </w:r>
          </w:p>
          <w:p>
            <w:pPr>
              <w:keepNext w:val="0"/>
              <w:keepLines w:val="0"/>
              <w:pageBreakBefore w:val="0"/>
              <w:widowControl w:val="0"/>
              <w:tabs>
                <w:tab w:val="left" w:pos="2100"/>
              </w:tabs>
              <w:kinsoku/>
              <w:wordWrap/>
              <w:overflowPunct/>
              <w:topLinePunct w:val="0"/>
              <w:autoSpaceDE/>
              <w:autoSpaceDN/>
              <w:bidi w:val="0"/>
              <w:adjustRightInd/>
              <w:snapToGrid/>
              <w:spacing w:line="240" w:lineRule="auto"/>
              <w:ind w:left="-2"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【技术参数】</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工位数：2位 （起毛1个 ，起球1个） </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起毛起球运动轨迹：直径为40mm的圆轨迹运动。</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可调毛刷：采用有效高度可调节的尼龙毛刷。</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试样压力：化纤织物压力为590cN；</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精梳毛织物压力为780cN；</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粗梳毛织物压力为490cN。</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 试样规格：直径112.8mm圆状，面积100平方厘米。</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 次数选择：</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1～99999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位，任意预置。</w:t>
            </w:r>
          </w:p>
          <w:p>
            <w:pPr>
              <w:tabs>
                <w:tab w:val="left" w:pos="2100"/>
              </w:tabs>
              <w:spacing w:line="240" w:lineRule="auto"/>
              <w:ind w:left="-2"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 夹持器与磨台相对运动速度：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20—70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r/min（速度用户可以自行设定）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color w:val="auto"/>
                <w:sz w:val="24"/>
                <w:szCs w:val="24"/>
              </w:rPr>
              <w:t>8. 电源：A</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220V±</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50Hz</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500W </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5" w:type="dxa"/>
            <w:bottom w:w="0" w:type="dxa"/>
            <w:right w:w="15" w:type="dxa"/>
          </w:tblCellMar>
        </w:tblPrEx>
        <w:trPr>
          <w:trHeight w:val="0" w:hRule="atLeast"/>
          <w:jc w:val="center"/>
        </w:trPr>
        <w:tc>
          <w:tcPr>
            <w:tcW w:w="20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滚箱式起球仪</w:t>
            </w:r>
          </w:p>
        </w:tc>
        <w:tc>
          <w:tcPr>
            <w:tcW w:w="4081" w:type="pct"/>
            <w:shd w:val="clear" w:color="auto" w:fill="auto"/>
            <w:vAlign w:val="center"/>
          </w:tcPr>
          <w:p>
            <w:pPr>
              <w:spacing w:line="24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【仪器特性】</w:t>
            </w:r>
            <w:r>
              <w:rPr>
                <w:rFonts w:hint="eastAsia" w:ascii="宋体" w:hAnsi="宋体" w:eastAsia="宋体" w:cs="宋体"/>
                <w:b/>
                <w:color w:val="auto"/>
                <w:sz w:val="24"/>
                <w:szCs w:val="24"/>
                <w:lang w:eastAsia="zh-CN"/>
              </w:rPr>
              <w:t>：</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1、彩色触摸屏中文菜单式操作；</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2、变频电机静音驱动，转速可调；</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3、内村橡胶软木采用可拆式设计；</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4、无触点式光电计数，液晶显示；</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5、电子刹车控制系统。</w:t>
            </w:r>
          </w:p>
          <w:p>
            <w:pPr>
              <w:spacing w:line="240" w:lineRule="auto"/>
              <w:rPr>
                <w:rFonts w:hint="eastAsia" w:ascii="宋体" w:hAnsi="宋体" w:eastAsia="宋体" w:cs="宋体"/>
                <w:color w:val="auto"/>
                <w:sz w:val="24"/>
                <w:szCs w:val="24"/>
              </w:rPr>
            </w:pPr>
            <w:r>
              <w:rPr>
                <w:rFonts w:hint="eastAsia" w:ascii="宋体" w:hAnsi="宋体" w:eastAsia="宋体" w:cs="宋体"/>
                <w:b/>
                <w:color w:val="auto"/>
                <w:sz w:val="24"/>
                <w:szCs w:val="24"/>
              </w:rPr>
              <w:t>【技术参数】</w:t>
            </w:r>
            <w:r>
              <w:rPr>
                <w:rFonts w:hint="eastAsia" w:ascii="宋体" w:hAnsi="宋体" w:eastAsia="宋体" w:cs="宋体"/>
                <w:color w:val="auto"/>
                <w:sz w:val="24"/>
                <w:szCs w:val="24"/>
              </w:rPr>
              <w:t>：</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起球箱数量：4只</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箱内尺寸：(235×235×235)mm（无内衬）</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箱体转速：(60±1)r／min(20r／min～99r／min可设定）</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计数范围：(1～99999)次</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载 样 管：外 形Φ31.5mm×140mm 重量 52.25g；4根/箱</w:t>
            </w:r>
          </w:p>
          <w:p>
            <w:pPr>
              <w:keepNext w:val="0"/>
              <w:keepLines w:val="0"/>
              <w:widowControl/>
              <w:suppressLineNumbers w:val="0"/>
              <w:jc w:val="left"/>
              <w:rPr>
                <w:rFonts w:hint="eastAsia" w:ascii="宋体" w:hAnsi="宋体" w:eastAsia="宋体" w:cs="宋体"/>
                <w:b w:val="0"/>
                <w:bCs w:val="0"/>
                <w:i w:val="0"/>
                <w:iCs w:val="0"/>
                <w:color w:val="auto"/>
                <w:kern w:val="0"/>
                <w:sz w:val="24"/>
                <w:szCs w:val="24"/>
                <w:u w:val="none"/>
                <w:lang w:val="en-US" w:eastAsia="zh-CN" w:bidi="ar"/>
              </w:rPr>
            </w:pPr>
            <w:r>
              <w:rPr>
                <w:rFonts w:ascii="宋体" w:hAnsi="宋体" w:eastAsia="宋体" w:cs="宋体"/>
                <w:color w:val="auto"/>
                <w:kern w:val="0"/>
                <w:sz w:val="24"/>
                <w:szCs w:val="24"/>
                <w:lang w:val="en-US" w:eastAsia="zh-CN" w:bidi="ar"/>
              </w:rPr>
              <w:t xml:space="preserve">电 源：AC220V±10％ 50Hz 400W </w:t>
            </w:r>
          </w:p>
        </w:tc>
        <w:tc>
          <w:tcPr>
            <w:tcW w:w="22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bookmarkEnd w:id="0"/>
    </w:tbl>
    <w:p>
      <w:pPr>
        <w:pStyle w:val="5"/>
        <w:rPr>
          <w:rFonts w:hint="eastAsia"/>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F0E16F6"/>
    <w:multiLevelType w:val="multilevel"/>
    <w:tmpl w:val="1F0E16F6"/>
    <w:lvl w:ilvl="0" w:tentative="0">
      <w:start w:val="1"/>
      <w:numFmt w:val="decimal"/>
      <w:lvlText w:val="%1."/>
      <w:lvlJc w:val="left"/>
      <w:pPr>
        <w:tabs>
          <w:tab w:val="left" w:pos="660"/>
        </w:tabs>
        <w:ind w:left="570" w:hanging="360"/>
      </w:pPr>
      <w:rPr>
        <w:rFonts w:hint="default"/>
        <w:sz w:val="28"/>
      </w:rPr>
    </w:lvl>
    <w:lvl w:ilvl="1" w:tentative="0">
      <w:start w:val="1"/>
      <w:numFmt w:val="lowerLetter"/>
      <w:lvlText w:val="%2)"/>
      <w:lvlJc w:val="left"/>
      <w:pPr>
        <w:tabs>
          <w:tab w:val="left" w:pos="1140"/>
        </w:tabs>
        <w:ind w:left="1050" w:hanging="420"/>
      </w:pPr>
    </w:lvl>
    <w:lvl w:ilvl="2" w:tentative="0">
      <w:start w:val="1"/>
      <w:numFmt w:val="lowerRoman"/>
      <w:lvlText w:val="%3."/>
      <w:lvlJc w:val="right"/>
      <w:pPr>
        <w:tabs>
          <w:tab w:val="left" w:pos="1560"/>
        </w:tabs>
        <w:ind w:left="1470" w:hanging="420"/>
      </w:pPr>
    </w:lvl>
    <w:lvl w:ilvl="3" w:tentative="0">
      <w:start w:val="1"/>
      <w:numFmt w:val="decimal"/>
      <w:lvlText w:val="%4."/>
      <w:lvlJc w:val="left"/>
      <w:pPr>
        <w:tabs>
          <w:tab w:val="left" w:pos="1980"/>
        </w:tabs>
        <w:ind w:left="1890" w:hanging="420"/>
      </w:pPr>
    </w:lvl>
    <w:lvl w:ilvl="4" w:tentative="0">
      <w:start w:val="1"/>
      <w:numFmt w:val="lowerLetter"/>
      <w:lvlText w:val="%5)"/>
      <w:lvlJc w:val="left"/>
      <w:pPr>
        <w:tabs>
          <w:tab w:val="left" w:pos="2400"/>
        </w:tabs>
        <w:ind w:left="2310" w:hanging="420"/>
      </w:pPr>
    </w:lvl>
    <w:lvl w:ilvl="5" w:tentative="0">
      <w:start w:val="1"/>
      <w:numFmt w:val="lowerRoman"/>
      <w:lvlText w:val="%6."/>
      <w:lvlJc w:val="right"/>
      <w:pPr>
        <w:tabs>
          <w:tab w:val="left" w:pos="2820"/>
        </w:tabs>
        <w:ind w:left="2730" w:hanging="420"/>
      </w:pPr>
    </w:lvl>
    <w:lvl w:ilvl="6" w:tentative="0">
      <w:start w:val="1"/>
      <w:numFmt w:val="decimal"/>
      <w:lvlText w:val="%7."/>
      <w:lvlJc w:val="left"/>
      <w:pPr>
        <w:tabs>
          <w:tab w:val="left" w:pos="3240"/>
        </w:tabs>
        <w:ind w:left="3150" w:hanging="420"/>
      </w:pPr>
    </w:lvl>
    <w:lvl w:ilvl="7" w:tentative="0">
      <w:start w:val="1"/>
      <w:numFmt w:val="lowerLetter"/>
      <w:lvlText w:val="%8)"/>
      <w:lvlJc w:val="left"/>
      <w:pPr>
        <w:tabs>
          <w:tab w:val="left" w:pos="3660"/>
        </w:tabs>
        <w:ind w:left="3570" w:hanging="420"/>
      </w:pPr>
    </w:lvl>
    <w:lvl w:ilvl="8" w:tentative="0">
      <w:start w:val="1"/>
      <w:numFmt w:val="lowerRoman"/>
      <w:lvlText w:val="%9."/>
      <w:lvlJc w:val="right"/>
      <w:pPr>
        <w:tabs>
          <w:tab w:val="left" w:pos="4080"/>
        </w:tabs>
        <w:ind w:left="3990" w:hanging="420"/>
      </w:pPr>
    </w:lvl>
  </w:abstractNum>
  <w:abstractNum w:abstractNumId="2">
    <w:nsid w:val="5B023EF3"/>
    <w:multiLevelType w:val="singleLevel"/>
    <w:tmpl w:val="5B023EF3"/>
    <w:lvl w:ilvl="0" w:tentative="0">
      <w:start w:val="8"/>
      <w:numFmt w:val="decimal"/>
      <w:suff w:val="nothing"/>
      <w:lvlText w:val="%1、"/>
      <w:lvlJc w:val="left"/>
    </w:lvl>
  </w:abstractNum>
  <w:abstractNum w:abstractNumId="3">
    <w:nsid w:val="7EB3FF0B"/>
    <w:multiLevelType w:val="singleLevel"/>
    <w:tmpl w:val="7EB3FF0B"/>
    <w:lvl w:ilvl="0" w:tentative="0">
      <w:start w:val="9"/>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Mjg3OTI5Zjg2YTY3MzVkYWEwZTk5ODQ1ZTMyNzUifQ=="/>
  </w:docVars>
  <w:rsids>
    <w:rsidRoot w:val="27B31D7E"/>
    <w:rsid w:val="009C6FAB"/>
    <w:rsid w:val="059519E2"/>
    <w:rsid w:val="09254E42"/>
    <w:rsid w:val="0A0A3027"/>
    <w:rsid w:val="0C026AB1"/>
    <w:rsid w:val="116E6A8C"/>
    <w:rsid w:val="11BB5C28"/>
    <w:rsid w:val="1566190F"/>
    <w:rsid w:val="169D3D7E"/>
    <w:rsid w:val="191515A6"/>
    <w:rsid w:val="191F3186"/>
    <w:rsid w:val="19505FA0"/>
    <w:rsid w:val="19C046CA"/>
    <w:rsid w:val="1C2C3194"/>
    <w:rsid w:val="1D923BB2"/>
    <w:rsid w:val="1EC75344"/>
    <w:rsid w:val="227E527A"/>
    <w:rsid w:val="24A40DD3"/>
    <w:rsid w:val="24A41C59"/>
    <w:rsid w:val="25565B80"/>
    <w:rsid w:val="27024EC7"/>
    <w:rsid w:val="27B31D7E"/>
    <w:rsid w:val="282C42CC"/>
    <w:rsid w:val="2C2F7C34"/>
    <w:rsid w:val="2CB50F09"/>
    <w:rsid w:val="30F642E5"/>
    <w:rsid w:val="337B0059"/>
    <w:rsid w:val="36CE32DF"/>
    <w:rsid w:val="388372E8"/>
    <w:rsid w:val="3A2A0B11"/>
    <w:rsid w:val="3EC655A2"/>
    <w:rsid w:val="3F900341"/>
    <w:rsid w:val="3FD42266"/>
    <w:rsid w:val="43921E3D"/>
    <w:rsid w:val="45F70060"/>
    <w:rsid w:val="46E22723"/>
    <w:rsid w:val="48EE0EA1"/>
    <w:rsid w:val="49ED3C0F"/>
    <w:rsid w:val="4B6E76C5"/>
    <w:rsid w:val="4BEE0748"/>
    <w:rsid w:val="52896308"/>
    <w:rsid w:val="53401712"/>
    <w:rsid w:val="58871F99"/>
    <w:rsid w:val="59182ED8"/>
    <w:rsid w:val="5AA52E2D"/>
    <w:rsid w:val="5C586CB3"/>
    <w:rsid w:val="5DD63AA4"/>
    <w:rsid w:val="640C0D9F"/>
    <w:rsid w:val="64BD1F22"/>
    <w:rsid w:val="67F467E6"/>
    <w:rsid w:val="6B292E59"/>
    <w:rsid w:val="6CF56CD1"/>
    <w:rsid w:val="6D0C1917"/>
    <w:rsid w:val="6D535020"/>
    <w:rsid w:val="6F8B12ED"/>
    <w:rsid w:val="738343D4"/>
    <w:rsid w:val="74D013F2"/>
    <w:rsid w:val="7CB977D8"/>
    <w:rsid w:val="7D60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5">
    <w:name w:val="toa heading"/>
    <w:basedOn w:val="1"/>
    <w:next w:val="1"/>
    <w:qFormat/>
    <w:uiPriority w:val="0"/>
    <w:pPr>
      <w:spacing w:before="120"/>
    </w:pPr>
    <w:rPr>
      <w:rFonts w:ascii="Cambria" w:hAnsi="Cambria"/>
      <w:sz w:val="24"/>
      <w:szCs w:val="24"/>
    </w:rPr>
  </w:style>
  <w:style w:type="paragraph" w:styleId="6">
    <w:name w:val="Body Text"/>
    <w:basedOn w:val="1"/>
    <w:qFormat/>
    <w:uiPriority w:val="0"/>
    <w:pPr>
      <w:spacing w:after="120"/>
    </w:pPr>
    <w:rPr>
      <w:rFonts w:ascii="Times New Roman" w:hAnsi="Times New Roman" w:eastAsia="宋体" w:cs="Times New Roman"/>
      <w:szCs w:val="24"/>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320"/>
        <w:tab w:val="right" w:pos="8640"/>
      </w:tabs>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2">
    <w:name w:val="Body Text First Indent"/>
    <w:basedOn w:val="6"/>
    <w:unhideWhenUsed/>
    <w:qFormat/>
    <w:uiPriority w:val="99"/>
    <w:pPr>
      <w:ind w:firstLine="420" w:firstLineChars="100"/>
    </w:pPr>
  </w:style>
  <w:style w:type="table" w:styleId="14">
    <w:name w:val="Table Grid"/>
    <w:basedOn w:val="1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font21"/>
    <w:basedOn w:val="15"/>
    <w:qFormat/>
    <w:uiPriority w:val="0"/>
    <w:rPr>
      <w:rFonts w:hint="default" w:ascii="方正仿宋_GBK" w:hAnsi="方正仿宋_GBK" w:eastAsia="方正仿宋_GBK" w:cs="方正仿宋_GBK"/>
      <w:color w:val="000000"/>
      <w:sz w:val="22"/>
      <w:szCs w:val="22"/>
      <w:u w:val="none"/>
    </w:rPr>
  </w:style>
  <w:style w:type="character" w:customStyle="1" w:styleId="19">
    <w:name w:val="font01"/>
    <w:basedOn w:val="15"/>
    <w:qFormat/>
    <w:uiPriority w:val="0"/>
    <w:rPr>
      <w:rFonts w:hint="default" w:ascii="方正仿宋_GBK" w:hAnsi="方正仿宋_GBK" w:eastAsia="方正仿宋_GBK" w:cs="方正仿宋_GBK"/>
      <w:color w:val="FF0000"/>
      <w:sz w:val="22"/>
      <w:szCs w:val="22"/>
      <w:u w:val="none"/>
    </w:rPr>
  </w:style>
  <w:style w:type="paragraph" w:customStyle="1" w:styleId="20">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1">
    <w:name w:val="CM21"/>
    <w:basedOn w:val="22"/>
    <w:next w:val="22"/>
    <w:qFormat/>
    <w:uiPriority w:val="0"/>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font31"/>
    <w:basedOn w:val="15"/>
    <w:qFormat/>
    <w:uiPriority w:val="0"/>
    <w:rPr>
      <w:rFonts w:hint="default" w:ascii="Times New Roman" w:hAnsi="Times New Roman" w:cs="Times New Roman"/>
      <w:color w:val="000000"/>
      <w:sz w:val="24"/>
      <w:szCs w:val="24"/>
      <w:u w:val="none"/>
    </w:rPr>
  </w:style>
  <w:style w:type="paragraph" w:customStyle="1" w:styleId="26">
    <w:name w:val="Table Paragraph"/>
    <w:basedOn w:val="1"/>
    <w:qFormat/>
    <w:uiPriority w:val="1"/>
    <w:rPr>
      <w:rFonts w:hint="eastAsia"/>
      <w:sz w:val="22"/>
    </w:rPr>
  </w:style>
  <w:style w:type="character" w:customStyle="1" w:styleId="27">
    <w:name w:val="text-only1"/>
    <w:basedOn w:val="15"/>
    <w:qFormat/>
    <w:uiPriority w:val="0"/>
  </w:style>
  <w:style w:type="paragraph" w:customStyle="1" w:styleId="28">
    <w:name w:val="Normal (Web)"/>
    <w:basedOn w:val="1"/>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13</Pages>
  <Words>6684</Words>
  <Characters>8259</Characters>
  <Lines>0</Lines>
  <Paragraphs>0</Paragraphs>
  <TotalTime>4</TotalTime>
  <ScaleCrop>false</ScaleCrop>
  <LinksUpToDate>false</LinksUpToDate>
  <CharactersWithSpaces>8670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2019-11-21T05:07:00Z</dcterms:created>
  <dc:creator>Administrator</dc:creator>
  <cp:lastModifiedBy>安予.</cp:lastModifiedBy>
  <dcterms:modified xsi:type="dcterms:W3CDTF">2023-07-17T04:09:46Z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1F8EFDA6C3594CCBB89DF12ED26D69F2_13</vt:lpwstr>
  </property>
</Properties>
</file>