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inorEastAsia" w:hAnsiTheme="minorEastAsia" w:eastAsiaTheme="minorEastAsia"/>
          <w:sz w:val="24"/>
        </w:rPr>
      </w:pPr>
    </w:p>
    <w:p>
      <w:pPr>
        <w:pStyle w:val="2"/>
        <w:numPr>
          <w:ilvl w:val="0"/>
          <w:numId w:val="0"/>
        </w:numPr>
        <w:jc w:val="center"/>
        <w:rPr>
          <w:rFonts w:hint="eastAsia"/>
          <w:sz w:val="36"/>
          <w:lang w:eastAsia="zh-CN"/>
        </w:rPr>
      </w:pPr>
      <w:bookmarkStart w:id="0" w:name="_Toc13521"/>
      <w:bookmarkStart w:id="1" w:name="_Toc1958"/>
      <w:r>
        <w:rPr>
          <w:rFonts w:hint="eastAsia"/>
          <w:sz w:val="36"/>
          <w:lang w:eastAsia="zh-CN"/>
        </w:rPr>
        <w:t>泸水市人民法院网络安全改造</w:t>
      </w:r>
    </w:p>
    <w:p>
      <w:pPr>
        <w:pStyle w:val="2"/>
        <w:numPr>
          <w:ilvl w:val="0"/>
          <w:numId w:val="0"/>
        </w:numPr>
        <w:jc w:val="center"/>
        <w:rPr>
          <w:sz w:val="36"/>
        </w:rPr>
      </w:pPr>
      <w:r>
        <w:rPr>
          <w:rFonts w:hint="eastAsia"/>
          <w:sz w:val="36"/>
        </w:rPr>
        <w:t>货物需求一览表</w:t>
      </w:r>
      <w:bookmarkEnd w:id="0"/>
      <w:bookmarkEnd w:id="1"/>
    </w:p>
    <w:p>
      <w:pPr>
        <w:adjustRightInd w:val="0"/>
        <w:spacing w:line="360" w:lineRule="auto"/>
        <w:ind w:left="6" w:leftChars="3" w:firstLine="480" w:firstLineChars="200"/>
        <w:rPr>
          <w:sz w:val="24"/>
        </w:rPr>
      </w:pPr>
      <w:r>
        <w:rPr>
          <w:sz w:val="24"/>
        </w:rPr>
        <w:t xml:space="preserve">1. </w:t>
      </w:r>
      <w:r>
        <w:rPr>
          <w:rFonts w:hint="eastAsia"/>
          <w:sz w:val="24"/>
        </w:rPr>
        <w:t>本一览表中的各项技术参数和规格要求如出现引用某一特定的专利技术、商标、名称、设计、原产地或供应者等情况，则仅起参考作用。供应商可选用实质上</w:t>
      </w:r>
      <w:r>
        <w:rPr>
          <w:rFonts w:hint="eastAsia" w:ascii="宋体" w:hAnsi="宋体"/>
          <w:sz w:val="24"/>
        </w:rPr>
        <w:t>“相当于”或“优于”该参考</w:t>
      </w:r>
      <w:r>
        <w:rPr>
          <w:rFonts w:hint="eastAsia"/>
          <w:sz w:val="24"/>
        </w:rPr>
        <w:t>技术规格要求的产品。同时填写技术规格偏离表。</w:t>
      </w:r>
    </w:p>
    <w:p>
      <w:pPr>
        <w:adjustRightInd w:val="0"/>
        <w:spacing w:line="360" w:lineRule="auto"/>
        <w:ind w:left="6" w:leftChars="3" w:firstLine="480" w:firstLineChars="200"/>
        <w:rPr>
          <w:color w:val="000000"/>
          <w:sz w:val="24"/>
        </w:rPr>
      </w:pPr>
      <w:r>
        <w:rPr>
          <w:sz w:val="24"/>
        </w:rPr>
        <w:t xml:space="preserve">2. </w:t>
      </w:r>
      <w:r>
        <w:rPr>
          <w:rFonts w:hint="eastAsia"/>
          <w:sz w:val="24"/>
        </w:rPr>
        <w:t>凡在</w:t>
      </w:r>
      <w:r>
        <w:rPr>
          <w:rFonts w:hint="eastAsia" w:ascii="宋体" w:hAnsi="宋体"/>
          <w:sz w:val="24"/>
        </w:rPr>
        <w:t>“</w:t>
      </w:r>
      <w:r>
        <w:rPr>
          <w:rFonts w:hint="eastAsia" w:ascii="宋体" w:hAnsi="宋体"/>
          <w:b/>
          <w:bCs/>
          <w:sz w:val="24"/>
        </w:rPr>
        <w:t>技术参数要求</w:t>
      </w:r>
      <w:r>
        <w:rPr>
          <w:rFonts w:hint="eastAsia" w:ascii="宋体" w:hAnsi="宋体"/>
          <w:sz w:val="24"/>
        </w:rPr>
        <w:t>”中表述为“标配”或“标准配置”的设</w:t>
      </w:r>
      <w:r>
        <w:rPr>
          <w:rFonts w:hint="eastAsia"/>
          <w:sz w:val="24"/>
        </w:rPr>
        <w:t>备，供应商应在报价</w:t>
      </w:r>
      <w:r>
        <w:rPr>
          <w:rFonts w:hint="eastAsia"/>
          <w:color w:val="000000"/>
          <w:sz w:val="24"/>
        </w:rPr>
        <w:t>表中将其标配参数详细列明。</w:t>
      </w:r>
    </w:p>
    <w:p>
      <w:pPr>
        <w:spacing w:line="360" w:lineRule="auto"/>
        <w:ind w:firstLine="480" w:firstLineChars="200"/>
        <w:rPr>
          <w:rFonts w:ascii="宋体"/>
          <w:b/>
          <w:bCs/>
          <w:color w:val="000000"/>
          <w:sz w:val="24"/>
        </w:rPr>
      </w:pPr>
      <w:r>
        <w:rPr>
          <w:color w:val="000000"/>
          <w:sz w:val="24"/>
        </w:rPr>
        <w:t>3.</w:t>
      </w:r>
      <w:r>
        <w:rPr>
          <w:rFonts w:hint="eastAsia" w:ascii="宋体"/>
          <w:b/>
          <w:bCs/>
          <w:color w:val="000000"/>
          <w:sz w:val="24"/>
        </w:rPr>
        <w:t>本货物需求一览表中标注</w:t>
      </w:r>
      <w:r>
        <w:rPr>
          <w:rFonts w:hint="eastAsia" w:ascii="宋体"/>
          <w:color w:val="000000"/>
          <w:sz w:val="24"/>
        </w:rPr>
        <w:t>★</w:t>
      </w:r>
      <w:r>
        <w:rPr>
          <w:rFonts w:hint="eastAsia" w:ascii="宋体"/>
          <w:b/>
          <w:bCs/>
          <w:color w:val="000000"/>
          <w:sz w:val="24"/>
        </w:rPr>
        <w:t>号的部分为实质性要求和条件，供应商必须作出满足或者优于原要求和条件的承诺，否则不能通过符合性审查。</w:t>
      </w:r>
    </w:p>
    <w:p>
      <w:pPr>
        <w:pStyle w:val="3"/>
        <w:numPr>
          <w:ilvl w:val="0"/>
          <w:numId w:val="0"/>
        </w:numPr>
        <w:spacing w:before="0"/>
        <w:jc w:val="left"/>
        <w:rPr>
          <w:rFonts w:asciiTheme="minorEastAsia" w:hAnsiTheme="minorEastAsia" w:eastAsiaTheme="minorEastAsia"/>
          <w:bCs w:val="0"/>
        </w:rPr>
      </w:pPr>
      <w:bookmarkStart w:id="2" w:name="_Toc27497"/>
      <w:bookmarkStart w:id="3" w:name="_Toc21117"/>
      <w:r>
        <w:rPr>
          <w:rFonts w:hint="eastAsia" w:asciiTheme="minorEastAsia" w:hAnsiTheme="minorEastAsia" w:eastAsiaTheme="minorEastAsia"/>
          <w:bCs w:val="0"/>
        </w:rPr>
        <w:t>一、货物需求一览表</w:t>
      </w:r>
      <w:bookmarkEnd w:id="2"/>
      <w:bookmarkEnd w:id="3"/>
    </w:p>
    <w:p>
      <w:pPr>
        <w:adjustRightInd w:val="0"/>
        <w:spacing w:line="360" w:lineRule="auto"/>
        <w:ind w:left="6" w:leftChars="3" w:firstLine="480" w:firstLineChars="200"/>
        <w:rPr>
          <w:sz w:val="24"/>
        </w:rPr>
      </w:pPr>
    </w:p>
    <w:tbl>
      <w:tblPr>
        <w:tblStyle w:val="6"/>
        <w:tblW w:w="8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214"/>
        <w:gridCol w:w="509"/>
        <w:gridCol w:w="653"/>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17" w:type="dxa"/>
            <w:vAlign w:val="center"/>
          </w:tcPr>
          <w:p>
            <w:pPr>
              <w:jc w:val="center"/>
              <w:rPr>
                <w:b/>
                <w:color w:val="auto"/>
                <w:kern w:val="0"/>
                <w:sz w:val="20"/>
              </w:rPr>
            </w:pPr>
            <w:r>
              <w:rPr>
                <w:rFonts w:hint="eastAsia"/>
                <w:b/>
                <w:color w:val="auto"/>
                <w:kern w:val="0"/>
                <w:sz w:val="20"/>
              </w:rPr>
              <w:t>序号</w:t>
            </w:r>
          </w:p>
        </w:tc>
        <w:tc>
          <w:tcPr>
            <w:tcW w:w="1214" w:type="dxa"/>
            <w:vAlign w:val="center"/>
          </w:tcPr>
          <w:p>
            <w:pPr>
              <w:jc w:val="center"/>
              <w:rPr>
                <w:b/>
                <w:color w:val="auto"/>
                <w:kern w:val="0"/>
                <w:sz w:val="20"/>
              </w:rPr>
            </w:pPr>
            <w:r>
              <w:rPr>
                <w:rFonts w:hint="eastAsia"/>
                <w:b/>
                <w:color w:val="auto"/>
                <w:kern w:val="0"/>
                <w:sz w:val="20"/>
              </w:rPr>
              <w:t>产品（项目）名称</w:t>
            </w:r>
          </w:p>
        </w:tc>
        <w:tc>
          <w:tcPr>
            <w:tcW w:w="509" w:type="dxa"/>
            <w:vAlign w:val="center"/>
          </w:tcPr>
          <w:p>
            <w:pPr>
              <w:jc w:val="center"/>
              <w:rPr>
                <w:b/>
                <w:color w:val="auto"/>
                <w:kern w:val="0"/>
                <w:sz w:val="20"/>
              </w:rPr>
            </w:pPr>
            <w:r>
              <w:rPr>
                <w:rFonts w:hint="eastAsia"/>
                <w:b/>
                <w:color w:val="auto"/>
                <w:kern w:val="0"/>
                <w:sz w:val="20"/>
              </w:rPr>
              <w:t>数量</w:t>
            </w:r>
          </w:p>
        </w:tc>
        <w:tc>
          <w:tcPr>
            <w:tcW w:w="653" w:type="dxa"/>
            <w:vAlign w:val="center"/>
          </w:tcPr>
          <w:p>
            <w:pPr>
              <w:jc w:val="center"/>
              <w:rPr>
                <w:b/>
                <w:color w:val="auto"/>
                <w:kern w:val="0"/>
                <w:sz w:val="20"/>
              </w:rPr>
            </w:pPr>
            <w:r>
              <w:rPr>
                <w:rFonts w:hint="eastAsia"/>
                <w:b/>
                <w:color w:val="auto"/>
                <w:kern w:val="0"/>
                <w:sz w:val="20"/>
              </w:rPr>
              <w:t>计量单位</w:t>
            </w:r>
          </w:p>
        </w:tc>
        <w:tc>
          <w:tcPr>
            <w:tcW w:w="6119" w:type="dxa"/>
            <w:vAlign w:val="center"/>
          </w:tcPr>
          <w:p>
            <w:pPr>
              <w:jc w:val="center"/>
              <w:rPr>
                <w:b/>
                <w:color w:val="auto"/>
                <w:kern w:val="0"/>
                <w:sz w:val="20"/>
              </w:rPr>
            </w:pPr>
            <w:r>
              <w:rPr>
                <w:rFonts w:hint="eastAsia"/>
                <w:b/>
                <w:color w:val="auto"/>
                <w:kern w:val="0"/>
                <w:sz w:val="20"/>
              </w:rPr>
              <w:t>配置要求及参数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color w:val="auto"/>
                <w:kern w:val="0"/>
                <w:sz w:val="20"/>
              </w:rPr>
              <w:t>1</w:t>
            </w:r>
          </w:p>
        </w:tc>
        <w:tc>
          <w:tcPr>
            <w:tcW w:w="1214" w:type="dxa"/>
            <w:vAlign w:val="center"/>
          </w:tcPr>
          <w:p>
            <w:pPr>
              <w:jc w:val="center"/>
              <w:rPr>
                <w:color w:val="auto"/>
                <w:kern w:val="0"/>
                <w:sz w:val="20"/>
              </w:rPr>
            </w:pPr>
            <w:r>
              <w:rPr>
                <w:rFonts w:hint="eastAsia"/>
                <w:color w:val="auto"/>
                <w:kern w:val="0"/>
                <w:sz w:val="20"/>
              </w:rPr>
              <w:t>防火墙维保（三年防病毒模块授权）</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套</w:t>
            </w:r>
          </w:p>
        </w:tc>
        <w:tc>
          <w:tcPr>
            <w:tcW w:w="6119" w:type="dxa"/>
          </w:tcPr>
          <w:p>
            <w:pPr>
              <w:jc w:val="left"/>
              <w:rPr>
                <w:color w:val="auto"/>
                <w:kern w:val="0"/>
                <w:sz w:val="20"/>
              </w:rPr>
            </w:pPr>
            <w:r>
              <w:rPr>
                <w:rFonts w:hint="eastAsia"/>
                <w:color w:val="auto"/>
                <w:kern w:val="0"/>
                <w:sz w:val="20"/>
              </w:rPr>
              <w:t>当前防火墙为天融信N</w:t>
            </w:r>
            <w:r>
              <w:rPr>
                <w:color w:val="auto"/>
                <w:kern w:val="0"/>
                <w:sz w:val="20"/>
              </w:rPr>
              <w:t>GFW4000(TG-2206)</w:t>
            </w:r>
            <w:r>
              <w:rPr>
                <w:rFonts w:hint="eastAsia"/>
                <w:color w:val="auto"/>
                <w:kern w:val="0"/>
                <w:sz w:val="20"/>
              </w:rPr>
              <w:t>，配置三年防病毒授权许可，提供原产授权证书。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color w:val="auto"/>
                <w:kern w:val="0"/>
                <w:sz w:val="20"/>
              </w:rPr>
              <w:t>2</w:t>
            </w:r>
          </w:p>
        </w:tc>
        <w:tc>
          <w:tcPr>
            <w:tcW w:w="1214" w:type="dxa"/>
            <w:vAlign w:val="center"/>
          </w:tcPr>
          <w:p>
            <w:pPr>
              <w:jc w:val="center"/>
              <w:rPr>
                <w:color w:val="auto"/>
                <w:kern w:val="0"/>
                <w:sz w:val="20"/>
              </w:rPr>
            </w:pPr>
            <w:r>
              <w:rPr>
                <w:rFonts w:hint="eastAsia"/>
                <w:color w:val="auto"/>
                <w:kern w:val="0"/>
                <w:sz w:val="20"/>
              </w:rPr>
              <w:t>安全审计设备（数据库审计系统）</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rPr>
                <w:rFonts w:ascii="宋体" w:hAnsi="宋体" w:cs="宋体"/>
                <w:color w:val="auto"/>
                <w:kern w:val="0"/>
                <w:sz w:val="20"/>
                <w:szCs w:val="20"/>
              </w:rPr>
            </w:pPr>
            <w:r>
              <w:rPr>
                <w:rFonts w:hint="eastAsia" w:ascii="宋体" w:hAnsi="宋体" w:cs="宋体"/>
                <w:color w:val="auto"/>
                <w:kern w:val="0"/>
                <w:sz w:val="20"/>
                <w:szCs w:val="20"/>
              </w:rPr>
              <w:t>★1、1U机架式结构，千兆电口≥5个，千兆光口≥4个，存储空间≥1T；审计处理能力≥200M，设备三年质保。</w:t>
            </w:r>
          </w:p>
          <w:p>
            <w:pPr>
              <w:rPr>
                <w:rFonts w:ascii="宋体" w:hAnsi="宋体" w:cs="宋体"/>
                <w:color w:val="auto"/>
                <w:kern w:val="0"/>
                <w:sz w:val="20"/>
                <w:szCs w:val="20"/>
              </w:rPr>
            </w:pPr>
            <w:r>
              <w:rPr>
                <w:rFonts w:hint="eastAsia" w:ascii="宋体" w:hAnsi="宋体" w:cs="宋体"/>
                <w:color w:val="auto"/>
                <w:kern w:val="0"/>
                <w:sz w:val="20"/>
                <w:szCs w:val="20"/>
              </w:rPr>
              <w:t xml:space="preserve">2、支持审计Oracle、SQLServer等主流数据库系统；支持数据库名、实例名、数据库类型、数据库服务器负载、活跃会话数以及CPU、硬盘、内存等信息的展示，支持各类SQL操作数量以及占比情况； </w:t>
            </w:r>
          </w:p>
          <w:p>
            <w:pPr>
              <w:rPr>
                <w:rFonts w:ascii="宋体" w:hAnsi="宋体" w:cs="宋体"/>
                <w:color w:val="auto"/>
                <w:kern w:val="0"/>
                <w:sz w:val="20"/>
                <w:szCs w:val="20"/>
              </w:rPr>
            </w:pPr>
            <w:r>
              <w:rPr>
                <w:rFonts w:hint="eastAsia" w:ascii="宋体" w:hAnsi="宋体" w:cs="宋体"/>
                <w:color w:val="auto"/>
                <w:kern w:val="0"/>
                <w:sz w:val="20"/>
                <w:szCs w:val="20"/>
              </w:rPr>
              <w:t xml:space="preserve">3、支持从多个维度展示错误占比及趋势，支持以饼图展示正常SQL与慢SQL占比情况、TOP10慢SQL的详细分析； </w:t>
            </w:r>
          </w:p>
          <w:p>
            <w:pPr>
              <w:rPr>
                <w:rFonts w:ascii="宋体" w:hAnsi="宋体" w:cs="宋体"/>
                <w:color w:val="auto"/>
                <w:kern w:val="0"/>
                <w:sz w:val="20"/>
                <w:szCs w:val="20"/>
              </w:rPr>
            </w:pPr>
            <w:r>
              <w:rPr>
                <w:rFonts w:hint="eastAsia" w:ascii="宋体" w:hAnsi="宋体" w:cs="宋体"/>
                <w:color w:val="auto"/>
                <w:kern w:val="0"/>
                <w:sz w:val="20"/>
                <w:szCs w:val="20"/>
              </w:rPr>
              <w:t xml:space="preserve">4、支持会话回放功能，支持0.5倍速、1倍速、1.5倍速、2倍速、4倍速速度调节； </w:t>
            </w:r>
          </w:p>
          <w:p>
            <w:pPr>
              <w:rPr>
                <w:rFonts w:ascii="宋体" w:hAnsi="宋体" w:cs="宋体"/>
                <w:color w:val="auto"/>
                <w:kern w:val="0"/>
                <w:sz w:val="20"/>
                <w:szCs w:val="20"/>
              </w:rPr>
            </w:pPr>
            <w:r>
              <w:rPr>
                <w:rFonts w:hint="eastAsia" w:ascii="宋体" w:hAnsi="宋体" w:cs="宋体"/>
                <w:color w:val="auto"/>
                <w:kern w:val="0"/>
                <w:sz w:val="20"/>
                <w:szCs w:val="20"/>
              </w:rPr>
              <w:t xml:space="preserve">5、支持多种类型操作系统的探针部署，适配的操作系统包括： WinSer、Centos、opensuse、redhat、Ubuntu、中标麒麟、银河麒麟等； </w:t>
            </w:r>
          </w:p>
          <w:p>
            <w:pPr>
              <w:rPr>
                <w:rFonts w:ascii="宋体" w:hAnsi="宋体" w:cs="宋体"/>
                <w:color w:val="auto"/>
                <w:kern w:val="0"/>
                <w:sz w:val="20"/>
                <w:szCs w:val="20"/>
              </w:rPr>
            </w:pPr>
            <w:r>
              <w:rPr>
                <w:rFonts w:hint="eastAsia" w:ascii="宋体" w:hAnsi="宋体" w:cs="宋体"/>
                <w:color w:val="auto"/>
                <w:kern w:val="0"/>
                <w:sz w:val="20"/>
                <w:szCs w:val="20"/>
              </w:rPr>
              <w:t>6、支持历史版本回退功能；</w:t>
            </w:r>
          </w:p>
          <w:p>
            <w:pPr>
              <w:jc w:val="left"/>
              <w:rPr>
                <w:color w:val="auto"/>
                <w:kern w:val="0"/>
                <w:sz w:val="20"/>
              </w:rPr>
            </w:pPr>
            <w:r>
              <w:rPr>
                <w:rFonts w:hint="eastAsia" w:ascii="宋体" w:hAnsi="宋体" w:cs="宋体"/>
                <w:color w:val="auto"/>
                <w:kern w:val="0"/>
                <w:sz w:val="20"/>
                <w:szCs w:val="20"/>
              </w:rPr>
              <w:t>7、支持抓包工具功能。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color w:val="auto"/>
                <w:kern w:val="0"/>
                <w:sz w:val="20"/>
              </w:rPr>
              <w:t>3</w:t>
            </w:r>
          </w:p>
        </w:tc>
        <w:tc>
          <w:tcPr>
            <w:tcW w:w="1214" w:type="dxa"/>
            <w:vAlign w:val="center"/>
          </w:tcPr>
          <w:p>
            <w:pPr>
              <w:jc w:val="center"/>
              <w:rPr>
                <w:color w:val="auto"/>
                <w:kern w:val="0"/>
                <w:sz w:val="20"/>
              </w:rPr>
            </w:pPr>
            <w:r>
              <w:rPr>
                <w:rFonts w:hint="eastAsia"/>
                <w:color w:val="auto"/>
                <w:kern w:val="0"/>
                <w:sz w:val="20"/>
              </w:rPr>
              <w:t>安全审计设备（网络审计</w:t>
            </w:r>
            <w:r>
              <w:rPr>
                <w:rFonts w:hint="eastAsia" w:ascii="宋体" w:hAnsi="宋体" w:cs="宋体"/>
                <w:color w:val="auto"/>
                <w:kern w:val="0"/>
                <w:sz w:val="20"/>
                <w:szCs w:val="20"/>
              </w:rPr>
              <w:t>系统</w:t>
            </w:r>
            <w:r>
              <w:rPr>
                <w:rFonts w:hint="eastAsia"/>
                <w:color w:val="auto"/>
                <w:kern w:val="0"/>
                <w:sz w:val="20"/>
              </w:rPr>
              <w:t>）</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jc w:val="left"/>
              <w:rPr>
                <w:color w:val="auto"/>
                <w:kern w:val="0"/>
                <w:sz w:val="20"/>
              </w:rPr>
            </w:pPr>
            <w:r>
              <w:rPr>
                <w:rFonts w:hint="eastAsia"/>
                <w:color w:val="auto"/>
                <w:kern w:val="0"/>
                <w:sz w:val="20"/>
              </w:rPr>
              <w:t>★1、千兆电口≥5个，千兆光口≥4个；存储空间≥1T，冗余电源；配置3年攻击应用识别库授权许可。审计处理能力≥</w:t>
            </w:r>
            <w:r>
              <w:rPr>
                <w:color w:val="auto"/>
                <w:kern w:val="0"/>
                <w:sz w:val="20"/>
              </w:rPr>
              <w:t>200</w:t>
            </w:r>
            <w:r>
              <w:rPr>
                <w:rFonts w:hint="eastAsia"/>
                <w:color w:val="auto"/>
                <w:kern w:val="0"/>
                <w:sz w:val="20"/>
              </w:rPr>
              <w:t>M。</w:t>
            </w:r>
          </w:p>
          <w:p>
            <w:pPr>
              <w:jc w:val="left"/>
              <w:rPr>
                <w:color w:val="auto"/>
                <w:kern w:val="0"/>
                <w:sz w:val="20"/>
              </w:rPr>
            </w:pPr>
            <w:r>
              <w:rPr>
                <w:rFonts w:hint="eastAsia"/>
                <w:color w:val="auto"/>
                <w:kern w:val="0"/>
                <w:sz w:val="20"/>
              </w:rPr>
              <w:t>2、支持实名审计，支持802.1x,PPPoE,AD等环境下终端IP地址和用户实名信息或主机信息绑定显示，可显示在线用户的PPPoE账号和AD域用户等信息。</w:t>
            </w:r>
          </w:p>
          <w:p>
            <w:pPr>
              <w:jc w:val="left"/>
              <w:rPr>
                <w:color w:val="auto"/>
                <w:kern w:val="0"/>
                <w:sz w:val="20"/>
              </w:rPr>
            </w:pPr>
            <w:r>
              <w:rPr>
                <w:color w:val="auto"/>
                <w:kern w:val="0"/>
                <w:sz w:val="20"/>
              </w:rPr>
              <w:t>3</w:t>
            </w:r>
            <w:r>
              <w:rPr>
                <w:rFonts w:hint="eastAsia"/>
                <w:color w:val="auto"/>
                <w:kern w:val="0"/>
                <w:sz w:val="20"/>
              </w:rPr>
              <w:t xml:space="preserve">、支持应用协议行为识别，最少分为12大类，可以把应用协议分组进行审计，用户可以根据需求自行选择审计内容。 </w:t>
            </w:r>
          </w:p>
          <w:p>
            <w:pPr>
              <w:jc w:val="left"/>
              <w:rPr>
                <w:color w:val="auto"/>
                <w:kern w:val="0"/>
                <w:sz w:val="20"/>
              </w:rPr>
            </w:pPr>
            <w:r>
              <w:rPr>
                <w:color w:val="auto"/>
                <w:kern w:val="0"/>
                <w:sz w:val="20"/>
              </w:rPr>
              <w:t>4</w:t>
            </w:r>
            <w:r>
              <w:rPr>
                <w:rFonts w:hint="eastAsia"/>
                <w:color w:val="auto"/>
                <w:kern w:val="0"/>
                <w:sz w:val="20"/>
              </w:rPr>
              <w:t>、支持对HTTP协议进行审计，审计内容包括：访问域，URL引用页、URL分类、http请求类型、http响应类型、请求文件、请求参数、访问行为、发布内容、请求结果、浏览器、服务器、Cookie、返回长度、代理客户端地址、代理上网服务、HTTP响应时间、源目的地址、MAC地址等。</w:t>
            </w:r>
          </w:p>
          <w:p>
            <w:pPr>
              <w:jc w:val="left"/>
              <w:rPr>
                <w:color w:val="auto"/>
                <w:kern w:val="0"/>
                <w:sz w:val="20"/>
              </w:rPr>
            </w:pPr>
            <w:r>
              <w:rPr>
                <w:color w:val="auto"/>
                <w:kern w:val="0"/>
                <w:sz w:val="20"/>
              </w:rPr>
              <w:t>5</w:t>
            </w:r>
            <w:r>
              <w:rPr>
                <w:rFonts w:hint="eastAsia"/>
                <w:color w:val="auto"/>
                <w:kern w:val="0"/>
                <w:sz w:val="20"/>
              </w:rPr>
              <w:t>、支持共享协议（SMB文件共享、NFS共享）审计。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rFonts w:hint="eastAsia"/>
                <w:color w:val="auto"/>
                <w:kern w:val="0"/>
                <w:sz w:val="20"/>
              </w:rPr>
              <w:t>4</w:t>
            </w:r>
          </w:p>
        </w:tc>
        <w:tc>
          <w:tcPr>
            <w:tcW w:w="1214" w:type="dxa"/>
            <w:vAlign w:val="center"/>
          </w:tcPr>
          <w:p>
            <w:pPr>
              <w:jc w:val="center"/>
              <w:rPr>
                <w:color w:val="auto"/>
                <w:kern w:val="0"/>
                <w:sz w:val="20"/>
              </w:rPr>
            </w:pPr>
            <w:r>
              <w:rPr>
                <w:rFonts w:hint="eastAsia"/>
                <w:color w:val="auto"/>
                <w:kern w:val="0"/>
                <w:sz w:val="20"/>
              </w:rPr>
              <w:t>入侵检测</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jc w:val="left"/>
              <w:rPr>
                <w:color w:val="auto"/>
                <w:kern w:val="0"/>
                <w:sz w:val="20"/>
              </w:rPr>
            </w:pPr>
            <w:r>
              <w:rPr>
                <w:rFonts w:hint="eastAsia"/>
                <w:color w:val="auto"/>
                <w:kern w:val="0"/>
                <w:sz w:val="20"/>
              </w:rPr>
              <w:t>★1、千兆电口≥5个，存储容量≥1T，整机吞吐率：&gt;1Gbps，配置三年入侵检测规则库升级许可。</w:t>
            </w:r>
          </w:p>
          <w:p>
            <w:pPr>
              <w:jc w:val="left"/>
              <w:rPr>
                <w:color w:val="auto"/>
                <w:kern w:val="0"/>
                <w:sz w:val="20"/>
              </w:rPr>
            </w:pPr>
            <w:r>
              <w:rPr>
                <w:color w:val="auto"/>
                <w:kern w:val="0"/>
                <w:sz w:val="20"/>
              </w:rPr>
              <w:t>2</w:t>
            </w:r>
            <w:r>
              <w:rPr>
                <w:rFonts w:hint="eastAsia"/>
                <w:color w:val="auto"/>
                <w:kern w:val="0"/>
                <w:sz w:val="20"/>
              </w:rPr>
              <w:t>、支持攻击报文取证功能，检测到攻击事件后将原始报文完整记录下来，作为电子证据。</w:t>
            </w:r>
          </w:p>
          <w:p>
            <w:pPr>
              <w:jc w:val="left"/>
              <w:rPr>
                <w:color w:val="auto"/>
                <w:kern w:val="0"/>
                <w:sz w:val="20"/>
              </w:rPr>
            </w:pPr>
            <w:r>
              <w:rPr>
                <w:color w:val="auto"/>
                <w:kern w:val="0"/>
                <w:sz w:val="20"/>
              </w:rPr>
              <w:t>3</w:t>
            </w:r>
            <w:r>
              <w:rPr>
                <w:rFonts w:hint="eastAsia"/>
                <w:color w:val="auto"/>
                <w:kern w:val="0"/>
                <w:sz w:val="20"/>
              </w:rPr>
              <w:t>、支持检测包括溢出攻击类、RPC攻击类、WEBCGI攻击类、拒绝服务类、木马类、蠕虫类、扫描类、网络访问类、HTTP攻击类、系统漏洞类等在内的超过5900种攻击事件。</w:t>
            </w:r>
          </w:p>
          <w:p>
            <w:pPr>
              <w:jc w:val="left"/>
              <w:rPr>
                <w:color w:val="auto"/>
                <w:kern w:val="0"/>
                <w:sz w:val="20"/>
              </w:rPr>
            </w:pPr>
            <w:r>
              <w:rPr>
                <w:color w:val="auto"/>
                <w:kern w:val="0"/>
                <w:sz w:val="20"/>
              </w:rPr>
              <w:t>4</w:t>
            </w:r>
            <w:r>
              <w:rPr>
                <w:rFonts w:hint="eastAsia"/>
                <w:color w:val="auto"/>
                <w:kern w:val="0"/>
                <w:sz w:val="20"/>
              </w:rPr>
              <w:t>、支持多种形式的日志存储,本地存储、发送至日志服务器、本地日志服务器双存储、自动方式判断日志服务器状态自动决定日志的记录方式。</w:t>
            </w:r>
          </w:p>
          <w:p>
            <w:pPr>
              <w:jc w:val="left"/>
              <w:rPr>
                <w:color w:val="auto"/>
                <w:kern w:val="0"/>
                <w:sz w:val="20"/>
              </w:rPr>
            </w:pPr>
            <w:r>
              <w:rPr>
                <w:color w:val="auto"/>
                <w:kern w:val="0"/>
                <w:sz w:val="20"/>
              </w:rPr>
              <w:t>5</w:t>
            </w:r>
            <w:r>
              <w:rPr>
                <w:rFonts w:hint="eastAsia"/>
                <w:color w:val="auto"/>
                <w:kern w:val="0"/>
                <w:sz w:val="20"/>
              </w:rPr>
              <w:t>、支持攻击统计展示，包括检测报文总数、发现攻击报文总数、以及攻击总数与检测总数百分比。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rFonts w:hint="eastAsia"/>
                <w:color w:val="auto"/>
                <w:kern w:val="0"/>
                <w:sz w:val="20"/>
              </w:rPr>
              <w:t>5</w:t>
            </w:r>
          </w:p>
        </w:tc>
        <w:tc>
          <w:tcPr>
            <w:tcW w:w="1214" w:type="dxa"/>
            <w:vAlign w:val="center"/>
          </w:tcPr>
          <w:p>
            <w:pPr>
              <w:jc w:val="center"/>
              <w:rPr>
                <w:color w:val="auto"/>
                <w:kern w:val="0"/>
                <w:sz w:val="20"/>
              </w:rPr>
            </w:pPr>
            <w:r>
              <w:rPr>
                <w:rFonts w:hint="eastAsia"/>
                <w:color w:val="auto"/>
                <w:kern w:val="0"/>
                <w:sz w:val="20"/>
              </w:rPr>
              <w:t>安全审计设备（日志审计系统）</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jc w:val="left"/>
              <w:rPr>
                <w:color w:val="auto"/>
                <w:kern w:val="0"/>
                <w:sz w:val="20"/>
              </w:rPr>
            </w:pPr>
            <w:r>
              <w:rPr>
                <w:rFonts w:hint="eastAsia"/>
                <w:color w:val="auto"/>
                <w:kern w:val="0"/>
                <w:sz w:val="20"/>
              </w:rPr>
              <w:t>★1、千兆电口≥5个，千兆光口≥2个，扩展槽≥2个，冗余电源，存储容量≥2T，固态硬盘≥1</w:t>
            </w:r>
            <w:r>
              <w:rPr>
                <w:color w:val="auto"/>
                <w:kern w:val="0"/>
                <w:sz w:val="20"/>
              </w:rPr>
              <w:t>28</w:t>
            </w:r>
            <w:r>
              <w:rPr>
                <w:rFonts w:hint="eastAsia"/>
                <w:color w:val="auto"/>
                <w:kern w:val="0"/>
                <w:sz w:val="20"/>
              </w:rPr>
              <w:t>G，内存≥1</w:t>
            </w:r>
            <w:r>
              <w:rPr>
                <w:color w:val="auto"/>
                <w:kern w:val="0"/>
                <w:sz w:val="20"/>
              </w:rPr>
              <w:t>6</w:t>
            </w:r>
            <w:r>
              <w:rPr>
                <w:rFonts w:hint="eastAsia"/>
                <w:color w:val="auto"/>
                <w:kern w:val="0"/>
                <w:sz w:val="20"/>
              </w:rPr>
              <w:t>G。配置≥3</w:t>
            </w:r>
            <w:r>
              <w:rPr>
                <w:color w:val="auto"/>
                <w:kern w:val="0"/>
                <w:sz w:val="20"/>
              </w:rPr>
              <w:t>0</w:t>
            </w:r>
            <w:r>
              <w:rPr>
                <w:rFonts w:hint="eastAsia"/>
                <w:color w:val="auto"/>
                <w:kern w:val="0"/>
                <w:sz w:val="20"/>
              </w:rPr>
              <w:t>个日志源授权。三年硬件维保。</w:t>
            </w:r>
          </w:p>
          <w:p>
            <w:pPr>
              <w:jc w:val="left"/>
              <w:rPr>
                <w:color w:val="auto"/>
                <w:kern w:val="0"/>
                <w:sz w:val="20"/>
              </w:rPr>
            </w:pPr>
            <w:r>
              <w:rPr>
                <w:color w:val="auto"/>
                <w:kern w:val="0"/>
                <w:sz w:val="20"/>
              </w:rPr>
              <w:t>2</w:t>
            </w:r>
            <w:r>
              <w:rPr>
                <w:rFonts w:hint="eastAsia"/>
                <w:color w:val="auto"/>
                <w:kern w:val="0"/>
                <w:sz w:val="20"/>
              </w:rPr>
              <w:t>、支持对通用等保系列产品以及服务器、数据库等日志对象的日志数据采集；支持Syslog、SNMP Trap、Netflow、JDBC、WMI、FTP、SFTP、SCP、文件等方式进行数据采集。</w:t>
            </w:r>
          </w:p>
          <w:p>
            <w:pPr>
              <w:jc w:val="left"/>
              <w:rPr>
                <w:color w:val="auto"/>
                <w:kern w:val="0"/>
                <w:sz w:val="20"/>
              </w:rPr>
            </w:pPr>
            <w:r>
              <w:rPr>
                <w:color w:val="auto"/>
                <w:kern w:val="0"/>
                <w:sz w:val="20"/>
              </w:rPr>
              <w:t>3</w:t>
            </w:r>
            <w:r>
              <w:rPr>
                <w:rFonts w:hint="eastAsia"/>
                <w:color w:val="auto"/>
                <w:kern w:val="0"/>
                <w:sz w:val="20"/>
              </w:rPr>
              <w:t xml:space="preserve">、支持独立展示每个被日志源最近一天的日志数量趋势，便于掌握设备的安全事件情况， 支持独立展示每个设备日志的最新采集时间，便于了解设备日志的采集状态； </w:t>
            </w:r>
          </w:p>
          <w:p>
            <w:pPr>
              <w:jc w:val="left"/>
              <w:rPr>
                <w:color w:val="auto"/>
                <w:kern w:val="0"/>
                <w:sz w:val="20"/>
              </w:rPr>
            </w:pPr>
            <w:r>
              <w:rPr>
                <w:color w:val="auto"/>
                <w:kern w:val="0"/>
                <w:sz w:val="20"/>
              </w:rPr>
              <w:t>4</w:t>
            </w:r>
            <w:r>
              <w:rPr>
                <w:rFonts w:hint="eastAsia"/>
                <w:color w:val="auto"/>
                <w:kern w:val="0"/>
                <w:sz w:val="20"/>
              </w:rPr>
              <w:t xml:space="preserve">、支持对常用查询条件进行保存，可重复使用；支持查询条件缓存，提升常用条件的检索速度；支持为不同类型日志设置不同的查询条件和显示条件； </w:t>
            </w:r>
          </w:p>
          <w:p>
            <w:pPr>
              <w:jc w:val="left"/>
              <w:rPr>
                <w:color w:val="auto"/>
                <w:kern w:val="0"/>
                <w:sz w:val="20"/>
              </w:rPr>
            </w:pPr>
            <w:r>
              <w:rPr>
                <w:color w:val="auto"/>
                <w:kern w:val="0"/>
                <w:sz w:val="20"/>
              </w:rPr>
              <w:t>5</w:t>
            </w:r>
            <w:r>
              <w:rPr>
                <w:rFonts w:hint="eastAsia"/>
                <w:color w:val="auto"/>
                <w:kern w:val="0"/>
                <w:sz w:val="20"/>
              </w:rPr>
              <w:t>、支持对重点日志源的关注设置，并支持通过关注列表查看重点日志源的状态、当日日志量、采集日志总量、最近接收时间、业务组等基础信息。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rFonts w:hint="eastAsia"/>
                <w:color w:val="auto"/>
                <w:kern w:val="0"/>
                <w:sz w:val="20"/>
              </w:rPr>
              <w:t>6</w:t>
            </w:r>
          </w:p>
        </w:tc>
        <w:tc>
          <w:tcPr>
            <w:tcW w:w="1214" w:type="dxa"/>
            <w:vAlign w:val="center"/>
          </w:tcPr>
          <w:p>
            <w:pPr>
              <w:jc w:val="center"/>
              <w:rPr>
                <w:color w:val="auto"/>
                <w:kern w:val="0"/>
                <w:sz w:val="20"/>
              </w:rPr>
            </w:pPr>
            <w:r>
              <w:rPr>
                <w:rFonts w:hint="eastAsia"/>
                <w:color w:val="auto"/>
                <w:kern w:val="0"/>
                <w:sz w:val="20"/>
              </w:rPr>
              <w:t>安全审计设备（堡垒机）</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jc w:val="left"/>
              <w:rPr>
                <w:color w:val="auto"/>
                <w:kern w:val="0"/>
                <w:sz w:val="20"/>
              </w:rPr>
            </w:pPr>
            <w:r>
              <w:rPr>
                <w:rFonts w:hint="eastAsia"/>
                <w:color w:val="auto"/>
                <w:kern w:val="0"/>
                <w:sz w:val="20"/>
              </w:rPr>
              <w:t>★1、至少配置1个console口，USB口≥2个； 千兆电口≥5个；配置≥5</w:t>
            </w:r>
            <w:r>
              <w:rPr>
                <w:color w:val="auto"/>
                <w:kern w:val="0"/>
                <w:sz w:val="20"/>
              </w:rPr>
              <w:t>0</w:t>
            </w:r>
            <w:r>
              <w:rPr>
                <w:rFonts w:hint="eastAsia"/>
                <w:color w:val="auto"/>
                <w:kern w:val="0"/>
                <w:sz w:val="20"/>
              </w:rPr>
              <w:t>个资源授权。三年硬件维保。</w:t>
            </w:r>
          </w:p>
          <w:p>
            <w:pPr>
              <w:jc w:val="left"/>
              <w:rPr>
                <w:color w:val="auto"/>
                <w:kern w:val="0"/>
                <w:sz w:val="20"/>
              </w:rPr>
            </w:pPr>
            <w:r>
              <w:rPr>
                <w:rFonts w:hint="eastAsia"/>
                <w:color w:val="auto"/>
                <w:kern w:val="0"/>
                <w:sz w:val="20"/>
              </w:rPr>
              <w:t>2、支持本地认证和三方认证服务器接入认证，如AD、LDAP、Radius服务器；支持密码认证、证书认证、USBKEY认证、人脸识别等双因素认证方式；</w:t>
            </w:r>
          </w:p>
          <w:p>
            <w:pPr>
              <w:jc w:val="left"/>
              <w:rPr>
                <w:color w:val="auto"/>
                <w:kern w:val="0"/>
                <w:sz w:val="20"/>
              </w:rPr>
            </w:pPr>
            <w:r>
              <w:rPr>
                <w:rFonts w:hint="eastAsia"/>
                <w:color w:val="auto"/>
                <w:kern w:val="0"/>
                <w:sz w:val="20"/>
              </w:rPr>
              <w:t>3、支持第三方证书用户自行上传用作校验的CA证书和CRL列表；本地CA支持根证书的重新生成及替换；支持根据根证书签发出客户端证书；支持发布生成吊销列表；支持国密证书认证；</w:t>
            </w:r>
          </w:p>
          <w:p>
            <w:pPr>
              <w:jc w:val="left"/>
              <w:rPr>
                <w:color w:val="auto"/>
                <w:kern w:val="0"/>
                <w:sz w:val="20"/>
              </w:rPr>
            </w:pPr>
            <w:r>
              <w:rPr>
                <w:rFonts w:hint="eastAsia"/>
                <w:color w:val="auto"/>
                <w:kern w:val="0"/>
                <w:sz w:val="20"/>
              </w:rPr>
              <w:t>4、支持SecureCRT、XShell、WinSCP、Mac Terminal等客户端直接连接堡垒机进行代理运维目标资产；</w:t>
            </w:r>
          </w:p>
          <w:p>
            <w:pPr>
              <w:jc w:val="left"/>
              <w:rPr>
                <w:color w:val="auto"/>
                <w:kern w:val="0"/>
                <w:sz w:val="20"/>
              </w:rPr>
            </w:pPr>
            <w:r>
              <w:rPr>
                <w:rFonts w:hint="eastAsia"/>
                <w:color w:val="auto"/>
                <w:kern w:val="0"/>
                <w:sz w:val="20"/>
              </w:rPr>
              <w:t>5、支持自动执行运维脚本。运维脚本分为内置和自定义两种。支持脚本类型为sh和exp两种；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rFonts w:hint="eastAsia"/>
                <w:color w:val="auto"/>
                <w:kern w:val="0"/>
                <w:sz w:val="20"/>
              </w:rPr>
              <w:t>7</w:t>
            </w:r>
          </w:p>
        </w:tc>
        <w:tc>
          <w:tcPr>
            <w:tcW w:w="1214" w:type="dxa"/>
            <w:vAlign w:val="center"/>
          </w:tcPr>
          <w:p>
            <w:pPr>
              <w:jc w:val="center"/>
              <w:rPr>
                <w:color w:val="auto"/>
                <w:kern w:val="0"/>
                <w:sz w:val="20"/>
              </w:rPr>
            </w:pPr>
            <w:r>
              <w:rPr>
                <w:rFonts w:hint="eastAsia"/>
                <w:color w:val="auto"/>
                <w:kern w:val="0"/>
                <w:sz w:val="20"/>
              </w:rPr>
              <w:t>交换机</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台</w:t>
            </w:r>
          </w:p>
        </w:tc>
        <w:tc>
          <w:tcPr>
            <w:tcW w:w="6119" w:type="dxa"/>
          </w:tcPr>
          <w:p>
            <w:pPr>
              <w:jc w:val="left"/>
              <w:rPr>
                <w:color w:val="auto"/>
                <w:kern w:val="0"/>
                <w:sz w:val="20"/>
              </w:rPr>
            </w:pPr>
            <w:r>
              <w:rPr>
                <w:color w:val="auto"/>
                <w:kern w:val="0"/>
                <w:sz w:val="20"/>
              </w:rPr>
              <w:t>1</w:t>
            </w:r>
            <w:r>
              <w:rPr>
                <w:rFonts w:hint="eastAsia"/>
                <w:color w:val="auto"/>
                <w:kern w:val="0"/>
                <w:sz w:val="20"/>
              </w:rPr>
              <w:t>、不低于24个10/100/1000Base-T以太网端口，4个千兆SFP</w:t>
            </w:r>
          </w:p>
          <w:p>
            <w:pPr>
              <w:jc w:val="left"/>
              <w:rPr>
                <w:color w:val="auto"/>
                <w:kern w:val="0"/>
                <w:sz w:val="20"/>
              </w:rPr>
            </w:pPr>
            <w:r>
              <w:rPr>
                <w:rFonts w:hint="eastAsia"/>
                <w:color w:val="auto"/>
                <w:kern w:val="0"/>
                <w:sz w:val="20"/>
              </w:rPr>
              <w:t>2、交流供电</w:t>
            </w:r>
          </w:p>
          <w:p>
            <w:pPr>
              <w:jc w:val="left"/>
              <w:rPr>
                <w:color w:val="auto"/>
                <w:kern w:val="0"/>
                <w:sz w:val="20"/>
              </w:rPr>
            </w:pPr>
            <w:r>
              <w:rPr>
                <w:rFonts w:hint="eastAsia"/>
                <w:color w:val="auto"/>
                <w:kern w:val="0"/>
                <w:sz w:val="20"/>
              </w:rPr>
              <w:t>3、包转发率：不低于51Mpps/126Mpps</w:t>
            </w:r>
          </w:p>
          <w:p>
            <w:pPr>
              <w:jc w:val="left"/>
              <w:rPr>
                <w:color w:val="auto"/>
                <w:kern w:val="0"/>
                <w:sz w:val="20"/>
              </w:rPr>
            </w:pPr>
            <w:r>
              <w:rPr>
                <w:rFonts w:hint="eastAsia"/>
                <w:color w:val="auto"/>
                <w:kern w:val="0"/>
                <w:sz w:val="20"/>
              </w:rPr>
              <w:t>4、交换容量：不低于336Gbps/3.36Tbps</w:t>
            </w:r>
          </w:p>
          <w:p>
            <w:pPr>
              <w:jc w:val="left"/>
              <w:rPr>
                <w:color w:val="auto"/>
                <w:kern w:val="0"/>
                <w:sz w:val="20"/>
              </w:rPr>
            </w:pPr>
            <w:r>
              <w:rPr>
                <w:rFonts w:hint="eastAsia"/>
                <w:color w:val="auto"/>
                <w:kern w:val="0"/>
                <w:sz w:val="20"/>
              </w:rPr>
              <w:t>5、配置2个千兆单模光模块及相应跳线。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7" w:type="dxa"/>
            <w:vAlign w:val="center"/>
          </w:tcPr>
          <w:p>
            <w:pPr>
              <w:jc w:val="center"/>
              <w:rPr>
                <w:color w:val="auto"/>
                <w:kern w:val="0"/>
                <w:sz w:val="20"/>
              </w:rPr>
            </w:pPr>
            <w:r>
              <w:rPr>
                <w:color w:val="auto"/>
                <w:kern w:val="0"/>
                <w:sz w:val="20"/>
              </w:rPr>
              <w:t>8</w:t>
            </w:r>
          </w:p>
        </w:tc>
        <w:tc>
          <w:tcPr>
            <w:tcW w:w="1214" w:type="dxa"/>
            <w:vAlign w:val="center"/>
          </w:tcPr>
          <w:p>
            <w:pPr>
              <w:jc w:val="center"/>
              <w:rPr>
                <w:color w:val="auto"/>
                <w:kern w:val="0"/>
                <w:sz w:val="20"/>
              </w:rPr>
            </w:pPr>
            <w:r>
              <w:rPr>
                <w:rFonts w:hint="eastAsia"/>
                <w:color w:val="auto"/>
                <w:kern w:val="0"/>
                <w:sz w:val="20"/>
              </w:rPr>
              <w:t>等保三级测评</w:t>
            </w:r>
          </w:p>
        </w:tc>
        <w:tc>
          <w:tcPr>
            <w:tcW w:w="509" w:type="dxa"/>
            <w:vAlign w:val="center"/>
          </w:tcPr>
          <w:p>
            <w:pPr>
              <w:jc w:val="center"/>
              <w:rPr>
                <w:color w:val="auto"/>
                <w:kern w:val="0"/>
                <w:sz w:val="20"/>
              </w:rPr>
            </w:pPr>
            <w:r>
              <w:rPr>
                <w:rFonts w:hint="eastAsia"/>
                <w:color w:val="auto"/>
                <w:kern w:val="0"/>
                <w:sz w:val="20"/>
              </w:rPr>
              <w:t>1</w:t>
            </w:r>
          </w:p>
        </w:tc>
        <w:tc>
          <w:tcPr>
            <w:tcW w:w="653" w:type="dxa"/>
            <w:vAlign w:val="center"/>
          </w:tcPr>
          <w:p>
            <w:pPr>
              <w:jc w:val="center"/>
              <w:rPr>
                <w:color w:val="auto"/>
                <w:kern w:val="0"/>
                <w:sz w:val="20"/>
              </w:rPr>
            </w:pPr>
            <w:r>
              <w:rPr>
                <w:rFonts w:hint="eastAsia"/>
                <w:color w:val="auto"/>
                <w:kern w:val="0"/>
                <w:sz w:val="20"/>
              </w:rPr>
              <w:t>项</w:t>
            </w:r>
          </w:p>
        </w:tc>
        <w:tc>
          <w:tcPr>
            <w:tcW w:w="6119" w:type="dxa"/>
          </w:tcPr>
          <w:p>
            <w:pPr>
              <w:jc w:val="left"/>
              <w:rPr>
                <w:color w:val="auto"/>
                <w:kern w:val="0"/>
                <w:sz w:val="20"/>
              </w:rPr>
            </w:pPr>
            <w:r>
              <w:rPr>
                <w:rFonts w:hint="eastAsia"/>
                <w:color w:val="auto"/>
                <w:kern w:val="0"/>
                <w:sz w:val="20"/>
              </w:rPr>
              <w:t>1、系统现状梳理，管理制度完善，系统预测评；</w:t>
            </w:r>
          </w:p>
          <w:p>
            <w:pPr>
              <w:jc w:val="left"/>
              <w:rPr>
                <w:color w:val="auto"/>
                <w:kern w:val="0"/>
                <w:sz w:val="20"/>
              </w:rPr>
            </w:pPr>
            <w:r>
              <w:rPr>
                <w:rFonts w:hint="eastAsia"/>
                <w:color w:val="auto"/>
                <w:kern w:val="0"/>
                <w:sz w:val="20"/>
              </w:rPr>
              <w:t>★2、编写相关资料并提交备案；</w:t>
            </w:r>
          </w:p>
          <w:p>
            <w:pPr>
              <w:jc w:val="left"/>
              <w:rPr>
                <w:color w:val="auto"/>
                <w:kern w:val="0"/>
                <w:sz w:val="20"/>
              </w:rPr>
            </w:pPr>
            <w:r>
              <w:rPr>
                <w:rFonts w:hint="eastAsia"/>
                <w:color w:val="auto"/>
                <w:kern w:val="0"/>
                <w:sz w:val="20"/>
              </w:rPr>
              <w:t>★3、协助客户完成专家组现场测评，对其中的技术问题现场答疑；</w:t>
            </w:r>
          </w:p>
          <w:p>
            <w:pPr>
              <w:jc w:val="left"/>
              <w:rPr>
                <w:color w:val="auto"/>
                <w:kern w:val="0"/>
                <w:sz w:val="20"/>
              </w:rPr>
            </w:pPr>
            <w:r>
              <w:rPr>
                <w:rFonts w:hint="eastAsia"/>
                <w:color w:val="auto"/>
                <w:kern w:val="0"/>
                <w:sz w:val="20"/>
              </w:rPr>
              <w:t>4、若有整改内容，协助客户进行整改；</w:t>
            </w:r>
          </w:p>
          <w:p>
            <w:pPr>
              <w:jc w:val="left"/>
              <w:rPr>
                <w:color w:val="auto"/>
                <w:kern w:val="0"/>
                <w:sz w:val="20"/>
              </w:rPr>
            </w:pPr>
            <w:r>
              <w:rPr>
                <w:rFonts w:hint="eastAsia"/>
                <w:color w:val="auto"/>
                <w:kern w:val="0"/>
                <w:sz w:val="20"/>
              </w:rPr>
              <w:t>★5、等保三级测评检测费</w:t>
            </w:r>
          </w:p>
        </w:tc>
      </w:tr>
    </w:tbl>
    <w:p>
      <w:pPr>
        <w:pStyle w:val="3"/>
        <w:numPr>
          <w:ilvl w:val="0"/>
          <w:numId w:val="0"/>
        </w:numPr>
        <w:spacing w:before="0"/>
        <w:jc w:val="left"/>
        <w:rPr>
          <w:rFonts w:asciiTheme="minorEastAsia" w:hAnsiTheme="minorEastAsia" w:eastAsiaTheme="minorEastAsia"/>
          <w:bCs w:val="0"/>
        </w:rPr>
      </w:pPr>
      <w:bookmarkStart w:id="4" w:name="_Toc22994"/>
      <w:bookmarkStart w:id="5" w:name="_Toc8649"/>
      <w:bookmarkStart w:id="6" w:name="_Toc500504884"/>
      <w:r>
        <w:rPr>
          <w:rFonts w:hint="eastAsia" w:asciiTheme="minorEastAsia" w:hAnsiTheme="minorEastAsia" w:eastAsiaTheme="minorEastAsia"/>
          <w:bCs w:val="0"/>
        </w:rPr>
        <w:t>二、质量及售后服务要求：</w:t>
      </w:r>
      <w:bookmarkEnd w:id="4"/>
      <w:bookmarkEnd w:id="5"/>
      <w:bookmarkEnd w:id="6"/>
    </w:p>
    <w:p>
      <w:pPr>
        <w:spacing w:line="360" w:lineRule="exact"/>
        <w:rPr>
          <w:rFonts w:ascii="宋体" w:hAnsi="宋体" w:cs="宋体"/>
          <w:sz w:val="24"/>
        </w:rPr>
      </w:pPr>
      <w:bookmarkStart w:id="7" w:name="_Toc500504885"/>
      <w:bookmarkStart w:id="8" w:name="_Toc31794"/>
      <w:r>
        <w:rPr>
          <w:rFonts w:hint="eastAsia" w:ascii="宋体" w:hAnsi="宋体" w:cs="宋体"/>
          <w:sz w:val="24"/>
        </w:rPr>
        <w:t>1、供应商提供的产品必须是全新的、未使用过的原装合格正品，所有设备应配套使用。</w:t>
      </w:r>
    </w:p>
    <w:p>
      <w:pPr>
        <w:spacing w:line="360" w:lineRule="exact"/>
        <w:rPr>
          <w:rFonts w:ascii="宋体" w:hAnsi="宋体" w:cs="宋体"/>
          <w:sz w:val="24"/>
        </w:rPr>
      </w:pPr>
      <w:r>
        <w:rPr>
          <w:rFonts w:hint="eastAsia" w:ascii="宋体" w:hAnsi="宋体" w:cs="宋体"/>
          <w:sz w:val="24"/>
        </w:rPr>
        <w:t>2、供应商所提供设备质量必须符合国家相关标准，必须满足本次采购的要求，若所供货物经产品质量检测机构认定质量不合格，造成的损失和后果由该供应商负全责。</w:t>
      </w:r>
    </w:p>
    <w:p>
      <w:pPr>
        <w:spacing w:line="360" w:lineRule="exact"/>
        <w:rPr>
          <w:rFonts w:ascii="宋体" w:hAnsi="宋体" w:cs="宋体"/>
          <w:sz w:val="24"/>
        </w:rPr>
      </w:pPr>
      <w:r>
        <w:rPr>
          <w:rFonts w:hint="eastAsia" w:ascii="宋体" w:hAnsi="宋体" w:cs="宋体"/>
          <w:sz w:val="24"/>
        </w:rPr>
        <w:t>3、供应商承诺</w:t>
      </w:r>
      <w:r>
        <w:rPr>
          <w:rFonts w:hint="eastAsia" w:ascii="宋体" w:hAnsi="宋体" w:cs="宋体"/>
          <w:color w:val="FF0000"/>
          <w:sz w:val="24"/>
        </w:rPr>
        <w:t>三年</w:t>
      </w:r>
      <w:r>
        <w:rPr>
          <w:rFonts w:hint="eastAsia" w:ascii="宋体" w:hAnsi="宋体" w:cs="宋体"/>
          <w:sz w:val="24"/>
        </w:rPr>
        <w:t>质保期内提供上门维修，同时为用户提供软件升级、设备操作培训等服务。</w:t>
      </w:r>
    </w:p>
    <w:p>
      <w:pPr>
        <w:spacing w:line="360" w:lineRule="exact"/>
        <w:rPr>
          <w:rFonts w:ascii="宋体" w:hAnsi="宋体" w:cs="宋体"/>
          <w:sz w:val="24"/>
        </w:rPr>
      </w:pPr>
      <w:r>
        <w:rPr>
          <w:rFonts w:hint="eastAsia" w:ascii="宋体" w:hAnsi="宋体" w:cs="宋体"/>
          <w:sz w:val="24"/>
        </w:rPr>
        <w:t>4、采购方使用过程中遇到的问题，供应商应提供7*24小时在线电话咨询服务。如电话咨询不能解决的，保证2-4小时内到达用户现场，为用户进行现场维护。</w:t>
      </w:r>
    </w:p>
    <w:p>
      <w:pPr>
        <w:spacing w:line="360" w:lineRule="exact"/>
        <w:rPr>
          <w:rFonts w:ascii="宋体" w:hAnsi="宋体" w:cs="宋体"/>
          <w:sz w:val="24"/>
        </w:rPr>
      </w:pPr>
      <w:r>
        <w:rPr>
          <w:rFonts w:hint="eastAsia" w:ascii="宋体" w:hAnsi="宋体" w:cs="宋体"/>
          <w:sz w:val="24"/>
        </w:rPr>
        <w:t>5、供应商承诺质保期内因设备本身缺陷造成各种故障应提供及时有效的技术服务和维修。</w:t>
      </w:r>
    </w:p>
    <w:p>
      <w:pPr>
        <w:spacing w:line="360" w:lineRule="exact"/>
        <w:rPr>
          <w:rFonts w:ascii="宋体" w:hAnsi="宋体" w:cs="宋体"/>
          <w:sz w:val="24"/>
        </w:rPr>
      </w:pPr>
      <w:r>
        <w:rPr>
          <w:rFonts w:hint="eastAsia" w:ascii="宋体" w:hAnsi="宋体" w:cs="宋体"/>
          <w:sz w:val="24"/>
        </w:rPr>
        <w:t>6、在设备整个质保使用期内，供应商确保设备的正常使用，若短期无法修复的，将及时提供备用设备并负责安装调试。</w:t>
      </w:r>
    </w:p>
    <w:p>
      <w:pPr>
        <w:spacing w:line="360" w:lineRule="exact"/>
        <w:rPr>
          <w:rFonts w:ascii="宋体" w:hAnsi="宋体" w:cs="宋体"/>
          <w:sz w:val="24"/>
        </w:rPr>
      </w:pPr>
      <w:r>
        <w:rPr>
          <w:rFonts w:hint="eastAsia" w:ascii="宋体" w:hAnsi="宋体" w:cs="宋体"/>
          <w:sz w:val="24"/>
        </w:rPr>
        <w:t>7、供应商承诺</w:t>
      </w:r>
      <w:r>
        <w:rPr>
          <w:rFonts w:hint="eastAsia" w:ascii="宋体" w:hAnsi="宋体" w:cs="宋体"/>
          <w:color w:val="FF0000"/>
          <w:sz w:val="24"/>
        </w:rPr>
        <w:t>三年内每年提供不少于5次设备巡检</w:t>
      </w:r>
      <w:r>
        <w:rPr>
          <w:rFonts w:hint="eastAsia" w:ascii="宋体" w:hAnsi="宋体" w:cs="宋体"/>
          <w:sz w:val="24"/>
        </w:rPr>
        <w:t>，并且出具巡检报告表。</w:t>
      </w:r>
    </w:p>
    <w:p>
      <w:pPr>
        <w:pStyle w:val="3"/>
        <w:numPr>
          <w:ilvl w:val="0"/>
          <w:numId w:val="0"/>
        </w:numPr>
        <w:spacing w:before="0"/>
        <w:jc w:val="left"/>
        <w:rPr>
          <w:rFonts w:asciiTheme="minorEastAsia" w:hAnsiTheme="minorEastAsia" w:eastAsiaTheme="minorEastAsia"/>
          <w:bCs w:val="0"/>
        </w:rPr>
      </w:pPr>
      <w:bookmarkStart w:id="9" w:name="_Toc4130"/>
      <w:r>
        <w:rPr>
          <w:rFonts w:hint="eastAsia" w:asciiTheme="minorEastAsia" w:hAnsiTheme="minorEastAsia" w:eastAsiaTheme="minorEastAsia"/>
          <w:bCs w:val="0"/>
        </w:rPr>
        <w:t>三、验收要求:</w:t>
      </w:r>
      <w:bookmarkEnd w:id="7"/>
      <w:bookmarkEnd w:id="8"/>
      <w:bookmarkEnd w:id="9"/>
    </w:p>
    <w:p>
      <w:pPr>
        <w:spacing w:line="360" w:lineRule="exact"/>
        <w:rPr>
          <w:rFonts w:ascii="宋体" w:hAnsi="宋体" w:cs="宋体"/>
          <w:sz w:val="24"/>
        </w:rPr>
      </w:pPr>
      <w:r>
        <w:rPr>
          <w:rFonts w:hint="eastAsia" w:ascii="宋体" w:hAnsi="宋体" w:cs="宋体"/>
          <w:sz w:val="24"/>
        </w:rPr>
        <w:t>1、成交供应商所提供的设备需完全满足使用要求及参数标准，所交付设备需与响应文件及合同承诺完全一致，必须包含产品合格证及产品安装使用说明书，保修卡等。响应文件中重要的设备对功能及性能证明文件，必须交付前提供，否则将追溯法律权利。</w:t>
      </w:r>
    </w:p>
    <w:p>
      <w:pPr>
        <w:spacing w:line="360" w:lineRule="exact"/>
        <w:rPr>
          <w:rFonts w:ascii="宋体" w:hAnsi="宋体" w:cs="宋体"/>
          <w:sz w:val="24"/>
        </w:rPr>
      </w:pPr>
      <w:r>
        <w:rPr>
          <w:rFonts w:hint="eastAsia" w:ascii="宋体" w:hAnsi="宋体" w:cs="宋体"/>
          <w:sz w:val="24"/>
        </w:rPr>
        <w:t>2、成交供应商需提供完善的系统功能测试及验收方案，并按照方案实施</w:t>
      </w:r>
      <w:r>
        <w:rPr>
          <w:rFonts w:hint="eastAsia"/>
        </w:rPr>
        <w:t>。</w:t>
      </w:r>
    </w:p>
    <w:p>
      <w:pPr>
        <w:widowControl/>
        <w:jc w:val="left"/>
        <w:textAlignment w:val="bottom"/>
        <w:rPr>
          <w:rFonts w:ascii="宋体" w:hAnsi="宋体" w:cs="宋体"/>
          <w:b/>
          <w:bCs/>
          <w:kern w:val="0"/>
          <w:sz w:val="20"/>
          <w:szCs w:val="20"/>
        </w:rPr>
      </w:pPr>
      <w:r>
        <w:rPr>
          <w:rFonts w:hint="eastAsia" w:ascii="宋体" w:hAnsi="宋体" w:cs="宋体"/>
          <w:sz w:val="24"/>
        </w:rPr>
        <w:t>3、其他：以响应文件承诺为准，供应商提供的所有货物或服务，均须符合响应文件相关承诺。</w:t>
      </w:r>
    </w:p>
    <w:p/>
    <w:p>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776B9"/>
    <w:multiLevelType w:val="multilevel"/>
    <w:tmpl w:val="705776B9"/>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rFonts w:ascii="宋体" w:hAnsi="宋体" w:eastAsia="宋体"/>
      </w:rPr>
    </w:lvl>
    <w:lvl w:ilvl="2" w:tentative="0">
      <w:start w:val="1"/>
      <w:numFmt w:val="decimal"/>
      <w:lvlText w:val="%1.%2.%3"/>
      <w:lvlJc w:val="left"/>
      <w:pPr>
        <w:tabs>
          <w:tab w:val="left" w:pos="1146"/>
        </w:tabs>
        <w:ind w:left="1146" w:hanging="720"/>
      </w:pPr>
      <w:rPr>
        <w:rFonts w:ascii="宋体" w:hAnsi="宋体" w:eastAsia="宋体"/>
      </w:rPr>
    </w:lvl>
    <w:lvl w:ilvl="3" w:tentative="0">
      <w:start w:val="1"/>
      <w:numFmt w:val="decimal"/>
      <w:lvlText w:val="%1.%2.%3.%4"/>
      <w:lvlJc w:val="left"/>
      <w:pPr>
        <w:tabs>
          <w:tab w:val="left" w:pos="1006"/>
        </w:tabs>
        <w:ind w:left="1006"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70B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ascii="宋体" w:hAnsi="宋体"/>
      <w:b/>
      <w:bCs/>
      <w:kern w:val="44"/>
      <w:sz w:val="30"/>
      <w:szCs w:val="30"/>
    </w:rPr>
  </w:style>
  <w:style w:type="paragraph" w:styleId="3">
    <w:name w:val="heading 2"/>
    <w:basedOn w:val="1"/>
    <w:next w:val="1"/>
    <w:qFormat/>
    <w:uiPriority w:val="0"/>
    <w:pPr>
      <w:keepNext/>
      <w:keepLines/>
      <w:numPr>
        <w:ilvl w:val="1"/>
        <w:numId w:val="1"/>
      </w:numPr>
      <w:spacing w:before="120" w:after="120" w:line="415" w:lineRule="auto"/>
      <w:outlineLvl w:val="1"/>
    </w:pPr>
    <w:rPr>
      <w:rFonts w:hAnsi="宋体"/>
      <w:b/>
      <w:bCs/>
      <w:sz w:val="28"/>
      <w:szCs w:val="28"/>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╰づ桃之夭夭</cp:lastModifiedBy>
  <dcterms:modified xsi:type="dcterms:W3CDTF">2022-06-06T03:14:58Z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