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黑简体" w:hAnsi="方正大黑简体" w:eastAsia="方正大黑简体" w:cs="方正大黑简体"/>
          <w:b/>
          <w:bCs/>
          <w:sz w:val="44"/>
          <w:szCs w:val="44"/>
          <w:highlight w:val="none"/>
        </w:rPr>
      </w:pPr>
      <w:r>
        <w:rPr>
          <w:rFonts w:hint="eastAsia" w:ascii="方正大黑简体" w:hAnsi="方正大黑简体" w:eastAsia="方正大黑简体" w:cs="方正大黑简体"/>
          <w:b/>
          <w:bCs/>
          <w:sz w:val="44"/>
          <w:szCs w:val="44"/>
          <w:highlight w:val="none"/>
        </w:rPr>
        <w:t>竞标人须知</w:t>
      </w:r>
    </w:p>
    <w:p>
      <w:pPr>
        <w:jc w:val="center"/>
        <w:rPr>
          <w:b/>
          <w:bCs/>
          <w:sz w:val="28"/>
          <w:szCs w:val="28"/>
          <w:highlight w:val="none"/>
        </w:rPr>
      </w:pPr>
      <w:r>
        <w:rPr>
          <w:rFonts w:hint="eastAsia"/>
          <w:b/>
          <w:bCs/>
          <w:sz w:val="28"/>
          <w:szCs w:val="28"/>
          <w:highlight w:val="none"/>
        </w:rPr>
        <w:t>项目名称：重庆工商大学党政办公室书柜</w:t>
      </w:r>
      <w:r>
        <w:rPr>
          <w:rFonts w:hint="eastAsia"/>
          <w:b/>
          <w:bCs/>
          <w:sz w:val="28"/>
          <w:szCs w:val="28"/>
          <w:highlight w:val="none"/>
          <w:lang w:val="en-US" w:eastAsia="zh-CN"/>
        </w:rPr>
        <w:t>采购</w:t>
      </w:r>
      <w:r>
        <w:rPr>
          <w:rFonts w:hint="eastAsia"/>
          <w:b/>
          <w:bCs/>
          <w:sz w:val="28"/>
          <w:szCs w:val="28"/>
          <w:highlight w:val="none"/>
        </w:rPr>
        <w:t>项目</w:t>
      </w:r>
    </w:p>
    <w:p>
      <w:pPr>
        <w:jc w:val="center"/>
        <w:rPr>
          <w:b/>
          <w:bCs/>
          <w:sz w:val="28"/>
          <w:szCs w:val="28"/>
          <w:highlight w:val="none"/>
        </w:rPr>
      </w:pPr>
      <w:r>
        <w:rPr>
          <w:rFonts w:hint="eastAsia"/>
          <w:b/>
          <w:bCs/>
          <w:sz w:val="28"/>
          <w:szCs w:val="28"/>
          <w:highlight w:val="none"/>
        </w:rPr>
        <w:t>（项目编号：CTBU-JZ20230</w:t>
      </w:r>
      <w:r>
        <w:rPr>
          <w:rFonts w:hint="eastAsia"/>
          <w:b/>
          <w:bCs/>
          <w:sz w:val="28"/>
          <w:szCs w:val="28"/>
          <w:highlight w:val="none"/>
          <w:lang w:val="en-US" w:eastAsia="zh-CN"/>
        </w:rPr>
        <w:t>79</w:t>
      </w:r>
      <w:r>
        <w:rPr>
          <w:rFonts w:hint="eastAsia"/>
          <w:b/>
          <w:bCs/>
          <w:sz w:val="28"/>
          <w:szCs w:val="28"/>
          <w:highlight w:val="none"/>
        </w:rPr>
        <w:t>）</w:t>
      </w:r>
    </w:p>
    <w:p>
      <w:pPr>
        <w:rPr>
          <w:b/>
          <w:bCs/>
          <w:sz w:val="24"/>
          <w:highlight w:val="none"/>
        </w:rPr>
      </w:pPr>
      <w:r>
        <w:rPr>
          <w:rFonts w:hint="eastAsia"/>
          <w:b/>
          <w:bCs/>
          <w:sz w:val="24"/>
          <w:highlight w:val="none"/>
        </w:rPr>
        <w:t>一、资格条件</w:t>
      </w:r>
    </w:p>
    <w:p>
      <w:pPr>
        <w:rPr>
          <w:b/>
          <w:bCs/>
          <w:sz w:val="24"/>
          <w:highlight w:val="none"/>
        </w:rPr>
      </w:pPr>
      <w:r>
        <w:rPr>
          <w:rFonts w:hint="eastAsia"/>
          <w:b/>
          <w:bCs/>
          <w:sz w:val="24"/>
          <w:highlight w:val="none"/>
        </w:rPr>
        <w:t xml:space="preserve">（一）一般资格要求 </w:t>
      </w:r>
      <w:bookmarkStart w:id="4" w:name="_GoBack"/>
      <w:bookmarkEnd w:id="4"/>
    </w:p>
    <w:p>
      <w:pPr>
        <w:rPr>
          <w:sz w:val="24"/>
          <w:highlight w:val="none"/>
        </w:rPr>
      </w:pPr>
      <w:r>
        <w:rPr>
          <w:rFonts w:hint="eastAsia"/>
          <w:sz w:val="24"/>
          <w:highlight w:val="none"/>
        </w:rPr>
        <w:t xml:space="preserve">1、具有独立承担民事责任的能力； </w:t>
      </w:r>
    </w:p>
    <w:p>
      <w:pPr>
        <w:rPr>
          <w:sz w:val="24"/>
          <w:highlight w:val="none"/>
        </w:rPr>
      </w:pPr>
      <w:r>
        <w:rPr>
          <w:rFonts w:hint="eastAsia"/>
          <w:sz w:val="24"/>
          <w:highlight w:val="none"/>
        </w:rPr>
        <w:t xml:space="preserve">2、具有良好的商业信誉和健全的财务会计制度； </w:t>
      </w:r>
    </w:p>
    <w:p>
      <w:pPr>
        <w:rPr>
          <w:sz w:val="24"/>
          <w:highlight w:val="none"/>
        </w:rPr>
      </w:pPr>
      <w:r>
        <w:rPr>
          <w:rFonts w:hint="eastAsia"/>
          <w:sz w:val="24"/>
          <w:highlight w:val="none"/>
        </w:rPr>
        <w:t xml:space="preserve">3、具有履行合同所必须的设备和专业技术能力； </w:t>
      </w:r>
    </w:p>
    <w:p>
      <w:pPr>
        <w:rPr>
          <w:sz w:val="24"/>
          <w:highlight w:val="none"/>
        </w:rPr>
      </w:pPr>
      <w:r>
        <w:rPr>
          <w:rFonts w:hint="eastAsia"/>
          <w:sz w:val="24"/>
          <w:highlight w:val="none"/>
        </w:rPr>
        <w:t xml:space="preserve">4、有依法缴纳税收和社会保障资金的良好记录； </w:t>
      </w:r>
    </w:p>
    <w:p>
      <w:pPr>
        <w:rPr>
          <w:sz w:val="24"/>
          <w:highlight w:val="none"/>
        </w:rPr>
      </w:pPr>
      <w:r>
        <w:rPr>
          <w:rFonts w:hint="eastAsia"/>
          <w:sz w:val="24"/>
          <w:highlight w:val="none"/>
        </w:rPr>
        <w:t xml:space="preserve">5、参加政府采购活动近三年内，在经营活动中没有重大违法记录； </w:t>
      </w:r>
    </w:p>
    <w:p>
      <w:pPr>
        <w:rPr>
          <w:sz w:val="24"/>
          <w:highlight w:val="none"/>
        </w:rPr>
      </w:pPr>
      <w:r>
        <w:rPr>
          <w:rFonts w:hint="eastAsia"/>
          <w:sz w:val="24"/>
          <w:highlight w:val="none"/>
        </w:rPr>
        <w:t xml:space="preserve">6、法律、行政法规规定的其他条件。 </w:t>
      </w:r>
    </w:p>
    <w:p>
      <w:pPr>
        <w:rPr>
          <w:b/>
          <w:bCs/>
          <w:sz w:val="24"/>
          <w:highlight w:val="none"/>
        </w:rPr>
      </w:pPr>
      <w:r>
        <w:rPr>
          <w:rFonts w:hint="eastAsia"/>
          <w:b/>
          <w:bCs/>
          <w:sz w:val="24"/>
          <w:highlight w:val="none"/>
        </w:rPr>
        <w:t xml:space="preserve">（二）特定资格条件 </w:t>
      </w:r>
    </w:p>
    <w:p>
      <w:pPr>
        <w:rPr>
          <w:sz w:val="24"/>
          <w:highlight w:val="none"/>
        </w:rPr>
      </w:pPr>
      <w:r>
        <w:rPr>
          <w:rFonts w:hint="eastAsia"/>
          <w:sz w:val="24"/>
          <w:highlight w:val="none"/>
        </w:rPr>
        <w:t>1、本项目仅接受所投产品制造商参与投标；</w:t>
      </w:r>
    </w:p>
    <w:p>
      <w:pPr>
        <w:rPr>
          <w:sz w:val="24"/>
          <w:highlight w:val="none"/>
        </w:rPr>
      </w:pPr>
      <w:r>
        <w:rPr>
          <w:rFonts w:hint="eastAsia"/>
          <w:sz w:val="24"/>
          <w:highlight w:val="none"/>
        </w:rPr>
        <w:t>2、竞标人具有有效期内的中国环境标志产品认证证书（十环认证），且认证范围包含钢木家具，响应文件中须提供证书复印件加盖竞标人公章；</w:t>
      </w:r>
    </w:p>
    <w:p>
      <w:pPr>
        <w:rPr>
          <w:rFonts w:asciiTheme="minorEastAsia" w:hAnsiTheme="minorEastAsia"/>
          <w:kern w:val="0"/>
          <w:sz w:val="24"/>
          <w:highlight w:val="none"/>
        </w:rPr>
      </w:pPr>
      <w:r>
        <w:rPr>
          <w:rFonts w:hint="eastAsia"/>
          <w:sz w:val="24"/>
          <w:highlight w:val="none"/>
        </w:rPr>
        <w:t>3、</w:t>
      </w:r>
      <w:r>
        <w:rPr>
          <w:rFonts w:hint="eastAsia" w:asciiTheme="minorEastAsia" w:hAnsiTheme="minorEastAsia"/>
          <w:kern w:val="0"/>
          <w:sz w:val="24"/>
          <w:highlight w:val="none"/>
        </w:rPr>
        <w:t>竞标人具有有效的ISO14025环境标志国际标准Ⅲ型环境标志证书或Ⅲ型环境产品声明评价证书；</w:t>
      </w:r>
    </w:p>
    <w:p>
      <w:pPr>
        <w:rPr>
          <w:rFonts w:asciiTheme="minorEastAsia" w:hAnsiTheme="minorEastAsia"/>
          <w:kern w:val="0"/>
          <w:sz w:val="24"/>
          <w:highlight w:val="none"/>
        </w:rPr>
      </w:pPr>
      <w:r>
        <w:rPr>
          <w:rFonts w:hint="eastAsia" w:asciiTheme="minorEastAsia" w:hAnsiTheme="minorEastAsia"/>
          <w:kern w:val="0"/>
          <w:sz w:val="24"/>
          <w:highlight w:val="none"/>
        </w:rPr>
        <w:t>4、投标人获得有效的GB/T27922-2011商品售后服务评价体系认证五星级及以上证书，或投标人获得全国商品售后服务评价达标认证评审委员会颁发的在有效期内的售后服务方面的五星级及以上认证证书。</w:t>
      </w:r>
    </w:p>
    <w:p>
      <w:pPr>
        <w:rPr>
          <w:sz w:val="24"/>
          <w:highlight w:val="none"/>
        </w:rPr>
      </w:pPr>
      <w:r>
        <w:rPr>
          <w:rFonts w:hint="eastAsia" w:asciiTheme="minorEastAsia" w:hAnsiTheme="minorEastAsia"/>
          <w:kern w:val="0"/>
          <w:sz w:val="24"/>
          <w:highlight w:val="none"/>
        </w:rPr>
        <w:t>5、</w:t>
      </w:r>
      <w:r>
        <w:rPr>
          <w:rFonts w:hint="eastAsia"/>
          <w:sz w:val="24"/>
          <w:highlight w:val="none"/>
        </w:rPr>
        <w:t xml:space="preserve">本项目不接受联合体投标。 </w:t>
      </w:r>
    </w:p>
    <w:p>
      <w:pPr>
        <w:rPr>
          <w:b/>
          <w:bCs/>
          <w:color w:val="FF0000"/>
          <w:sz w:val="24"/>
          <w:highlight w:val="none"/>
        </w:rPr>
      </w:pPr>
      <w:r>
        <w:rPr>
          <w:rFonts w:hint="eastAsia"/>
          <w:b/>
          <w:bCs/>
          <w:color w:val="FF0000"/>
          <w:sz w:val="24"/>
          <w:highlight w:val="none"/>
        </w:rPr>
        <w:t>注：1.竞标人的一般资格条件的证明文件可用书面声明替代（详见响应文件格式《书面声明》），并承担法律责任。</w:t>
      </w:r>
    </w:p>
    <w:p>
      <w:pPr>
        <w:rPr>
          <w:sz w:val="24"/>
          <w:highlight w:val="none"/>
        </w:rPr>
      </w:pPr>
      <w:r>
        <w:rPr>
          <w:rFonts w:hint="eastAsia"/>
          <w:b/>
          <w:bCs/>
          <w:color w:val="FF0000"/>
          <w:sz w:val="24"/>
          <w:highlight w:val="none"/>
        </w:rPr>
        <w:t>2.必须上传营业执照及特定资格条件的证明文件（不能用《书面声明》替代）。</w:t>
      </w:r>
      <w:r>
        <w:rPr>
          <w:rFonts w:hint="eastAsia"/>
          <w:sz w:val="24"/>
          <w:highlight w:val="none"/>
        </w:rPr>
        <w:t xml:space="preserve"> </w:t>
      </w:r>
    </w:p>
    <w:p>
      <w:pPr>
        <w:rPr>
          <w:sz w:val="24"/>
          <w:highlight w:val="none"/>
        </w:rPr>
      </w:pPr>
    </w:p>
    <w:p>
      <w:pPr>
        <w:rPr>
          <w:b/>
          <w:bCs/>
          <w:sz w:val="24"/>
          <w:highlight w:val="none"/>
        </w:rPr>
      </w:pPr>
      <w:r>
        <w:rPr>
          <w:rFonts w:hint="eastAsia"/>
          <w:b/>
          <w:bCs/>
          <w:sz w:val="24"/>
          <w:highlight w:val="none"/>
        </w:rPr>
        <w:t>二、报价要求</w:t>
      </w:r>
    </w:p>
    <w:p>
      <w:pPr>
        <w:rPr>
          <w:sz w:val="24"/>
          <w:highlight w:val="none"/>
        </w:rPr>
      </w:pPr>
      <w:r>
        <w:rPr>
          <w:rFonts w:hint="eastAsia"/>
          <w:sz w:val="24"/>
          <w:highlight w:val="none"/>
        </w:rPr>
        <w:t>1、项目预算金额</w:t>
      </w:r>
      <w:r>
        <w:rPr>
          <w:rFonts w:hint="eastAsia"/>
          <w:sz w:val="24"/>
          <w:highlight w:val="none"/>
          <w:lang w:val="en-US" w:eastAsia="zh-CN"/>
        </w:rPr>
        <w:t>0.43</w:t>
      </w:r>
      <w:r>
        <w:rPr>
          <w:rFonts w:hint="eastAsia"/>
          <w:sz w:val="24"/>
          <w:highlight w:val="none"/>
        </w:rPr>
        <w:t>万元。</w:t>
      </w:r>
    </w:p>
    <w:p>
      <w:pPr>
        <w:rPr>
          <w:b/>
          <w:bCs/>
          <w:color w:val="FF0000"/>
          <w:sz w:val="24"/>
          <w:highlight w:val="none"/>
        </w:rPr>
      </w:pPr>
      <w:r>
        <w:rPr>
          <w:rFonts w:hint="eastAsia"/>
          <w:sz w:val="24"/>
          <w:highlight w:val="none"/>
        </w:rPr>
        <w:t>2、本次报价为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产品购买（制造）费、辅材费、运输费（含装卸费）、保险费、税费、安装费、检测费、因检测被破坏货物的补货费等货到采购人指定地点并完成安装、调试直至验收合格的所有费用。因竞标人自身原因造成漏报、少报皆由其自行承担责任，采购人不再补偿。</w:t>
      </w:r>
    </w:p>
    <w:p>
      <w:pPr>
        <w:rPr>
          <w:b/>
          <w:color w:val="FF0000"/>
          <w:sz w:val="24"/>
          <w:highlight w:val="none"/>
        </w:rPr>
      </w:pPr>
      <w:r>
        <w:rPr>
          <w:rFonts w:hint="eastAsia"/>
          <w:b/>
          <w:color w:val="FF0000"/>
          <w:sz w:val="24"/>
          <w:highlight w:val="none"/>
        </w:rPr>
        <w:t>3、必须须上传报价明细表（详见响应文件格式）。</w:t>
      </w:r>
    </w:p>
    <w:p>
      <w:pPr>
        <w:rPr>
          <w:b/>
          <w:sz w:val="24"/>
          <w:highlight w:val="none"/>
        </w:rPr>
      </w:pPr>
      <w:r>
        <w:rPr>
          <w:rFonts w:hint="eastAsia"/>
          <w:b/>
          <w:sz w:val="24"/>
          <w:highlight w:val="none"/>
        </w:rPr>
        <w:t>4、报价修正方法</w:t>
      </w:r>
    </w:p>
    <w:p>
      <w:pPr>
        <w:rPr>
          <w:sz w:val="24"/>
          <w:highlight w:val="none"/>
        </w:rPr>
      </w:pPr>
      <w:r>
        <w:rPr>
          <w:rFonts w:hint="eastAsia"/>
          <w:sz w:val="24"/>
          <w:highlight w:val="none"/>
        </w:rPr>
        <w:t>（1）如供应商平台填写总报价与报价函及承诺中的总报价不一致时，以二者中的低价作为总价。</w:t>
      </w:r>
    </w:p>
    <w:p>
      <w:pPr>
        <w:rPr>
          <w:sz w:val="24"/>
          <w:highlight w:val="none"/>
        </w:rPr>
      </w:pPr>
      <w:r>
        <w:rPr>
          <w:rFonts w:hint="eastAsia"/>
          <w:sz w:val="24"/>
          <w:highlight w:val="none"/>
        </w:rPr>
        <w:t>（2）如报价函及承诺中的明细分项报价（如有）汇总与总报价不一致时，以二者中的低值作为总价。如分项汇总小于总报价时，修正总报价；如分项汇总大于总报价时，同比例修正所有分项单价。</w:t>
      </w:r>
    </w:p>
    <w:p>
      <w:pPr>
        <w:rPr>
          <w:sz w:val="24"/>
          <w:highlight w:val="none"/>
        </w:rPr>
      </w:pPr>
      <w:r>
        <w:rPr>
          <w:rFonts w:hint="eastAsia"/>
          <w:sz w:val="24"/>
          <w:highlight w:val="none"/>
        </w:rPr>
        <w:t>（3）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pPr>
        <w:rPr>
          <w:sz w:val="24"/>
          <w:highlight w:val="none"/>
        </w:rPr>
      </w:pPr>
      <w:r>
        <w:rPr>
          <w:rFonts w:hint="eastAsia"/>
          <w:sz w:val="24"/>
          <w:highlight w:val="none"/>
        </w:rPr>
        <w:t>5.出现以下情形之一的，将失去成为成交供应商的资格</w:t>
      </w:r>
    </w:p>
    <w:p>
      <w:pPr>
        <w:rPr>
          <w:sz w:val="24"/>
          <w:highlight w:val="none"/>
        </w:rPr>
      </w:pPr>
      <w:r>
        <w:rPr>
          <w:rFonts w:hint="eastAsia"/>
          <w:sz w:val="24"/>
          <w:highlight w:val="none"/>
        </w:rPr>
        <w:t>（1）供应商云平台网上竞采填写报价与报价函及承诺中的报价不一致而影响云平台报价排序时。</w:t>
      </w:r>
    </w:p>
    <w:p>
      <w:pPr>
        <w:rPr>
          <w:sz w:val="24"/>
          <w:highlight w:val="none"/>
        </w:rPr>
      </w:pPr>
      <w:r>
        <w:rPr>
          <w:rFonts w:hint="eastAsia"/>
          <w:sz w:val="24"/>
          <w:highlight w:val="none"/>
        </w:rPr>
        <w:t>（2）供应商投标总价超过采购人发布的限价时；分项报价超过采购人发布的分项限价时（如有）。</w:t>
      </w:r>
    </w:p>
    <w:p>
      <w:pPr>
        <w:rPr>
          <w:sz w:val="24"/>
          <w:highlight w:val="none"/>
        </w:rPr>
      </w:pPr>
      <w:r>
        <w:rPr>
          <w:rFonts w:hint="eastAsia"/>
          <w:sz w:val="24"/>
          <w:highlight w:val="none"/>
        </w:rPr>
        <w:t>（3）供应商不同意采购人对供应商报价进行修正时。</w:t>
      </w:r>
    </w:p>
    <w:p>
      <w:pPr>
        <w:rPr>
          <w:sz w:val="24"/>
          <w:highlight w:val="none"/>
        </w:rPr>
      </w:pPr>
      <w:r>
        <w:rPr>
          <w:rFonts w:hint="eastAsia"/>
          <w:sz w:val="24"/>
          <w:highlight w:val="none"/>
        </w:rPr>
        <w:t>（4）供应商对采购人发布的响应文件格式中的内容进行了修改时。</w:t>
      </w:r>
    </w:p>
    <w:p>
      <w:pPr>
        <w:rPr>
          <w:sz w:val="24"/>
          <w:highlight w:val="none"/>
        </w:rPr>
      </w:pPr>
    </w:p>
    <w:p>
      <w:pPr>
        <w:rPr>
          <w:b/>
          <w:sz w:val="24"/>
          <w:highlight w:val="none"/>
        </w:rPr>
      </w:pPr>
      <w:bookmarkStart w:id="0" w:name="_Toc8114917"/>
      <w:r>
        <w:rPr>
          <w:rFonts w:hint="eastAsia"/>
          <w:b/>
          <w:sz w:val="24"/>
          <w:highlight w:val="none"/>
        </w:rPr>
        <w:t>三、家具制作及安装要求</w:t>
      </w:r>
      <w:bookmarkEnd w:id="0"/>
    </w:p>
    <w:p>
      <w:pPr>
        <w:rPr>
          <w:b/>
          <w:sz w:val="24"/>
          <w:highlight w:val="none"/>
        </w:rPr>
      </w:pPr>
      <w:r>
        <w:rPr>
          <w:rFonts w:hint="eastAsia"/>
          <w:b/>
          <w:sz w:val="24"/>
          <w:highlight w:val="none"/>
        </w:rPr>
        <w:t>（一）需求清单及参数详见附件1。</w:t>
      </w:r>
    </w:p>
    <w:p>
      <w:pPr>
        <w:rPr>
          <w:sz w:val="24"/>
          <w:highlight w:val="none"/>
        </w:rPr>
      </w:pPr>
      <w:r>
        <w:rPr>
          <w:rFonts w:hint="eastAsia"/>
          <w:bCs/>
          <w:sz w:val="24"/>
          <w:highlight w:val="none"/>
        </w:rPr>
        <w:t>（二）</w:t>
      </w:r>
      <w:r>
        <w:rPr>
          <w:rFonts w:hint="eastAsia"/>
          <w:sz w:val="24"/>
          <w:highlight w:val="none"/>
        </w:rPr>
        <w:t>执行标准</w:t>
      </w:r>
    </w:p>
    <w:p>
      <w:pPr>
        <w:rPr>
          <w:sz w:val="24"/>
          <w:highlight w:val="none"/>
        </w:rPr>
      </w:pPr>
      <w:r>
        <w:rPr>
          <w:rFonts w:hint="eastAsia"/>
          <w:sz w:val="24"/>
          <w:highlight w:val="none"/>
        </w:rPr>
        <w:t>GB/T3324-2017《木家具通用技术标准》</w:t>
      </w:r>
    </w:p>
    <w:p>
      <w:pPr>
        <w:rPr>
          <w:sz w:val="24"/>
          <w:highlight w:val="none"/>
        </w:rPr>
      </w:pPr>
      <w:r>
        <w:rPr>
          <w:rFonts w:hint="eastAsia"/>
          <w:sz w:val="24"/>
          <w:highlight w:val="none"/>
        </w:rPr>
        <w:t>GB/T3325-2017《金属家具通用技术条件》</w:t>
      </w:r>
    </w:p>
    <w:p>
      <w:pPr>
        <w:rPr>
          <w:sz w:val="24"/>
          <w:highlight w:val="none"/>
        </w:rPr>
      </w:pPr>
      <w:r>
        <w:rPr>
          <w:rFonts w:hint="eastAsia"/>
          <w:sz w:val="24"/>
          <w:highlight w:val="none"/>
        </w:rPr>
        <w:t>GB 18580-2017《室内装饰装修材料人造板及其制品中甲醛释放限量》</w:t>
      </w:r>
    </w:p>
    <w:p>
      <w:pPr>
        <w:rPr>
          <w:sz w:val="24"/>
          <w:highlight w:val="none"/>
        </w:rPr>
      </w:pPr>
      <w:r>
        <w:rPr>
          <w:rFonts w:hint="eastAsia"/>
          <w:sz w:val="24"/>
          <w:highlight w:val="none"/>
        </w:rPr>
        <w:t>GB 18584-2001《室内装饰装修材料 木家具中有害物质限量》</w:t>
      </w:r>
    </w:p>
    <w:p>
      <w:pPr>
        <w:rPr>
          <w:sz w:val="24"/>
          <w:highlight w:val="none"/>
        </w:rPr>
      </w:pPr>
      <w:r>
        <w:rPr>
          <w:rFonts w:hint="eastAsia"/>
          <w:sz w:val="24"/>
          <w:highlight w:val="none"/>
        </w:rPr>
        <w:t>QB/T 1951.1-2010《木质家具质量检验及质量评定》</w:t>
      </w:r>
    </w:p>
    <w:p>
      <w:pPr>
        <w:rPr>
          <w:sz w:val="24"/>
          <w:highlight w:val="none"/>
        </w:rPr>
      </w:pPr>
      <w:r>
        <w:rPr>
          <w:rFonts w:hint="eastAsia"/>
          <w:sz w:val="24"/>
          <w:highlight w:val="none"/>
        </w:rPr>
        <w:t>QB/T1951.2-2013《金属家具质量检验及质量评定》</w:t>
      </w:r>
    </w:p>
    <w:p>
      <w:pPr>
        <w:rPr>
          <w:sz w:val="24"/>
          <w:highlight w:val="none"/>
        </w:rPr>
      </w:pPr>
      <w:r>
        <w:rPr>
          <w:rFonts w:hint="eastAsia"/>
          <w:sz w:val="24"/>
          <w:highlight w:val="none"/>
        </w:rPr>
        <w:t>GB/T 34722-2017《浸渍胶膜纸饰面胶合板和细木工板》</w:t>
      </w:r>
    </w:p>
    <w:p>
      <w:pPr>
        <w:rPr>
          <w:sz w:val="24"/>
          <w:highlight w:val="none"/>
        </w:rPr>
      </w:pPr>
      <w:r>
        <w:rPr>
          <w:rFonts w:hint="eastAsia"/>
          <w:sz w:val="24"/>
          <w:highlight w:val="none"/>
        </w:rPr>
        <w:t>GB/T18259-2009《人造板及表面装饰术语》</w:t>
      </w:r>
    </w:p>
    <w:p>
      <w:pPr>
        <w:rPr>
          <w:sz w:val="24"/>
          <w:highlight w:val="none"/>
        </w:rPr>
      </w:pPr>
      <w:r>
        <w:rPr>
          <w:rFonts w:hint="eastAsia"/>
          <w:sz w:val="24"/>
          <w:highlight w:val="none"/>
        </w:rPr>
        <w:t>GB/T 18583-2008《室内装饰材料胶粘剂中害物质限量》</w:t>
      </w:r>
    </w:p>
    <w:p>
      <w:pPr>
        <w:rPr>
          <w:sz w:val="24"/>
          <w:highlight w:val="none"/>
        </w:rPr>
      </w:pPr>
      <w:r>
        <w:rPr>
          <w:rFonts w:hint="eastAsia"/>
          <w:sz w:val="24"/>
          <w:highlight w:val="none"/>
        </w:rPr>
        <w:t>GB 18581- 2020《木器涂料中有害物质限量》</w:t>
      </w:r>
    </w:p>
    <w:p>
      <w:pPr>
        <w:rPr>
          <w:sz w:val="24"/>
          <w:highlight w:val="none"/>
        </w:rPr>
      </w:pPr>
      <w:r>
        <w:rPr>
          <w:rFonts w:hint="eastAsia"/>
          <w:sz w:val="24"/>
          <w:highlight w:val="none"/>
        </w:rPr>
        <w:t>GB/T 10802-2006《通用软质聚醚型聚氨酯泡沫塑料》</w:t>
      </w:r>
    </w:p>
    <w:p>
      <w:pPr>
        <w:rPr>
          <w:sz w:val="24"/>
          <w:highlight w:val="none"/>
        </w:rPr>
      </w:pPr>
      <w:r>
        <w:rPr>
          <w:rFonts w:hint="eastAsia"/>
          <w:sz w:val="24"/>
          <w:highlight w:val="none"/>
        </w:rPr>
        <w:t>GB/T 3324-2017《木家具通用技术条件》</w:t>
      </w:r>
    </w:p>
    <w:p>
      <w:pPr>
        <w:rPr>
          <w:bCs/>
          <w:sz w:val="24"/>
          <w:highlight w:val="none"/>
        </w:rPr>
      </w:pPr>
      <w:r>
        <w:rPr>
          <w:rFonts w:hint="eastAsia"/>
          <w:sz w:val="24"/>
          <w:highlight w:val="none"/>
        </w:rPr>
        <w:t>注：如有未特别注明需执行的国家相关标准、行业标准、地方标准或其他标准、规范，则统一执行最新标准、规范。项目需求清单及参数要求中已明确规定的标准也须一并执行。</w:t>
      </w:r>
    </w:p>
    <w:p>
      <w:pPr>
        <w:rPr>
          <w:bCs/>
          <w:sz w:val="24"/>
          <w:highlight w:val="none"/>
        </w:rPr>
      </w:pPr>
      <w:r>
        <w:rPr>
          <w:rFonts w:hint="eastAsia"/>
          <w:bCs/>
          <w:sz w:val="24"/>
          <w:highlight w:val="none"/>
        </w:rPr>
        <w:t>（三）制作</w:t>
      </w:r>
    </w:p>
    <w:p>
      <w:pPr>
        <w:rPr>
          <w:bCs/>
          <w:sz w:val="24"/>
          <w:highlight w:val="none"/>
        </w:rPr>
      </w:pPr>
      <w:r>
        <w:rPr>
          <w:rFonts w:hint="eastAsia"/>
          <w:bCs/>
          <w:sz w:val="24"/>
          <w:highlight w:val="none"/>
        </w:rPr>
        <w:t>所有图片样式作为参考。家具颜色、样式等设计方案须采购人使用部门进行书面确认，一旦确认后，</w:t>
      </w:r>
      <w:r>
        <w:rPr>
          <w:rFonts w:hint="eastAsia"/>
          <w:bCs/>
          <w:sz w:val="24"/>
          <w:highlight w:val="none"/>
          <w:lang w:eastAsia="zh-CN"/>
        </w:rPr>
        <w:t>成交供应商</w:t>
      </w:r>
      <w:r>
        <w:rPr>
          <w:rFonts w:hint="eastAsia"/>
          <w:bCs/>
          <w:sz w:val="24"/>
          <w:highlight w:val="none"/>
        </w:rPr>
        <w:t>严格按确认的设计方案进行生产并安装。</w:t>
      </w:r>
    </w:p>
    <w:p>
      <w:pPr>
        <w:rPr>
          <w:bCs/>
          <w:sz w:val="24"/>
          <w:highlight w:val="none"/>
        </w:rPr>
      </w:pPr>
      <w:r>
        <w:rPr>
          <w:rFonts w:hint="eastAsia"/>
          <w:bCs/>
          <w:sz w:val="24"/>
          <w:highlight w:val="none"/>
        </w:rPr>
        <w:t>（四）施工交底</w:t>
      </w:r>
    </w:p>
    <w:p>
      <w:pPr>
        <w:rPr>
          <w:bCs/>
          <w:sz w:val="24"/>
          <w:highlight w:val="none"/>
        </w:rPr>
      </w:pPr>
      <w:r>
        <w:rPr>
          <w:rFonts w:hint="eastAsia"/>
          <w:bCs/>
          <w:sz w:val="24"/>
          <w:highlight w:val="none"/>
        </w:rPr>
        <w:t>相关家具及设施、设备到校后，由采购人使用部门组织安装、调试。</w:t>
      </w:r>
    </w:p>
    <w:p>
      <w:pPr>
        <w:rPr>
          <w:bCs/>
          <w:sz w:val="24"/>
          <w:highlight w:val="none"/>
        </w:rPr>
      </w:pPr>
      <w:r>
        <w:rPr>
          <w:rFonts w:hint="eastAsia"/>
          <w:bCs/>
          <w:sz w:val="24"/>
          <w:highlight w:val="none"/>
        </w:rPr>
        <w:t>（五）安全及环境管理</w:t>
      </w:r>
    </w:p>
    <w:p>
      <w:pPr>
        <w:rPr>
          <w:bCs/>
          <w:sz w:val="24"/>
          <w:highlight w:val="none"/>
        </w:rPr>
      </w:pPr>
      <w:r>
        <w:rPr>
          <w:rFonts w:hint="eastAsia"/>
          <w:bCs/>
          <w:sz w:val="24"/>
          <w:highlight w:val="none"/>
        </w:rPr>
        <w:t>本项目的物品保管、施工安全、消防安全、环境卫生等均由供应商自行负责，如因管理不善造成的损失由供应商全部承担。</w:t>
      </w:r>
      <w:bookmarkStart w:id="1" w:name="_Toc8114921"/>
      <w:bookmarkStart w:id="2" w:name="_Toc8114919"/>
    </w:p>
    <w:p>
      <w:pPr>
        <w:rPr>
          <w:sz w:val="24"/>
          <w:highlight w:val="none"/>
        </w:rPr>
      </w:pPr>
    </w:p>
    <w:p>
      <w:pPr>
        <w:rPr>
          <w:b/>
          <w:bCs/>
          <w:sz w:val="24"/>
          <w:highlight w:val="none"/>
        </w:rPr>
      </w:pPr>
      <w:r>
        <w:rPr>
          <w:rFonts w:hint="eastAsia"/>
          <w:b/>
          <w:bCs/>
          <w:sz w:val="24"/>
          <w:highlight w:val="none"/>
        </w:rPr>
        <w:t>四、质量保证及售后服务</w:t>
      </w:r>
      <w:bookmarkEnd w:id="1"/>
    </w:p>
    <w:p>
      <w:pPr>
        <w:rPr>
          <w:sz w:val="24"/>
          <w:highlight w:val="none"/>
        </w:rPr>
      </w:pPr>
      <w:r>
        <w:rPr>
          <w:rFonts w:hint="eastAsia"/>
          <w:sz w:val="24"/>
          <w:highlight w:val="none"/>
        </w:rPr>
        <w:t>（一）产品质量保证期</w:t>
      </w:r>
    </w:p>
    <w:p>
      <w:pPr>
        <w:rPr>
          <w:b/>
          <w:bCs/>
          <w:sz w:val="24"/>
          <w:highlight w:val="none"/>
        </w:rPr>
      </w:pPr>
      <w:r>
        <w:rPr>
          <w:rFonts w:hint="eastAsia"/>
          <w:sz w:val="24"/>
          <w:highlight w:val="none"/>
        </w:rPr>
        <w:t>1、竞标人应明确承诺：</w:t>
      </w:r>
      <w:r>
        <w:rPr>
          <w:rFonts w:hint="eastAsia"/>
          <w:b/>
          <w:bCs/>
          <w:sz w:val="24"/>
          <w:highlight w:val="none"/>
        </w:rPr>
        <w:t>所有投标产品质量保证期不少于5年，免费质量保证期自项目验收合格之日起计算。</w:t>
      </w:r>
    </w:p>
    <w:p>
      <w:pPr>
        <w:rPr>
          <w:sz w:val="24"/>
          <w:highlight w:val="none"/>
        </w:rPr>
      </w:pPr>
      <w:r>
        <w:rPr>
          <w:rFonts w:hint="eastAsia"/>
          <w:sz w:val="24"/>
          <w:highlight w:val="none"/>
        </w:rPr>
        <w:t>2、投标产品属于国家规定“三包”范围的，其产品质量保证期不得低于“三包”规定。</w:t>
      </w:r>
    </w:p>
    <w:p>
      <w:pPr>
        <w:rPr>
          <w:sz w:val="24"/>
          <w:highlight w:val="none"/>
        </w:rPr>
      </w:pPr>
      <w:r>
        <w:rPr>
          <w:rFonts w:hint="eastAsia"/>
          <w:sz w:val="24"/>
          <w:highlight w:val="none"/>
        </w:rPr>
        <w:t>3、竞标人的质量保证期承诺优于国家“三包”规定的，按竞标人实际承诺执行。</w:t>
      </w:r>
    </w:p>
    <w:p>
      <w:pPr>
        <w:rPr>
          <w:sz w:val="24"/>
          <w:highlight w:val="none"/>
        </w:rPr>
      </w:pPr>
      <w:r>
        <w:rPr>
          <w:rFonts w:hint="eastAsia"/>
          <w:sz w:val="24"/>
          <w:highlight w:val="none"/>
        </w:rPr>
        <w:t>（二）售后服务内容</w:t>
      </w:r>
    </w:p>
    <w:p>
      <w:pPr>
        <w:rPr>
          <w:sz w:val="24"/>
          <w:highlight w:val="none"/>
        </w:rPr>
      </w:pPr>
      <w:r>
        <w:rPr>
          <w:rFonts w:hint="eastAsia"/>
          <w:sz w:val="24"/>
          <w:highlight w:val="none"/>
        </w:rPr>
        <w:t>1、</w:t>
      </w:r>
      <w:r>
        <w:rPr>
          <w:rFonts w:hint="eastAsia"/>
          <w:sz w:val="24"/>
          <w:highlight w:val="none"/>
          <w:lang w:eastAsia="zh-CN"/>
        </w:rPr>
        <w:t>成交供应商</w:t>
      </w:r>
      <w:r>
        <w:rPr>
          <w:rFonts w:hint="eastAsia"/>
          <w:sz w:val="24"/>
          <w:highlight w:val="none"/>
        </w:rPr>
        <w:t>提供的售后服务应符合GB/T 37652-2019《家具售后服务要求》。</w:t>
      </w:r>
    </w:p>
    <w:p>
      <w:pPr>
        <w:rPr>
          <w:sz w:val="24"/>
          <w:highlight w:val="none"/>
        </w:rPr>
      </w:pPr>
      <w:r>
        <w:rPr>
          <w:rFonts w:hint="eastAsia"/>
          <w:sz w:val="24"/>
          <w:highlight w:val="none"/>
        </w:rPr>
        <w:t>2、供应商应在质量保证期内应当为采购人提供以下技术支持和服务：</w:t>
      </w:r>
    </w:p>
    <w:p>
      <w:pPr>
        <w:rPr>
          <w:sz w:val="24"/>
          <w:highlight w:val="none"/>
        </w:rPr>
      </w:pPr>
      <w:r>
        <w:rPr>
          <w:rFonts w:hint="eastAsia"/>
          <w:sz w:val="24"/>
          <w:highlight w:val="none"/>
        </w:rPr>
        <w:t>（1）电话咨询</w:t>
      </w:r>
    </w:p>
    <w:p>
      <w:pPr>
        <w:rPr>
          <w:sz w:val="24"/>
          <w:highlight w:val="none"/>
        </w:rPr>
      </w:pPr>
      <w:r>
        <w:rPr>
          <w:rFonts w:hint="eastAsia"/>
          <w:sz w:val="24"/>
          <w:highlight w:val="none"/>
        </w:rPr>
        <w:t>供应商应当为采购人提供技术援助电话，解答采购人在使用中遇到的问题，及时为采购人提出解决问题的建议。</w:t>
      </w:r>
    </w:p>
    <w:p>
      <w:pPr>
        <w:rPr>
          <w:sz w:val="24"/>
          <w:highlight w:val="none"/>
        </w:rPr>
      </w:pPr>
      <w:r>
        <w:rPr>
          <w:rFonts w:hint="eastAsia"/>
          <w:sz w:val="24"/>
          <w:highlight w:val="none"/>
        </w:rPr>
        <w:t>（2）现场响应</w:t>
      </w:r>
    </w:p>
    <w:p>
      <w:pPr>
        <w:rPr>
          <w:sz w:val="24"/>
          <w:highlight w:val="none"/>
        </w:rPr>
      </w:pPr>
      <w:r>
        <w:rPr>
          <w:rFonts w:hint="eastAsia"/>
          <w:sz w:val="24"/>
          <w:highlight w:val="none"/>
        </w:rPr>
        <w:t>采购人遇到所有使用及技术问题，电话咨询不能解决的，供应商应在4小内到达现场免费进行处理，确保产品正常工作。</w:t>
      </w:r>
    </w:p>
    <w:p>
      <w:pPr>
        <w:rPr>
          <w:sz w:val="24"/>
          <w:highlight w:val="none"/>
        </w:rPr>
      </w:pPr>
      <w:r>
        <w:rPr>
          <w:rFonts w:hint="eastAsia"/>
          <w:sz w:val="24"/>
          <w:highlight w:val="none"/>
        </w:rPr>
        <w:t>3、质保期外服务要求</w:t>
      </w:r>
    </w:p>
    <w:p>
      <w:pPr>
        <w:rPr>
          <w:sz w:val="24"/>
          <w:highlight w:val="none"/>
        </w:rPr>
      </w:pPr>
      <w:r>
        <w:rPr>
          <w:rFonts w:hint="eastAsia"/>
          <w:sz w:val="24"/>
          <w:highlight w:val="none"/>
        </w:rPr>
        <w:t>（1）质量保证期过后，供应商应同样提供免费电话咨询服务，并应承诺提供产品上门维护服务。</w:t>
      </w:r>
    </w:p>
    <w:p>
      <w:pPr>
        <w:rPr>
          <w:sz w:val="24"/>
          <w:highlight w:val="none"/>
        </w:rPr>
      </w:pPr>
      <w:r>
        <w:rPr>
          <w:rFonts w:hint="eastAsia"/>
          <w:sz w:val="24"/>
          <w:highlight w:val="none"/>
        </w:rPr>
        <w:t>（2）质量保证期过后，采购人需要继续由原供应商提供售后服务的，该供应商应以优惠价格提供售后服务。</w:t>
      </w:r>
    </w:p>
    <w:p>
      <w:pPr>
        <w:rPr>
          <w:sz w:val="24"/>
          <w:highlight w:val="none"/>
        </w:rPr>
      </w:pPr>
      <w:r>
        <w:rPr>
          <w:rFonts w:hint="eastAsia"/>
          <w:sz w:val="24"/>
          <w:highlight w:val="none"/>
        </w:rPr>
        <w:t>（3）安装及维修时的备品备件及易损件须为原厂配件，未经需方同意，不得使用非原厂配件，且由供方根据实际情况免费提供。</w:t>
      </w:r>
    </w:p>
    <w:p>
      <w:pPr>
        <w:rPr>
          <w:sz w:val="24"/>
          <w:highlight w:val="none"/>
        </w:rPr>
      </w:pPr>
      <w:r>
        <w:rPr>
          <w:rFonts w:hint="eastAsia"/>
          <w:sz w:val="24"/>
          <w:highlight w:val="none"/>
        </w:rPr>
        <w:t>（三）若供应商有更优惠的售后服务，应当在投标文件中说明。</w:t>
      </w:r>
    </w:p>
    <w:p>
      <w:pPr>
        <w:rPr>
          <w:sz w:val="24"/>
          <w:highlight w:val="none"/>
        </w:rPr>
      </w:pPr>
    </w:p>
    <w:p>
      <w:pPr>
        <w:rPr>
          <w:b/>
          <w:bCs/>
          <w:sz w:val="24"/>
          <w:highlight w:val="none"/>
        </w:rPr>
      </w:pPr>
      <w:r>
        <w:rPr>
          <w:rFonts w:hint="eastAsia"/>
          <w:b/>
          <w:bCs/>
          <w:sz w:val="24"/>
          <w:highlight w:val="none"/>
        </w:rPr>
        <w:t>五、交货期、交货地点及验收方式</w:t>
      </w:r>
      <w:bookmarkEnd w:id="2"/>
    </w:p>
    <w:p>
      <w:pPr>
        <w:rPr>
          <w:sz w:val="24"/>
          <w:highlight w:val="none"/>
        </w:rPr>
      </w:pPr>
      <w:r>
        <w:rPr>
          <w:rFonts w:hint="eastAsia"/>
          <w:sz w:val="24"/>
          <w:highlight w:val="none"/>
        </w:rPr>
        <w:t>（一）交货期</w:t>
      </w:r>
    </w:p>
    <w:p>
      <w:pPr>
        <w:rPr>
          <w:b/>
          <w:bCs/>
          <w:sz w:val="24"/>
          <w:highlight w:val="none"/>
        </w:rPr>
      </w:pPr>
      <w:r>
        <w:rPr>
          <w:rFonts w:hint="eastAsia"/>
          <w:b/>
          <w:bCs/>
          <w:sz w:val="24"/>
          <w:highlight w:val="none"/>
        </w:rPr>
        <w:t>成交公告发布后15个工作日内完成送货并安装调试。</w:t>
      </w:r>
    </w:p>
    <w:p>
      <w:pPr>
        <w:rPr>
          <w:sz w:val="24"/>
          <w:highlight w:val="none"/>
        </w:rPr>
      </w:pPr>
      <w:r>
        <w:rPr>
          <w:rFonts w:hint="eastAsia"/>
          <w:sz w:val="24"/>
          <w:highlight w:val="none"/>
        </w:rPr>
        <w:t>（二）交货地点</w:t>
      </w:r>
    </w:p>
    <w:p>
      <w:pPr>
        <w:rPr>
          <w:sz w:val="24"/>
          <w:highlight w:val="none"/>
        </w:rPr>
      </w:pPr>
      <w:r>
        <w:rPr>
          <w:rFonts w:hint="eastAsia"/>
          <w:sz w:val="24"/>
          <w:highlight w:val="none"/>
        </w:rPr>
        <w:t>交货地点：重庆工商大学指定地点。</w:t>
      </w:r>
    </w:p>
    <w:p>
      <w:pPr>
        <w:rPr>
          <w:sz w:val="24"/>
          <w:highlight w:val="none"/>
        </w:rPr>
      </w:pPr>
      <w:r>
        <w:rPr>
          <w:rFonts w:hint="eastAsia"/>
          <w:sz w:val="24"/>
          <w:highlight w:val="none"/>
        </w:rPr>
        <w:t>（三）验收方式</w:t>
      </w:r>
    </w:p>
    <w:p>
      <w:pP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w:t>
      </w:r>
      <w:r>
        <w:rPr>
          <w:rFonts w:hint="default" w:ascii="宋体" w:hAnsi="宋体" w:cs="宋体"/>
          <w:kern w:val="0"/>
          <w:sz w:val="24"/>
          <w:szCs w:val="24"/>
          <w:highlight w:val="none"/>
        </w:rPr>
        <w:t>出厂核验</w:t>
      </w:r>
      <w:r>
        <w:rPr>
          <w:rFonts w:hint="eastAsia" w:ascii="宋体" w:hAnsi="宋体" w:cs="宋体"/>
          <w:kern w:val="0"/>
          <w:sz w:val="24"/>
          <w:szCs w:val="24"/>
          <w:highlight w:val="none"/>
          <w:lang w:eastAsia="zh-CN"/>
        </w:rPr>
        <w:t>。成交供应商</w:t>
      </w:r>
      <w:r>
        <w:rPr>
          <w:rFonts w:hint="default" w:ascii="宋体" w:hAnsi="宋体" w:cs="宋体"/>
          <w:kern w:val="0"/>
          <w:sz w:val="24"/>
          <w:szCs w:val="24"/>
          <w:highlight w:val="none"/>
        </w:rPr>
        <w:t>供货前，做好所投产品的出厂核验，确保其技术参数和规格型号完全满足采购文件的相关要求。</w:t>
      </w:r>
    </w:p>
    <w:p>
      <w:pPr>
        <w:rPr>
          <w:rFonts w:hint="eastAsia" w:eastAsiaTheme="minorEastAsia"/>
          <w:sz w:val="24"/>
          <w:highlight w:val="none"/>
          <w:lang w:val="en-US" w:eastAsia="zh-CN"/>
        </w:rPr>
      </w:pP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到货验收。货物到达现场后，采购人需求部门应做好到货验收，严格按照合同及</w:t>
      </w:r>
      <w:r>
        <w:rPr>
          <w:rFonts w:hint="eastAsia" w:ascii="宋体" w:hAnsi="宋体" w:cs="宋体"/>
          <w:kern w:val="0"/>
          <w:sz w:val="24"/>
          <w:szCs w:val="24"/>
          <w:highlight w:val="none"/>
          <w:lang w:eastAsia="zh-CN"/>
        </w:rPr>
        <w:t>采购</w:t>
      </w:r>
      <w:r>
        <w:rPr>
          <w:rFonts w:hint="eastAsia" w:ascii="宋体" w:hAnsi="宋体" w:cs="宋体"/>
          <w:kern w:val="0"/>
          <w:sz w:val="24"/>
          <w:szCs w:val="24"/>
          <w:highlight w:val="none"/>
        </w:rPr>
        <w:t>文件的产品清单核实查验到货产品的品牌、型号及规格参数。</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应在采购人需求部门在场情况下当面开箱，共同清点、检查外观，作出开箱记录，双方签字确认。若到货产品品牌、型号及规格参数等与合同及招标文件的规定不符的，</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不得进行设备安装，采购人需求部门应及时告知采购人采购管理部门与归口管理部门。</w:t>
      </w:r>
    </w:p>
    <w:p>
      <w:pPr>
        <w:rPr>
          <w:sz w:val="24"/>
          <w:highlight w:val="none"/>
        </w:rPr>
      </w:pPr>
      <w:r>
        <w:rPr>
          <w:rFonts w:hint="eastAsia"/>
          <w:sz w:val="24"/>
          <w:highlight w:val="none"/>
          <w:lang w:val="en-US" w:eastAsia="zh-CN"/>
        </w:rPr>
        <w:t>3</w:t>
      </w:r>
      <w:r>
        <w:rPr>
          <w:rFonts w:hint="eastAsia"/>
          <w:sz w:val="24"/>
          <w:highlight w:val="none"/>
        </w:rPr>
        <w:t>、货物到达现场后，供应商应在使用单位人员在场情况下当面开箱，共同清点、检查外观，作出开箱记录，双方签字确认。</w:t>
      </w:r>
    </w:p>
    <w:p>
      <w:pPr>
        <w:rPr>
          <w:sz w:val="24"/>
          <w:highlight w:val="none"/>
        </w:rPr>
      </w:pPr>
      <w:r>
        <w:rPr>
          <w:rFonts w:hint="eastAsia"/>
          <w:sz w:val="24"/>
          <w:highlight w:val="none"/>
          <w:lang w:val="en-US" w:eastAsia="zh-CN"/>
        </w:rPr>
        <w:t>4</w:t>
      </w:r>
      <w:r>
        <w:rPr>
          <w:rFonts w:hint="eastAsia"/>
          <w:sz w:val="24"/>
          <w:highlight w:val="none"/>
        </w:rPr>
        <w:t>、供应商应保证货物到达采购人所在地完好无损，如有缺漏、损坏，由供应商负责调换、补齐或赔偿。</w:t>
      </w:r>
    </w:p>
    <w:p>
      <w:pPr>
        <w:rPr>
          <w:sz w:val="24"/>
          <w:highlight w:val="none"/>
        </w:rPr>
      </w:pPr>
      <w:r>
        <w:rPr>
          <w:rFonts w:hint="eastAsia"/>
          <w:sz w:val="24"/>
          <w:highlight w:val="none"/>
          <w:lang w:val="en-US" w:eastAsia="zh-CN"/>
        </w:rPr>
        <w:t>5</w:t>
      </w:r>
      <w:r>
        <w:rPr>
          <w:rFonts w:hint="eastAsia"/>
          <w:sz w:val="24"/>
          <w:highlight w:val="none"/>
        </w:rPr>
        <w:t>、供应商应提供完备的技术资料、装箱单和合格证等，并派遣专业技术人员进行现场安装调试。验收合格条件如下：</w:t>
      </w:r>
    </w:p>
    <w:p>
      <w:pPr>
        <w:rPr>
          <w:sz w:val="24"/>
          <w:highlight w:val="none"/>
        </w:rPr>
      </w:pPr>
      <w:r>
        <w:rPr>
          <w:rFonts w:hint="eastAsia"/>
          <w:sz w:val="24"/>
          <w:highlight w:val="none"/>
        </w:rPr>
        <w:t>（1）设备技术参数与采购合同一致，性能指标达到规定的标准。</w:t>
      </w:r>
    </w:p>
    <w:p>
      <w:pPr>
        <w:rPr>
          <w:sz w:val="24"/>
          <w:highlight w:val="none"/>
        </w:rPr>
      </w:pPr>
      <w:r>
        <w:rPr>
          <w:rFonts w:hint="eastAsia"/>
          <w:sz w:val="24"/>
          <w:highlight w:val="none"/>
        </w:rPr>
        <w:t>（2）货物技术资料、装箱单、合格证等资料齐全。</w:t>
      </w:r>
    </w:p>
    <w:p>
      <w:pPr>
        <w:rPr>
          <w:sz w:val="24"/>
          <w:highlight w:val="none"/>
        </w:rPr>
      </w:pPr>
      <w:r>
        <w:rPr>
          <w:rFonts w:hint="eastAsia"/>
          <w:sz w:val="24"/>
          <w:highlight w:val="none"/>
        </w:rPr>
        <w:t>（3）在系统试运行期间所出现的问题得到解决，并运行正常。</w:t>
      </w:r>
    </w:p>
    <w:p>
      <w:pPr>
        <w:rPr>
          <w:sz w:val="24"/>
          <w:highlight w:val="none"/>
        </w:rPr>
      </w:pPr>
      <w:r>
        <w:rPr>
          <w:rFonts w:hint="eastAsia"/>
          <w:sz w:val="24"/>
          <w:highlight w:val="none"/>
        </w:rPr>
        <w:t>（4）在规定时间内完成交货并验收，并经采购人确认。</w:t>
      </w:r>
    </w:p>
    <w:p>
      <w:pPr>
        <w:rPr>
          <w:rFonts w:hint="default"/>
          <w:sz w:val="24"/>
          <w:highlight w:val="none"/>
        </w:rPr>
      </w:pPr>
      <w:r>
        <w:rPr>
          <w:rFonts w:hint="eastAsia"/>
          <w:sz w:val="24"/>
          <w:highlight w:val="none"/>
          <w:lang w:val="en-US" w:eastAsia="zh-CN"/>
        </w:rPr>
        <w:t>6</w:t>
      </w:r>
      <w:r>
        <w:rPr>
          <w:rFonts w:hint="eastAsia"/>
          <w:sz w:val="24"/>
          <w:highlight w:val="none"/>
        </w:rPr>
        <w:t>、产品在安装调试并试运行符合合同及招标文件相关要求后，方可进行最终验收</w:t>
      </w:r>
      <w:r>
        <w:rPr>
          <w:rFonts w:hint="eastAsia"/>
          <w:sz w:val="24"/>
          <w:highlight w:val="none"/>
          <w:lang w:eastAsia="zh-CN"/>
        </w:rPr>
        <w:t>，</w:t>
      </w:r>
      <w:r>
        <w:rPr>
          <w:rFonts w:hint="eastAsia"/>
          <w:sz w:val="24"/>
          <w:highlight w:val="none"/>
          <w:lang w:val="en-US" w:eastAsia="zh-CN"/>
        </w:rPr>
        <w:t>由采购人资产管理处组织最终验收</w:t>
      </w:r>
      <w:r>
        <w:rPr>
          <w:rFonts w:hint="eastAsia"/>
          <w:sz w:val="24"/>
          <w:highlight w:val="none"/>
        </w:rPr>
        <w:t>。</w:t>
      </w:r>
    </w:p>
    <w:p>
      <w:pPr>
        <w:rPr>
          <w:sz w:val="24"/>
          <w:highlight w:val="none"/>
        </w:rPr>
      </w:pPr>
      <w:r>
        <w:rPr>
          <w:rFonts w:hint="eastAsia"/>
          <w:sz w:val="24"/>
          <w:highlight w:val="none"/>
          <w:lang w:val="en-US" w:eastAsia="zh-CN"/>
        </w:rPr>
        <w:t>7</w:t>
      </w:r>
      <w:r>
        <w:rPr>
          <w:rFonts w:hint="eastAsia"/>
          <w:sz w:val="24"/>
          <w:highlight w:val="none"/>
        </w:rPr>
        <w:t>、供应商提供的货物未达到竞价文件规定要求，由供应商承担一切责任，并赔偿所造成的损失。</w:t>
      </w:r>
    </w:p>
    <w:p>
      <w:pPr>
        <w:rPr>
          <w:sz w:val="24"/>
          <w:highlight w:val="none"/>
        </w:rPr>
      </w:pPr>
      <w:r>
        <w:rPr>
          <w:rFonts w:hint="eastAsia"/>
          <w:sz w:val="24"/>
          <w:highlight w:val="none"/>
          <w:lang w:val="en-US" w:eastAsia="zh-CN"/>
        </w:rPr>
        <w:t>8</w:t>
      </w:r>
      <w:r>
        <w:rPr>
          <w:rFonts w:hint="eastAsia"/>
          <w:sz w:val="24"/>
          <w:highlight w:val="none"/>
        </w:rPr>
        <w:t>、采购人需要制造商对供应商交付的产品（包括质量、技术参数等）进行确认的，制造商应予以配合，并出具书面意见。</w:t>
      </w:r>
    </w:p>
    <w:p>
      <w:pPr>
        <w:rPr>
          <w:sz w:val="24"/>
          <w:highlight w:val="none"/>
        </w:rPr>
      </w:pPr>
      <w:r>
        <w:rPr>
          <w:rFonts w:hint="eastAsia"/>
          <w:sz w:val="24"/>
          <w:highlight w:val="none"/>
          <w:lang w:val="en-US" w:eastAsia="zh-CN"/>
        </w:rPr>
        <w:t>9</w:t>
      </w:r>
      <w:r>
        <w:rPr>
          <w:rFonts w:hint="eastAsia"/>
          <w:sz w:val="24"/>
          <w:highlight w:val="none"/>
        </w:rPr>
        <w:t>.产品包装材料归采购人所有。</w:t>
      </w:r>
    </w:p>
    <w:p>
      <w:pPr>
        <w:rPr>
          <w:sz w:val="24"/>
          <w:highlight w:val="none"/>
        </w:rPr>
      </w:pPr>
    </w:p>
    <w:p>
      <w:pPr>
        <w:rPr>
          <w:b/>
          <w:bCs/>
          <w:sz w:val="24"/>
          <w:highlight w:val="none"/>
        </w:rPr>
      </w:pPr>
      <w:r>
        <w:rPr>
          <w:rFonts w:hint="eastAsia"/>
          <w:b/>
          <w:bCs/>
          <w:sz w:val="24"/>
          <w:highlight w:val="none"/>
        </w:rPr>
        <w:t>六、付款方式</w:t>
      </w:r>
    </w:p>
    <w:p>
      <w:pPr>
        <w:rPr>
          <w:sz w:val="24"/>
          <w:highlight w:val="none"/>
        </w:rPr>
      </w:pPr>
      <w:r>
        <w:rPr>
          <w:rFonts w:hint="eastAsia"/>
          <w:sz w:val="24"/>
          <w:highlight w:val="none"/>
        </w:rPr>
        <w:t>1、供应商按采购合同交货并安装调试完成，经验收合格后采购人出具项目验收报告；</w:t>
      </w:r>
    </w:p>
    <w:p>
      <w:pPr>
        <w:rPr>
          <w:sz w:val="24"/>
          <w:highlight w:val="none"/>
        </w:rPr>
      </w:pPr>
      <w:r>
        <w:rPr>
          <w:rFonts w:hint="eastAsia"/>
          <w:sz w:val="24"/>
          <w:highlight w:val="none"/>
        </w:rPr>
        <w:t>2、供应商向采购人开具增值税专用发票含抵扣联和记账联（若项目为硬件和软件一体的，应分别开具硬件、软件（服务）的发票），协助使用部门办理入库手续后，采购人以转账方式一次性向供应商支付合同全款。</w:t>
      </w:r>
    </w:p>
    <w:p>
      <w:pPr>
        <w:rPr>
          <w:sz w:val="24"/>
          <w:highlight w:val="none"/>
        </w:rPr>
      </w:pPr>
      <w:r>
        <w:rPr>
          <w:rFonts w:hint="eastAsia"/>
          <w:sz w:val="24"/>
          <w:highlight w:val="none"/>
        </w:rPr>
        <w:t>注：如遇寒暑假或国家重大事件，则顺延至开学或条件允许后支付。</w:t>
      </w:r>
    </w:p>
    <w:p>
      <w:pPr>
        <w:numPr>
          <w:ilvl w:val="255"/>
          <w:numId w:val="0"/>
        </w:numPr>
        <w:spacing w:line="400" w:lineRule="exact"/>
        <w:rPr>
          <w:rFonts w:ascii="Times New Roman" w:hAnsi="Times New Roman" w:cs="Times New Roman"/>
          <w:b/>
          <w:bCs/>
          <w:sz w:val="24"/>
          <w:highlight w:val="none"/>
        </w:rPr>
      </w:pPr>
      <w:r>
        <w:rPr>
          <w:rFonts w:hint="eastAsia" w:ascii="Times New Roman" w:hAnsi="Times New Roman" w:cs="Times New Roman"/>
          <w:b/>
          <w:bCs/>
          <w:sz w:val="24"/>
          <w:highlight w:val="none"/>
          <w:lang w:val="en-US" w:eastAsia="zh-CN"/>
        </w:rPr>
        <w:t>七、</w:t>
      </w:r>
      <w:r>
        <w:rPr>
          <w:rFonts w:ascii="Times New Roman" w:hAnsi="Times New Roman" w:cs="Times New Roman"/>
          <w:b/>
          <w:bCs/>
          <w:sz w:val="24"/>
          <w:highlight w:val="none"/>
        </w:rPr>
        <w:t>履约保证金收取及退还</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1、履约保证金成交供应商须在签订合同前向采购人开户银行汇入合同金额5%的履约保证金（合同金额≥5万元），确保项目按期、按质进行。成交供应商若发生部分违约现象，学校从履约保证金中扣除相应金额的违约金；若发现严重违约现象，学校有充分理由没收其全额保证金。扣除的履约保证金，成交供应商应在30个日历日内补足。服务期结束验收合格且无遗留问题的前提下退还履约保证金（不计利息）。成交供应商申请退还履约保证金时须提供使用部门、资产管理处签署的《重庆工商大学付款项目质量评估报告》。</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2、履约保证金缴纳方式：以转账、电汇等方式到重庆工商大学指定的银行基本账户，不得以现金或其他方式划入任何个人账户，否则由此产生的所有损失由竞标人自行承担。成交供应商务必在汇款凭证上注明“CTBU-JZ20230</w:t>
      </w:r>
      <w:r>
        <w:rPr>
          <w:rFonts w:hint="eastAsia" w:ascii="Times New Roman" w:hAnsi="Times New Roman" w:cs="Times New Roman"/>
          <w:kern w:val="2"/>
          <w:sz w:val="24"/>
          <w:szCs w:val="24"/>
          <w:highlight w:val="none"/>
          <w:lang w:val="en-US" w:eastAsia="zh-CN" w:bidi="ar-SA"/>
        </w:rPr>
        <w:t>79</w:t>
      </w:r>
      <w:r>
        <w:rPr>
          <w:rFonts w:hint="default" w:ascii="Times New Roman" w:hAnsi="Times New Roman" w:cs="Times New Roman" w:eastAsiaTheme="minorEastAsia"/>
          <w:kern w:val="2"/>
          <w:sz w:val="24"/>
          <w:szCs w:val="24"/>
          <w:highlight w:val="none"/>
          <w:lang w:val="en-US" w:eastAsia="zh-CN" w:bidi="ar-SA"/>
        </w:rPr>
        <w:t>”。</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3、履约保证金指定收取账户</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户名：重庆工商大学</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开户行：工行重庆南岸学府支行</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账号：9558 8531 0075 3300 031</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统一社会信用代码:125000007428748822</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重庆工商大学咨询电话：023-62769774</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4、履约保证金退还方式</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在合同质保期结束后，成交供应商申请退履约保证金时，由采购人牵头组织相关部门进行考核后，根据考核情况退回履约保证金。</w:t>
      </w:r>
    </w:p>
    <w:p>
      <w:pPr>
        <w:rPr>
          <w:sz w:val="24"/>
          <w:highlight w:val="none"/>
        </w:rPr>
      </w:pPr>
      <w:r>
        <w:rPr>
          <w:rFonts w:hint="eastAsia"/>
          <w:b/>
          <w:sz w:val="24"/>
          <w:highlight w:val="none"/>
          <w:lang w:val="en-US" w:eastAsia="zh-CN"/>
        </w:rPr>
        <w:t>八、</w:t>
      </w:r>
      <w:r>
        <w:rPr>
          <w:rFonts w:hint="eastAsia"/>
          <w:b/>
          <w:sz w:val="24"/>
          <w:highlight w:val="none"/>
        </w:rPr>
        <w:t>违约责任</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一）评审结束后，采购人可通过现场考察、函询等多种方式对成交供应商的投标文件响应情况予以核查，成交供应商须无条件配合并提供有关证明材料，证明其响应内容的真实有效性。采购人若发现成交供应商进行虚假响应或提供虚假材料的，有权取消成交供应商的中标资格，全额没收投标保证金；若在合同签订后查实成交供应商进行虚假响应或提供虚假材料的，采购人有权单方面终止合同，全额没收履约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（二）若成交供应商发生部分违约现象，采购人从履约保证金中扣除相应金额的违约金；若发现严重违约现象，采购人有充分理由没收其全额保证金。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1.非不可抗力情况下，因成交供应商自身原因终止履行合同的，履约保证金全额不予退还；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2.若成交供应商未能按合同和采购文件要求供货或提供服务的，履约保证金全额不予退还；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3.非不可抗力情况下，因成交供应商自身原因超过合同交货期限仍未送货安装调试达到验收要求的，超期1天，采购人扣除成交供应商履约保证金的3%作为违约惩罚，以此类推；</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4.因不可抗力，或采购人自身原因，致使交货期限延后的，成交供应商不承担相应违约责任。但成交供应商须提供采购人使用部门出具的同意延迟交货以及确定延迟交货期的书面情况说明，采购人使用部门负责人签字并加盖采购人使用部门鲜章。</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（三）</w:t>
      </w:r>
      <w:r>
        <w:rPr>
          <w:rFonts w:hint="eastAsia" w:ascii="宋体" w:hAnsi="宋体" w:cs="宋体"/>
          <w:color w:val="000000"/>
          <w:sz w:val="24"/>
          <w:highlight w:val="none"/>
          <w:u w:color="000000"/>
        </w:rPr>
        <w:t>若</w:t>
      </w:r>
      <w:r>
        <w:rPr>
          <w:rFonts w:hint="eastAsia" w:ascii="宋体" w:hAnsi="宋体" w:cs="宋体"/>
          <w:color w:val="000000"/>
          <w:sz w:val="24"/>
          <w:highlight w:val="none"/>
          <w:u w:color="000000"/>
          <w:lang w:eastAsia="zh-CN"/>
        </w:rPr>
        <w:t>供应商</w:t>
      </w:r>
      <w:r>
        <w:rPr>
          <w:rFonts w:hint="eastAsia" w:ascii="宋体" w:hAnsi="宋体" w:cs="宋体"/>
          <w:color w:val="000000"/>
          <w:sz w:val="24"/>
          <w:highlight w:val="none"/>
          <w:u w:color="000000"/>
        </w:rPr>
        <w:t>在投标或履约过程中有虚假响应或合同违约行为的，或正式验收或使用过程中，若经</w:t>
      </w:r>
      <w:r>
        <w:rPr>
          <w:rFonts w:hint="eastAsia" w:ascii="宋体" w:hAnsi="宋体" w:cs="宋体"/>
          <w:color w:val="000000"/>
          <w:sz w:val="24"/>
          <w:highlight w:val="none"/>
          <w:u w:color="000000"/>
          <w:lang w:eastAsia="zh-CN"/>
        </w:rPr>
        <w:t>采购人或</w:t>
      </w:r>
      <w:r>
        <w:rPr>
          <w:rFonts w:hint="eastAsia" w:ascii="宋体" w:hAnsi="宋体" w:cs="宋体"/>
          <w:color w:val="000000"/>
          <w:sz w:val="24"/>
          <w:highlight w:val="none"/>
          <w:u w:color="000000"/>
        </w:rPr>
        <w:t>第三方检测机构验证不合格，除须承担相应的经济赔偿责任之外，</w:t>
      </w:r>
      <w:r>
        <w:rPr>
          <w:rFonts w:hint="eastAsia" w:ascii="宋体" w:hAnsi="宋体" w:cs="宋体"/>
          <w:color w:val="000000"/>
          <w:sz w:val="24"/>
          <w:highlight w:val="none"/>
          <w:u w:color="000000"/>
          <w:lang w:eastAsia="zh-CN"/>
        </w:rPr>
        <w:t>采购人</w:t>
      </w:r>
      <w:r>
        <w:rPr>
          <w:rFonts w:hint="eastAsia" w:ascii="宋体" w:hAnsi="宋体" w:cs="宋体"/>
          <w:color w:val="000000"/>
          <w:sz w:val="24"/>
          <w:highlight w:val="none"/>
          <w:u w:color="000000"/>
        </w:rPr>
        <w:t>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r>
        <w:rPr>
          <w:rFonts w:hint="eastAsia" w:ascii="宋体" w:hAnsi="宋体"/>
          <w:sz w:val="24"/>
          <w:szCs w:val="24"/>
          <w:highlight w:val="none"/>
          <w:lang w:val="en-US" w:eastAsia="zh-CN"/>
        </w:rPr>
        <w:t>。</w:t>
      </w:r>
    </w:p>
    <w:p>
      <w:pPr>
        <w:rPr>
          <w:sz w:val="24"/>
          <w:highlight w:val="none"/>
        </w:rPr>
      </w:pPr>
      <w:r>
        <w:rPr>
          <w:rFonts w:hint="eastAsia" w:ascii="宋体" w:hAnsi="宋体"/>
          <w:sz w:val="24"/>
          <w:szCs w:val="24"/>
          <w:highlight w:val="none"/>
          <w:lang w:val="en-US" w:eastAsia="zh-CN"/>
        </w:rPr>
        <w:t>（四）其他未尽事宜按《中华人民共和国民法典》、《政府采购法》执行。</w:t>
      </w:r>
    </w:p>
    <w:p>
      <w:pPr>
        <w:rPr>
          <w:b/>
          <w:bCs/>
          <w:sz w:val="24"/>
          <w:highlight w:val="none"/>
        </w:rPr>
      </w:pPr>
      <w:r>
        <w:rPr>
          <w:rFonts w:hint="eastAsia"/>
          <w:b/>
          <w:bCs/>
          <w:sz w:val="24"/>
          <w:highlight w:val="none"/>
          <w:lang w:val="en-US" w:eastAsia="zh-CN"/>
        </w:rPr>
        <w:t>九</w:t>
      </w:r>
      <w:r>
        <w:rPr>
          <w:rFonts w:hint="eastAsia"/>
          <w:b/>
          <w:bCs/>
          <w:sz w:val="24"/>
          <w:highlight w:val="none"/>
        </w:rPr>
        <w:t>、其他注意事项</w:t>
      </w:r>
    </w:p>
    <w:p>
      <w:pPr>
        <w:rPr>
          <w:sz w:val="24"/>
          <w:highlight w:val="none"/>
        </w:rPr>
      </w:pPr>
      <w:r>
        <w:rPr>
          <w:rFonts w:hint="eastAsia"/>
          <w:sz w:val="24"/>
          <w:highlight w:val="none"/>
        </w:rPr>
        <w:t>本项目的最终解释权归属于采购人采购与招投标管理中心。</w:t>
      </w:r>
    </w:p>
    <w:p>
      <w:pPr>
        <w:widowControl/>
        <w:jc w:val="center"/>
        <w:rPr>
          <w:sz w:val="24"/>
          <w:highlight w:val="none"/>
        </w:rPr>
      </w:pPr>
      <w:r>
        <w:rPr>
          <w:sz w:val="24"/>
          <w:highlight w:val="none"/>
        </w:rPr>
        <w:br w:type="page"/>
      </w:r>
      <w:bookmarkStart w:id="3" w:name="_Toc5567522"/>
    </w:p>
    <w:p>
      <w:pPr>
        <w:widowControl/>
        <w:jc w:val="left"/>
        <w:rPr>
          <w:b/>
          <w:sz w:val="24"/>
          <w:highlight w:val="none"/>
        </w:rPr>
      </w:pPr>
      <w:r>
        <w:rPr>
          <w:b/>
          <w:sz w:val="24"/>
          <w:highlight w:val="none"/>
        </w:rPr>
        <w:t>附件</w:t>
      </w:r>
      <w:r>
        <w:rPr>
          <w:rFonts w:hint="eastAsia"/>
          <w:b/>
          <w:sz w:val="24"/>
          <w:highlight w:val="none"/>
        </w:rPr>
        <w:t>1：</w:t>
      </w:r>
    </w:p>
    <w:p>
      <w:pPr>
        <w:widowControl/>
        <w:jc w:val="center"/>
        <w:rPr>
          <w:sz w:val="24"/>
          <w:highlight w:val="none"/>
        </w:rPr>
      </w:pPr>
      <w:r>
        <w:rPr>
          <w:rFonts w:hint="eastAsia"/>
          <w:b/>
          <w:sz w:val="24"/>
          <w:highlight w:val="none"/>
        </w:rPr>
        <w:t>需求清单及参数</w:t>
      </w:r>
    </w:p>
    <w:tbl>
      <w:tblPr>
        <w:tblStyle w:val="10"/>
        <w:tblW w:w="4995" w:type="pct"/>
        <w:jc w:val="center"/>
        <w:tblLayout w:type="fixed"/>
        <w:tblCellMar>
          <w:top w:w="0" w:type="dxa"/>
          <w:left w:w="108" w:type="dxa"/>
          <w:bottom w:w="0" w:type="dxa"/>
          <w:right w:w="108" w:type="dxa"/>
        </w:tblCellMar>
      </w:tblPr>
      <w:tblGrid>
        <w:gridCol w:w="573"/>
        <w:gridCol w:w="789"/>
        <w:gridCol w:w="229"/>
        <w:gridCol w:w="2017"/>
        <w:gridCol w:w="1082"/>
        <w:gridCol w:w="3100"/>
        <w:gridCol w:w="532"/>
        <w:gridCol w:w="429"/>
        <w:gridCol w:w="1094"/>
      </w:tblGrid>
      <w:tr>
        <w:tblPrEx>
          <w:tblCellMar>
            <w:top w:w="0" w:type="dxa"/>
            <w:left w:w="108" w:type="dxa"/>
            <w:bottom w:w="0" w:type="dxa"/>
            <w:right w:w="108" w:type="dxa"/>
          </w:tblCellMar>
        </w:tblPrEx>
        <w:trPr>
          <w:trHeight w:val="878"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序号</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产品名称</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图片款式</w:t>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规格尺寸（长*宽*高mm）</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技术参数</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数量</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单位</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备注</w:t>
            </w:r>
          </w:p>
        </w:tc>
      </w:tr>
      <w:tr>
        <w:tblPrEx>
          <w:tblCellMar>
            <w:top w:w="0" w:type="dxa"/>
            <w:left w:w="108" w:type="dxa"/>
            <w:bottom w:w="0" w:type="dxa"/>
            <w:right w:w="108" w:type="dxa"/>
          </w:tblCellMar>
        </w:tblPrEx>
        <w:trPr>
          <w:trHeight w:val="43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bCs/>
                <w:sz w:val="21"/>
                <w:szCs w:val="21"/>
                <w:highlight w:val="none"/>
                <w:lang w:val="en-US" w:eastAsia="zh-CN"/>
              </w:rPr>
              <w:t>党政办</w:t>
            </w:r>
            <w:r>
              <w:rPr>
                <w:rFonts w:hint="default" w:ascii="Times New Roman" w:hAnsi="Times New Roman" w:eastAsia="宋体" w:cs="Times New Roman"/>
                <w:b/>
                <w:bCs/>
                <w:sz w:val="21"/>
                <w:szCs w:val="21"/>
                <w:highlight w:val="none"/>
              </w:rPr>
              <w:t>（联系人：</w:t>
            </w:r>
            <w:r>
              <w:rPr>
                <w:rFonts w:hint="eastAsia" w:ascii="Times New Roman" w:hAnsi="Times New Roman" w:eastAsia="宋体" w:cs="Times New Roman"/>
                <w:b/>
                <w:bCs/>
                <w:sz w:val="21"/>
                <w:szCs w:val="21"/>
                <w:highlight w:val="none"/>
                <w:lang w:val="en-US" w:eastAsia="zh-CN"/>
              </w:rPr>
              <w:t>刘</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，15320219324</w:t>
            </w:r>
            <w:r>
              <w:rPr>
                <w:rFonts w:hint="default" w:ascii="Times New Roman" w:hAnsi="Times New Roman" w:eastAsia="宋体" w:cs="Times New Roman"/>
                <w:b/>
                <w:bCs/>
                <w:sz w:val="21"/>
                <w:szCs w:val="21"/>
                <w:highlight w:val="none"/>
              </w:rPr>
              <w:t>）</w:t>
            </w:r>
          </w:p>
        </w:tc>
      </w:tr>
      <w:tr>
        <w:tblPrEx>
          <w:tblCellMar>
            <w:top w:w="0" w:type="dxa"/>
            <w:left w:w="108" w:type="dxa"/>
            <w:bottom w:w="0" w:type="dxa"/>
            <w:right w:w="108" w:type="dxa"/>
          </w:tblCellMar>
        </w:tblPrEx>
        <w:trPr>
          <w:trHeight w:val="6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517" w:type="pct"/>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定制书柜</w:t>
            </w:r>
          </w:p>
        </w:tc>
        <w:tc>
          <w:tcPr>
            <w:tcW w:w="102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drawing>
                <wp:inline distT="0" distB="0" distL="114300" distR="114300">
                  <wp:extent cx="1072515" cy="1078230"/>
                  <wp:effectExtent l="0" t="0" r="6985" b="127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5"/>
                          <a:stretch>
                            <a:fillRect/>
                          </a:stretch>
                        </pic:blipFill>
                        <pic:spPr>
                          <a:xfrm>
                            <a:off x="0" y="0"/>
                            <a:ext cx="1072515" cy="1078230"/>
                          </a:xfrm>
                          <a:prstGeom prst="rect">
                            <a:avLst/>
                          </a:prstGeom>
                          <a:noFill/>
                          <a:ln w="9525">
                            <a:noFill/>
                          </a:ln>
                        </pic:spPr>
                      </pic:pic>
                    </a:graphicData>
                  </a:graphic>
                </wp:inline>
              </w:drawing>
            </w:r>
            <w:r>
              <w:drawing>
                <wp:inline distT="0" distB="0" distL="114300" distR="114300">
                  <wp:extent cx="1024255" cy="918210"/>
                  <wp:effectExtent l="0" t="0" r="4445" b="8890"/>
                  <wp:docPr id="30" name="图片 29" descr="166813366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1668133668728"/>
                          <pic:cNvPicPr>
                            <a:picLocks noChangeAspect="1"/>
                          </pic:cNvPicPr>
                        </pic:nvPicPr>
                        <pic:blipFill>
                          <a:blip r:embed="rId6"/>
                          <a:stretch>
                            <a:fillRect/>
                          </a:stretch>
                        </pic:blipFill>
                        <pic:spPr>
                          <a:xfrm>
                            <a:off x="0" y="0"/>
                            <a:ext cx="1024255" cy="918210"/>
                          </a:xfrm>
                          <a:prstGeom prst="rect">
                            <a:avLst/>
                          </a:prstGeom>
                          <a:noFill/>
                          <a:ln w="9525">
                            <a:noFill/>
                          </a:ln>
                        </pic:spPr>
                      </pic:pic>
                    </a:graphicData>
                  </a:graphic>
                </wp:inline>
              </w:drawing>
            </w:r>
            <w:r>
              <w:drawing>
                <wp:inline distT="0" distB="0" distL="114300" distR="114300">
                  <wp:extent cx="1005205" cy="1055370"/>
                  <wp:effectExtent l="0" t="0" r="10795" b="11430"/>
                  <wp:docPr id="28" name="图片 27" descr="166813383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1668133837951"/>
                          <pic:cNvPicPr>
                            <a:picLocks noChangeAspect="1"/>
                          </pic:cNvPicPr>
                        </pic:nvPicPr>
                        <pic:blipFill>
                          <a:blip r:embed="rId7"/>
                          <a:stretch>
                            <a:fillRect/>
                          </a:stretch>
                        </pic:blipFill>
                        <pic:spPr>
                          <a:xfrm>
                            <a:off x="0" y="0"/>
                            <a:ext cx="1005205" cy="1055370"/>
                          </a:xfrm>
                          <a:prstGeom prst="rect">
                            <a:avLst/>
                          </a:prstGeom>
                          <a:noFill/>
                          <a:ln w="9525">
                            <a:noFill/>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如图</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1.基材：采用厚度≥18mm的实木齿接板，木制件甲醛、苯释放量≤1.5mg/100L。。 2.面材：采用木皮贴面，厚度≥0.5mm，甲醛、苯释放量≤1.5mg/100L。。 3.封边：采用木质封边条，甲醛含量、耐干热性、耐磨性符合QB/T 4463-2013《家具用封边条技术要求》标准。 4.油漆：采用环保水性油漆，游离甲醛含量、附着力、细度、挥发性有机化合物含量、乙二醇醚及醚酯总和、苯系物含量符合GB/T 23999-2009《室内装饰装修用水性木器涂料》、GB 24410-2009《室内装饰装修材料 水性木器涂料中有害物质限量》标准。 5.白乳胶：采用优质白乳胶，游离甲醛、不挥发物、PH值、粘度、苯、甲苯+二甲苯、总挥发性有机物符合GB 18583-2008《室内装饰装修材料 胶粘剂中有害物质限量》和Q/GYJ 04-2016《聚乙酸乙烯酯乳液》标准。 6、五金配件：采用优质三折钢珠滑轨，耐久性、垂直向下静载荷、水平侧向静载荷、拉出安全性、猛关或猛开、下沉量、耐腐蚀符合QB/T 2454-2013《家具五金 抽屉导轨》标准；采用优质铰链，耐腐蚀符合QB/T 2189-2013《家具五金 杯状暗铰链》标准。 7、实木制件甲醛释放量、木制件涂层可溶性重金属含量（铅、镉、铬、汞）、漆膜耐液性、漆膜抗冲击符合GB/T 3324-2017《木家具通用技术条件》和GB 18584-2001《室内装饰装修材料 木家具中有害物质限量》标准。</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sz w:val="21"/>
                <w:szCs w:val="21"/>
                <w:highlight w:val="none"/>
                <w:lang w:val="en-US" w:eastAsia="zh-CN"/>
              </w:rPr>
              <w:t>套</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bl>
    <w:p>
      <w:pPr>
        <w:widowControl/>
        <w:jc w:val="left"/>
        <w:rPr>
          <w:sz w:val="24"/>
          <w:highlight w:val="none"/>
        </w:rPr>
      </w:pPr>
      <w:r>
        <w:rPr>
          <w:sz w:val="24"/>
          <w:highlight w:val="none"/>
        </w:rPr>
        <w:br w:type="page"/>
      </w:r>
    </w:p>
    <w:bookmarkEnd w:id="3"/>
    <w:p>
      <w:pPr>
        <w:rPr>
          <w:rFonts w:ascii="黑体" w:hAnsi="黑体" w:eastAsia="黑体"/>
          <w:sz w:val="30"/>
          <w:szCs w:val="30"/>
          <w:highlight w:val="none"/>
        </w:rPr>
      </w:pPr>
      <w:r>
        <w:rPr>
          <w:rFonts w:hint="eastAsia" w:ascii="黑体" w:hAnsi="黑体" w:eastAsia="黑体" w:cs="宋体"/>
          <w:sz w:val="30"/>
          <w:szCs w:val="30"/>
          <w:highlight w:val="none"/>
        </w:rPr>
        <w:t>合同格式</w:t>
      </w:r>
    </w:p>
    <w:p>
      <w:pPr>
        <w:spacing w:line="500" w:lineRule="exact"/>
        <w:jc w:val="center"/>
        <w:rPr>
          <w:rFonts w:hint="default" w:ascii="Times New Roman" w:hAnsi="Times New Roman" w:cs="Times New Roman"/>
          <w:b/>
          <w:color w:val="000000" w:themeColor="text1"/>
          <w:sz w:val="32"/>
          <w:szCs w:val="18"/>
          <w:highlight w:val="none"/>
          <w14:textFill>
            <w14:solidFill>
              <w14:schemeClr w14:val="tx1"/>
            </w14:solidFill>
          </w14:textFill>
        </w:rPr>
      </w:pPr>
      <w:r>
        <w:rPr>
          <w:rFonts w:hint="default" w:ascii="Times New Roman" w:hAnsi="Times New Roman" w:cs="Times New Roman"/>
          <w:b/>
          <w:color w:val="000000" w:themeColor="text1"/>
          <w:sz w:val="32"/>
          <w:szCs w:val="18"/>
          <w:highlight w:val="none"/>
          <w14:textFill>
            <w14:solidFill>
              <w14:schemeClr w14:val="tx1"/>
            </w14:solidFill>
          </w14:textFill>
        </w:rPr>
        <w:t>重庆工商大学党政办公室书柜采购合同</w:t>
      </w:r>
    </w:p>
    <w:p>
      <w:pPr>
        <w:spacing w:line="500" w:lineRule="exact"/>
        <w:jc w:val="center"/>
        <w:rPr>
          <w:rFonts w:hint="default" w:ascii="Times New Roman" w:hAnsi="Times New Roman" w:cs="Times New Roman"/>
          <w:b/>
          <w:color w:val="FF0000"/>
          <w:sz w:val="36"/>
          <w:szCs w:val="20"/>
          <w:highlight w:val="none"/>
        </w:rPr>
      </w:pPr>
      <w:r>
        <w:rPr>
          <w:rFonts w:hint="default" w:ascii="Times New Roman" w:hAnsi="Times New Roman" w:cs="Times New Roman"/>
          <w:sz w:val="28"/>
          <w:szCs w:val="20"/>
          <w:highlight w:val="none"/>
        </w:rPr>
        <w:t>（采购项目编号：CTBU-JZ20230</w:t>
      </w:r>
      <w:r>
        <w:rPr>
          <w:rFonts w:hint="eastAsia" w:ascii="Times New Roman" w:hAnsi="Times New Roman" w:cs="Times New Roman"/>
          <w:sz w:val="28"/>
          <w:szCs w:val="20"/>
          <w:highlight w:val="none"/>
          <w:lang w:val="en-US" w:eastAsia="zh-CN"/>
        </w:rPr>
        <w:t>79</w:t>
      </w:r>
      <w:r>
        <w:rPr>
          <w:rFonts w:hint="default" w:ascii="Times New Roman" w:hAnsi="Times New Roman" w:cs="Times New Roman"/>
          <w:sz w:val="28"/>
          <w:szCs w:val="20"/>
          <w:highlight w:val="none"/>
        </w:rPr>
        <w:t>）</w:t>
      </w:r>
    </w:p>
    <w:p>
      <w:pPr>
        <w:spacing w:line="500" w:lineRule="exact"/>
        <w:jc w:val="center"/>
        <w:rPr>
          <w:rFonts w:hint="default" w:ascii="Times New Roman" w:hAnsi="Times New Roman" w:cs="Times New Roman"/>
          <w:sz w:val="24"/>
          <w:szCs w:val="24"/>
          <w:highlight w:val="none"/>
        </w:rPr>
      </w:pP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甲方（需方）：__</w:t>
      </w:r>
      <w:r>
        <w:rPr>
          <w:rFonts w:hint="default" w:ascii="Times New Roman" w:hAnsi="Times New Roman" w:cs="Times New Roman"/>
          <w:sz w:val="24"/>
          <w:szCs w:val="24"/>
          <w:highlight w:val="none"/>
          <w:u w:val="single"/>
        </w:rPr>
        <w:t>重庆工商大学</w:t>
      </w:r>
      <w:r>
        <w:rPr>
          <w:rFonts w:hint="default" w:ascii="Times New Roman" w:hAnsi="Times New Roman" w:cs="Times New Roman"/>
          <w:sz w:val="24"/>
          <w:szCs w:val="24"/>
          <w:highlight w:val="none"/>
        </w:rPr>
        <w:t>_______      计价单位：______</w:t>
      </w:r>
      <w:r>
        <w:rPr>
          <w:rFonts w:hint="default" w:ascii="Times New Roman" w:hAnsi="Times New Roman" w:cs="Times New Roman"/>
          <w:sz w:val="24"/>
          <w:szCs w:val="24"/>
          <w:highlight w:val="none"/>
          <w:u w:val="single"/>
        </w:rPr>
        <w:t>元_</w:t>
      </w:r>
      <w:r>
        <w:rPr>
          <w:rFonts w:hint="default" w:ascii="Times New Roman" w:hAnsi="Times New Roman" w:cs="Times New Roman"/>
          <w:sz w:val="24"/>
          <w:szCs w:val="24"/>
          <w:highlight w:val="none"/>
        </w:rPr>
        <w:t>____</w:t>
      </w: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乙方（供方）：_____________________      计量单位：_____________</w:t>
      </w:r>
    </w:p>
    <w:p>
      <w:pPr>
        <w:spacing w:line="500" w:lineRule="exact"/>
        <w:rPr>
          <w:rFonts w:hint="default" w:ascii="Times New Roman" w:hAnsi="Times New Roman" w:cs="Times New Roman"/>
          <w:sz w:val="24"/>
          <w:highlight w:val="none"/>
        </w:rPr>
      </w:pPr>
    </w:p>
    <w:p>
      <w:pPr>
        <w:spacing w:line="500" w:lineRule="exact"/>
        <w:rPr>
          <w:rFonts w:hint="default" w:ascii="Times New Roman" w:hAnsi="Times New Roman" w:cs="Times New Roman"/>
          <w:sz w:val="24"/>
          <w:highlight w:val="none"/>
        </w:rPr>
      </w:pPr>
      <w:r>
        <w:rPr>
          <w:rFonts w:hint="default" w:ascii="Times New Roman" w:hAnsi="Times New Roman" w:cs="Times New Roman"/>
          <w:sz w:val="24"/>
          <w:highlight w:val="none"/>
        </w:rPr>
        <w:t>经双方协商一致，达成以下购销合同：</w:t>
      </w:r>
    </w:p>
    <w:tbl>
      <w:tblPr>
        <w:tblStyle w:val="10"/>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65"/>
        <w:gridCol w:w="1348"/>
        <w:gridCol w:w="1333"/>
        <w:gridCol w:w="569"/>
        <w:gridCol w:w="688"/>
        <w:gridCol w:w="912"/>
        <w:gridCol w:w="851"/>
        <w:gridCol w:w="1046"/>
        <w:gridCol w:w="792"/>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132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商品名称</w:t>
            </w:r>
          </w:p>
        </w:tc>
        <w:tc>
          <w:tcPr>
            <w:tcW w:w="765"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品牌</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产地</w:t>
            </w: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生产</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厂商</w:t>
            </w:r>
          </w:p>
        </w:tc>
        <w:tc>
          <w:tcPr>
            <w:tcW w:w="1902" w:type="dxa"/>
            <w:gridSpan w:val="2"/>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规格型号</w:t>
            </w:r>
          </w:p>
        </w:tc>
        <w:tc>
          <w:tcPr>
            <w:tcW w:w="68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数量</w:t>
            </w:r>
          </w:p>
        </w:tc>
        <w:tc>
          <w:tcPr>
            <w:tcW w:w="912"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单价（元）</w:t>
            </w:r>
          </w:p>
        </w:tc>
        <w:tc>
          <w:tcPr>
            <w:tcW w:w="851"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总价（元）</w:t>
            </w:r>
          </w:p>
        </w:tc>
        <w:tc>
          <w:tcPr>
            <w:tcW w:w="1046"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交货时间</w:t>
            </w:r>
          </w:p>
        </w:tc>
        <w:tc>
          <w:tcPr>
            <w:tcW w:w="1051" w:type="dxa"/>
            <w:gridSpan w:val="2"/>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0" w:hRule="atLeast"/>
          <w:jc w:val="center"/>
        </w:trPr>
        <w:tc>
          <w:tcPr>
            <w:tcW w:w="7794" w:type="dxa"/>
            <w:gridSpan w:val="8"/>
          </w:tcPr>
          <w:p>
            <w:pPr>
              <w:keepNext w:val="0"/>
              <w:keepLines w:val="0"/>
              <w:pageBreakBefore w:val="0"/>
              <w:widowControl/>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b/>
                <w:bCs/>
                <w:sz w:val="24"/>
                <w:szCs w:val="24"/>
                <w:highlight w:val="none"/>
                <w:lang w:val="en-US" w:eastAsia="zh-CN"/>
              </w:rPr>
              <w:t>党政办</w:t>
            </w:r>
          </w:p>
        </w:tc>
        <w:tc>
          <w:tcPr>
            <w:tcW w:w="1046" w:type="dxa"/>
            <w:vMerge w:val="restart"/>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成交公告发布后15个工作日内交货并完成安装调试</w:t>
            </w:r>
          </w:p>
        </w:tc>
        <w:tc>
          <w:tcPr>
            <w:tcW w:w="1051" w:type="dxa"/>
            <w:gridSpan w:val="2"/>
            <w:vMerge w:val="restart"/>
            <w:vAlign w:val="center"/>
          </w:tcPr>
          <w:p>
            <w:pPr>
              <w:keepNext w:val="0"/>
              <w:keepLines w:val="0"/>
              <w:pageBreakBefore w:val="0"/>
              <w:kinsoku/>
              <w:wordWrap/>
              <w:overflowPunct/>
              <w:topLinePunct w:val="0"/>
              <w:autoSpaceDE/>
              <w:autoSpaceDN/>
              <w:bidi w:val="0"/>
              <w:spacing w:line="400" w:lineRule="exact"/>
              <w:jc w:val="center"/>
              <w:rPr>
                <w:rFonts w:hint="eastAsia" w:ascii="Times New Roman" w:hAnsi="Times New Roman" w:cs="Times New Roman" w:eastAsiaTheme="minorEastAsia"/>
                <w:sz w:val="24"/>
                <w:szCs w:val="24"/>
                <w:highlight w:val="none"/>
                <w:lang w:eastAsia="zh-CN"/>
              </w:rPr>
            </w:pPr>
            <w:r>
              <w:rPr>
                <w:rFonts w:hint="default" w:ascii="Times New Roman" w:hAnsi="Times New Roman" w:cs="Times New Roman"/>
                <w:sz w:val="24"/>
                <w:szCs w:val="24"/>
                <w:highlight w:val="none"/>
              </w:rPr>
              <w:t>重庆工商大学指定地点</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厚德楼5016</w:t>
            </w:r>
            <w:r>
              <w:rPr>
                <w:rFonts w:hint="eastAsia" w:ascii="Times New Roman" w:hAnsi="Times New Roman" w:cs="Times New Roman"/>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051" w:type="dxa"/>
            <w:gridSpan w:val="2"/>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合同价为包干价，包括产品购买（制造）费、辅材费、运输费（含装卸费）、保险费、税费、安装费、检测费、因检测被破坏货物的补货费等货到需方指定地点并完成安装、调试直至验收合格的所有费用。因供方自身原因造成漏报、少报皆由其自行承担责任，需方不再补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一、质量要求和技术标准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供方的质量保证及售后服务承诺如下：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1.供方交付的产品必须是全新的，完全符合国家有关技术标准，详细技术参数详见附件。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2.供方对交付的产品提供原厂免费质量保证期为</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年，自项目验收合格之日起计算。</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3.售后服务内容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供方提供的售后服务应符合GB/T 37652-2019《家具售后服务要求》。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供方应在质量保证期内应当为需方提供以下技术支持和服务：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（1）电话咨询</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供方应当为需方提供技术援助电话，解答需方在使用中遇到的问题，及时为需方提出解决问题的建议。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（2）现场响应</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需方遇到所有使用及技术问题，电话咨询不能解决的，供方应在4小内到达现场免费进行处理，确保产品正常工作。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4.质保期外服务要求：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（1）质量保证期过后，供方应同样提供免费电话咨询服务，并应承诺提供产品上门维护服务。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（2）质量保证期过后，需方需要继续由原供方提供售后服务的，供方应以优惠价格提供售后服务。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二、家具制作及安装要求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1.执行标准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GB/T3324-2017《木家具通用技术标准》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GB/T3325-2017《金属家具通用技术条件》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18580-2017《室内装饰装修材料人造板及其制品中甲醛释放限量》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18584-2001《室内装饰装修材料 木家具中有害物质限量》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 1951.1-2010《木质家具质量检验及质量评定》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QB/T1951.2-2013《金属家具质量检验及质量评定》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34722-2017《浸渍胶膜纸饰面胶合板和细木工板》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GB/T18259-2009《人造板及表面装饰术语》</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18583-2008《室内装饰材料胶粘剂中害物质限量》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18581- 2020《木器涂料中有害物质限量》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10802-2006《通用软质聚醚型聚氨酯泡沫塑料》</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3324-2017《木家具通用技术条件》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sz w:val="24"/>
                <w:szCs w:val="24"/>
                <w:highlight w:val="none"/>
              </w:rPr>
              <w:t>注：如有未特别注明需执行的国家相关标准、行业标准、地方标准或其他标准、规范，则统一执行最新标准、规范。项目需求清单及参数要求中已明确规定的标准也须一并执行。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2.制作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家具色板及家具加工方案细化后需要需方使用部门进行书面确认，一旦确认后，供方严格按确认的设计方案、施工方案进行批量加工生产。</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3.施工交底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相关家具及设施、设备到校后，由需方使用部门组织安装、调试。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4.安全及环境管理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本项目的物品保管、施工安全、消防安全、环境卫生等均由供方自行负责，如因管理不善造成的损失由供方全部承担。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9891" w:type="dxa"/>
            <w:gridSpan w:val="11"/>
          </w:tcPr>
          <w:p>
            <w:pPr>
              <w:keepNext w:val="0"/>
              <w:keepLines w:val="0"/>
              <w:pageBreakBefore w:val="0"/>
              <w:numPr>
                <w:ilvl w:val="0"/>
                <w:numId w:val="1"/>
              </w:numPr>
              <w:kinsoku/>
              <w:wordWrap/>
              <w:overflowPunct/>
              <w:topLinePunct w:val="0"/>
              <w:autoSpaceDE/>
              <w:autoSpaceDN/>
              <w:bidi w:val="0"/>
              <w:snapToGrid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交提货方式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供方在成交公告发布后15个工作日内交货并完成安装调试，全部货物由供方免费送货到需方指定点并安装调试完毕。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jc w:val="center"/>
        </w:trPr>
        <w:tc>
          <w:tcPr>
            <w:tcW w:w="9632"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四、验收标准、方法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1.出厂核验：供方供货前，做好所投产品的出厂核验，确保其技术参数和规格型号完全满足采购文件的相关要求。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到货验收。由需方需求部门牵头进行。货物到达现场后，需方需求部门应做好到货验收，严格按照合同及招标文件的产品清单核实查验到货产品的品牌、型号及规格参数。供方应在需方需求部门在场情况下当面开箱，共同清点、检查外观，作出开箱记录，双方签字确认。若到货产品品牌、型号及规格参数等与合同及招标文件的规定不符的，供方不得进行设备安装，需方需求部门应及时告知需方采购管理部门与归口管理部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2.供方应保证货物到达需方所在地完好无损，如有缺漏、损坏，由供应商负责调换、补齐或赔偿。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3.供方应提供完备的技术资料、装箱单和合格证等，并派遣专业技术人员进行现场安装调试。验收合格条件如下：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3.1设备品种、规格、数量、技术参数以及商品品牌、生产厂家等与采购合同一致，性能指标达到采购文件规定的标准。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3.2货物技术资料、装箱单、合格证等资料齐全。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3.3在系统试运行期间所出现的问题得到解决，并运行正常。</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3.4在规定时间内完成交货并验收，并经需方确认。</w:t>
            </w:r>
          </w:p>
          <w:p>
            <w:pPr>
              <w:keepNext w:val="0"/>
              <w:keepLines w:val="0"/>
              <w:pageBreakBefore w:val="0"/>
              <w:kinsoku/>
              <w:wordWrap/>
              <w:overflowPunct/>
              <w:topLinePunct w:val="0"/>
              <w:autoSpaceDE/>
              <w:autoSpaceDN/>
              <w:bidi w:val="0"/>
              <w:spacing w:line="240" w:lineRule="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4.产品在安装调试并试运行符合合同及招标文件相关要求后，方可进行最终验收</w:t>
            </w:r>
            <w:r>
              <w:rPr>
                <w:rFonts w:hint="eastAsia" w:ascii="Times New Roman" w:hAnsi="Times New Roman" w:cs="Times New Roman"/>
                <w:sz w:val="24"/>
                <w:szCs w:val="24"/>
                <w:highlight w:val="none"/>
                <w:lang w:val="en-US" w:eastAsia="zh-CN"/>
              </w:rPr>
              <w:t>，</w:t>
            </w:r>
            <w:r>
              <w:rPr>
                <w:rFonts w:hint="eastAsia"/>
                <w:sz w:val="24"/>
                <w:highlight w:val="none"/>
                <w:lang w:val="en-US" w:eastAsia="zh-CN"/>
              </w:rPr>
              <w:t>由资产管理处组织最终验收</w:t>
            </w:r>
            <w:r>
              <w:rPr>
                <w:rFonts w:hint="default" w:ascii="Times New Roman" w:hAnsi="Times New Roman" w:cs="Times New Roman"/>
                <w:sz w:val="24"/>
                <w:szCs w:val="24"/>
                <w:highlight w:val="none"/>
                <w:lang w:val="en-US" w:eastAsia="zh-CN"/>
              </w:rPr>
              <w:t>。</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5.供方提供的货物未达到招标文件规定要求，且对需方造成损失的，由供方承担一切责任，并赔偿所造成的损失。</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6.大型或者复杂的政府采购项目，需方应当邀请国家认可的质量检测机构参加验收工作。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7.需方需要制造商对供方交付的产品（包括质量、技术参数等）进行确认的，制造商应予以配合，并出具书面意见。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8.产品包装材料归需方所有。</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eastAsia" w:ascii="宋体" w:hAnsi="宋体" w:cs="宋体"/>
                <w:color w:val="000000"/>
                <w:sz w:val="24"/>
                <w:highlight w:val="none"/>
                <w:u w:color="000000"/>
                <w:lang w:val="zh-TW" w:eastAsia="zh-TW"/>
              </w:rPr>
              <w:t>验收咨询电话：023-62769260；资产入库咨询电话：023-62769051。</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如有异议，请于5日内提出。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jc w:val="center"/>
        </w:trPr>
        <w:tc>
          <w:tcPr>
            <w:tcW w:w="9632" w:type="dxa"/>
            <w:gridSpan w:val="10"/>
          </w:tcPr>
          <w:p>
            <w:pPr>
              <w:keepNext w:val="0"/>
              <w:keepLines w:val="0"/>
              <w:pageBreakBefore w:val="0"/>
              <w:numPr>
                <w:ilvl w:val="0"/>
                <w:numId w:val="1"/>
              </w:numPr>
              <w:kinsoku/>
              <w:wordWrap/>
              <w:overflowPunct/>
              <w:topLinePunct w:val="0"/>
              <w:autoSpaceDE/>
              <w:autoSpaceDN/>
              <w:bidi w:val="0"/>
              <w:spacing w:line="400" w:lineRule="exact"/>
              <w:ind w:left="0" w:leftChars="0"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付款方式</w:t>
            </w:r>
          </w:p>
          <w:p>
            <w:pPr>
              <w:keepNext w:val="0"/>
              <w:keepLines w:val="0"/>
              <w:pageBreakBefore w:val="0"/>
              <w:numPr>
                <w:numId w:val="0"/>
              </w:numPr>
              <w:kinsoku/>
              <w:wordWrap/>
              <w:overflowPunct/>
              <w:topLinePunct w:val="0"/>
              <w:autoSpaceDE/>
              <w:autoSpaceDN/>
              <w:bidi w:val="0"/>
              <w:spacing w:line="400" w:lineRule="exact"/>
              <w:ind w:left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1.供方按采购合同交货并安装调试完成，经验收合格后需方出具项目验收报告；</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2.供方向需方开具增值税专用发票含抵扣联和记账联（若项目为硬件和软件一体的，应分别开具硬件、软件（服务）的发票），协助使用部门办理入库手续后，需方以转账方式一次性向供方支付合同全款。</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注：如遇寒暑假或国家重大事件，则顺延至开学或条件允许后支付。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jc w:val="center"/>
        </w:trPr>
        <w:tc>
          <w:tcPr>
            <w:tcW w:w="9632"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六、违约责任</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（一）</w:t>
            </w:r>
            <w:r>
              <w:rPr>
                <w:rFonts w:hint="eastAsia" w:ascii="Times New Roman" w:hAnsi="Times New Roman" w:cs="Times New Roman"/>
                <w:sz w:val="24"/>
                <w:szCs w:val="24"/>
                <w:highlight w:val="none"/>
                <w:lang w:val="en-US" w:eastAsia="zh-CN"/>
              </w:rPr>
              <w:t>评审</w:t>
            </w:r>
            <w:r>
              <w:rPr>
                <w:rFonts w:hint="default" w:ascii="Times New Roman" w:hAnsi="Times New Roman" w:cs="Times New Roman"/>
                <w:sz w:val="24"/>
                <w:szCs w:val="24"/>
                <w:highlight w:val="none"/>
                <w:lang w:val="en-US" w:eastAsia="zh-CN"/>
              </w:rPr>
              <w:t>结束后，需方可通过现场考察、函询等多种方式对供方的投标文件响应情况予以核查，供方须无条件配合并提供有关证明材料，证明其响应内容的真实有效性。需方若发现供方进行虚假响应或提供虚假材料的，有权取消供方的中标资格，全额没收投标保证金；若在合同签订后查实供方进行虚假响应或提供虚假材料的，需方有权单方面终止合同，全额没收履约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（二）若供方发生部分违约现象，需方从履约保证金中扣除相应金额的违约金；若发现严重违约现象，需方有充分理由没收其全额保证金。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1.非不可抗力情况下，因供方自身原因终止履行合同的，履约保证金全额不予退还；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2.若供方未能按合同和采购文件要求供货或提供服务的，履约保证金全额不予退还；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3.非不可抗力情况下，因供方自身原因超过合同交货期限仍未送货安装调试达到验收要求的，超期1天，需方扣除供方履约保证金的3%作为违约惩罚，以此类推；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因不可抗力，或需方自身原因，致使交货期限延后的，供方不承担相应违约责任。但供方须提供需方使用部门出具的同意延迟交货以及确定延迟交货期的书面情况说明，需方使用部门负责人签字并加盖需方使用部门鲜章。</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（三）</w:t>
            </w:r>
            <w:r>
              <w:rPr>
                <w:rFonts w:hint="eastAsia" w:ascii="宋体" w:hAnsi="宋体" w:cs="宋体"/>
                <w:color w:val="000000"/>
                <w:sz w:val="24"/>
                <w:highlight w:val="none"/>
                <w:u w:color="000000"/>
              </w:rPr>
              <w:t>若供方在投标或履约过程中有虚假响应或合同违约行为的，或正式验收或使用过程中，若经</w:t>
            </w:r>
            <w:r>
              <w:rPr>
                <w:rFonts w:hint="eastAsia" w:ascii="宋体" w:hAnsi="宋体" w:cs="宋体"/>
                <w:color w:val="000000"/>
                <w:sz w:val="24"/>
                <w:highlight w:val="none"/>
                <w:u w:color="000000"/>
                <w:lang w:eastAsia="zh-CN"/>
              </w:rPr>
              <w:t>需方或</w:t>
            </w:r>
            <w:r>
              <w:rPr>
                <w:rFonts w:hint="eastAsia" w:ascii="宋体" w:hAnsi="宋体" w:cs="宋体"/>
                <w:color w:val="000000"/>
                <w:sz w:val="24"/>
                <w:highlight w:val="none"/>
                <w:u w:color="000000"/>
              </w:rPr>
              <w:t>第三方检测机构验证不合格，除须承担相应的经济赔偿责任之外，需方有权终止合同，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（四）其他未尽事宜按《中华人民共和国民法典》、《政府采购法》执行。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jc w:val="center"/>
        </w:trPr>
        <w:tc>
          <w:tcPr>
            <w:tcW w:w="9632"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七、其他约定事项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1.竞价文件及其补遗文件、响应文件和承诺是本合同不可分割的部分。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2.本合同如发生争议由双方协商解决，协商不成向需方所在人民法院提请诉讼。</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3.本合同一式</w:t>
            </w:r>
            <w:r>
              <w:rPr>
                <w:rFonts w:hint="default" w:ascii="Times New Roman" w:hAnsi="Times New Roman" w:cs="Times New Roman"/>
                <w:sz w:val="24"/>
                <w:szCs w:val="24"/>
                <w:highlight w:val="none"/>
                <w:u w:val="single"/>
              </w:rPr>
              <w:t>肆</w:t>
            </w:r>
            <w:r>
              <w:rPr>
                <w:rFonts w:hint="default" w:ascii="Times New Roman" w:hAnsi="Times New Roman" w:cs="Times New Roman"/>
                <w:sz w:val="24"/>
                <w:szCs w:val="24"/>
                <w:highlight w:val="none"/>
              </w:rPr>
              <w:t>份，需方</w:t>
            </w:r>
            <w:r>
              <w:rPr>
                <w:rFonts w:hint="default" w:ascii="Times New Roman" w:hAnsi="Times New Roman" w:cs="Times New Roman"/>
                <w:sz w:val="24"/>
                <w:szCs w:val="24"/>
                <w:highlight w:val="none"/>
                <w:u w:val="single"/>
              </w:rPr>
              <w:t>叁</w:t>
            </w:r>
            <w:r>
              <w:rPr>
                <w:rFonts w:hint="default" w:ascii="Times New Roman" w:hAnsi="Times New Roman" w:cs="Times New Roman"/>
                <w:sz w:val="24"/>
                <w:szCs w:val="24"/>
                <w:highlight w:val="none"/>
              </w:rPr>
              <w:t>份，供方</w:t>
            </w:r>
            <w:r>
              <w:rPr>
                <w:rFonts w:hint="default" w:ascii="Times New Roman" w:hAnsi="Times New Roman" w:cs="Times New Roman"/>
                <w:sz w:val="24"/>
                <w:szCs w:val="24"/>
                <w:highlight w:val="none"/>
                <w:u w:val="single"/>
              </w:rPr>
              <w:t>壹</w:t>
            </w:r>
            <w:r>
              <w:rPr>
                <w:rFonts w:hint="default" w:ascii="Times New Roman" w:hAnsi="Times New Roman" w:cs="Times New Roman"/>
                <w:sz w:val="24"/>
                <w:szCs w:val="24"/>
                <w:highlight w:val="none"/>
              </w:rPr>
              <w:t>份，具同等法律效力。</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4.需方在中华人民共和国境内使用供方提供的货物及服务时免受第三方提出的侵犯其专利权或其它知识产权的起诉。如果第三方提出侵权指控，供方应承担由此而引起的一切法律责任和费用。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5.其</w:t>
            </w:r>
            <w:r>
              <w:rPr>
                <w:rFonts w:hint="default" w:ascii="Times New Roman" w:hAnsi="Times New Roman" w:cs="Times New Roman"/>
                <w:b/>
                <w:bCs/>
                <w:sz w:val="24"/>
                <w:szCs w:val="24"/>
                <w:highlight w:val="none"/>
                <w:lang w:val="en-US" w:eastAsia="zh-CN"/>
              </w:rPr>
              <w:t>他：供方项目负责人：党政办联系人：</w:t>
            </w:r>
            <w:r>
              <w:rPr>
                <w:rFonts w:hint="eastAsia" w:ascii="Times New Roman" w:hAnsi="Times New Roman" w:cs="Times New Roman"/>
                <w:b/>
                <w:bCs/>
                <w:sz w:val="24"/>
                <w:szCs w:val="24"/>
                <w:highlight w:val="none"/>
                <w:lang w:val="en-US" w:eastAsia="zh-CN"/>
              </w:rPr>
              <w:t>刘</w:t>
            </w:r>
            <w:r>
              <w:rPr>
                <w:rFonts w:hint="default" w:ascii="Times New Roman" w:hAnsi="Times New Roman" w:cs="Times New Roman"/>
                <w:b/>
                <w:bCs/>
                <w:sz w:val="24"/>
                <w:szCs w:val="24"/>
                <w:highlight w:val="none"/>
                <w:lang w:val="en-US" w:eastAsia="zh-CN"/>
              </w:rPr>
              <w:t>老师，15320219324</w:t>
            </w:r>
            <w:r>
              <w:rPr>
                <w:rFonts w:hint="default" w:ascii="Times New Roman" w:hAnsi="Times New Roman" w:cs="Times New Roman"/>
                <w:b/>
                <w:bCs/>
                <w:sz w:val="24"/>
                <w:szCs w:val="24"/>
                <w:highlight w:val="none"/>
                <w:lang w:val="en-US" w:eastAsia="zh-CN"/>
              </w:rPr>
              <w:t xml:space="preserve">。需方项目负责人：       </w:t>
            </w:r>
            <w:r>
              <w:rPr>
                <w:rFonts w:hint="default" w:ascii="Times New Roman" w:hAnsi="Times New Roman" w:cs="Times New Roman"/>
                <w:b/>
                <w:bCs/>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jc w:val="center"/>
        </w:trPr>
        <w:tc>
          <w:tcPr>
            <w:tcW w:w="4774" w:type="dxa"/>
            <w:gridSpan w:val="4"/>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需方：重庆工商大学</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地址：重庆市南岸区学府大道19号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联系电话：023-62929085</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传真：023-62769774</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开户行：工行重庆南岸学府支行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账号：3100027609024907533</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统一社会信用代码：125000007428748822</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tc>
        <w:tc>
          <w:tcPr>
            <w:tcW w:w="4858" w:type="dxa"/>
            <w:gridSpan w:val="6"/>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地址： </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55" w:hRule="atLeast"/>
          <w:jc w:val="center"/>
        </w:trPr>
        <w:tc>
          <w:tcPr>
            <w:tcW w:w="9632" w:type="dxa"/>
            <w:gridSpan w:val="10"/>
            <w:vAlign w:val="center"/>
          </w:tcPr>
          <w:p>
            <w:pPr>
              <w:keepNext w:val="0"/>
              <w:keepLines w:val="0"/>
              <w:pageBreakBefore w:val="0"/>
              <w:kinsoku/>
              <w:wordWrap/>
              <w:overflowPunct/>
              <w:topLinePunct w:val="0"/>
              <w:autoSpaceDE/>
              <w:autoSpaceDN/>
              <w:bidi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备注：附件：技术参数</w:t>
            </w:r>
          </w:p>
        </w:tc>
      </w:tr>
    </w:tbl>
    <w:p>
      <w:pPr>
        <w:rPr>
          <w:rFonts w:hint="default" w:ascii="Times New Roman" w:hAnsi="Times New Roman" w:cs="Times New Roman"/>
          <w:sz w:val="24"/>
          <w:highlight w:val="none"/>
        </w:rPr>
      </w:pPr>
      <w:r>
        <w:rPr>
          <w:rFonts w:hint="default" w:ascii="Times New Roman" w:hAnsi="Times New Roman" w:cs="Times New Roman"/>
          <w:sz w:val="24"/>
          <w:highlight w:val="none"/>
        </w:rPr>
        <w:t>签约时间：2023年</w:t>
      </w:r>
      <w:r>
        <w:rPr>
          <w:rFonts w:hint="eastAsia" w:ascii="Times New Roman" w:hAnsi="Times New Roman" w:cs="Times New Roman"/>
          <w:sz w:val="24"/>
          <w:highlight w:val="none"/>
          <w:lang w:val="en-US" w:eastAsia="zh-CN"/>
        </w:rPr>
        <w:t>6</w:t>
      </w:r>
      <w:r>
        <w:rPr>
          <w:rFonts w:hint="default" w:ascii="Times New Roman" w:hAnsi="Times New Roman" w:cs="Times New Roman"/>
          <w:sz w:val="24"/>
          <w:highlight w:val="none"/>
        </w:rPr>
        <w:t>月   日                签约地点：重庆工商大学</w:t>
      </w:r>
    </w:p>
    <w:p>
      <w:pPr>
        <w:tabs>
          <w:tab w:val="left" w:pos="6300"/>
        </w:tabs>
        <w:snapToGrid w:val="0"/>
        <w:spacing w:line="500" w:lineRule="exact"/>
        <w:ind w:firstLine="570"/>
        <w:jc w:val="left"/>
        <w:rPr>
          <w:rFonts w:hint="default" w:ascii="Times New Roman" w:hAnsi="Times New Roman" w:cs="Times New Roman"/>
          <w:sz w:val="24"/>
          <w:highlight w:val="none"/>
        </w:rPr>
      </w:pPr>
    </w:p>
    <w:p>
      <w:pPr>
        <w:widowControl/>
        <w:jc w:val="left"/>
        <w:rPr>
          <w:rFonts w:ascii="黑体" w:hAnsi="黑体" w:eastAsia="黑体" w:cs="宋体"/>
          <w:sz w:val="30"/>
          <w:szCs w:val="30"/>
          <w:highlight w:val="none"/>
        </w:rPr>
      </w:pPr>
      <w:r>
        <w:rPr>
          <w:rFonts w:ascii="宋体" w:hAnsi="宋体" w:cs="宋体"/>
          <w:sz w:val="24"/>
          <w:szCs w:val="18"/>
          <w:highlight w:val="none"/>
        </w:rPr>
        <w:br w:type="page"/>
      </w:r>
      <w:r>
        <w:rPr>
          <w:rFonts w:hint="eastAsia" w:ascii="黑体" w:hAnsi="黑体" w:eastAsia="黑体" w:cs="宋体"/>
          <w:sz w:val="30"/>
          <w:szCs w:val="30"/>
          <w:highlight w:val="none"/>
        </w:rPr>
        <w:t>响应文件格式</w:t>
      </w:r>
    </w:p>
    <w:p>
      <w:pPr>
        <w:tabs>
          <w:tab w:val="left" w:pos="6300"/>
        </w:tabs>
        <w:snapToGrid w:val="0"/>
        <w:spacing w:line="500" w:lineRule="exact"/>
        <w:ind w:firstLine="570"/>
        <w:jc w:val="left"/>
        <w:rPr>
          <w:rFonts w:ascii="宋体" w:hAnsi="宋体" w:cs="宋体"/>
          <w:sz w:val="24"/>
          <w:szCs w:val="18"/>
          <w:highlight w:val="none"/>
        </w:rPr>
      </w:pPr>
      <w:r>
        <w:rPr>
          <w:rFonts w:hint="eastAsia" w:ascii="宋体" w:hAnsi="宋体" w:cs="宋体"/>
          <w:sz w:val="24"/>
          <w:szCs w:val="18"/>
          <w:highlight w:val="none"/>
        </w:rPr>
        <w:t>附件1：</w:t>
      </w:r>
    </w:p>
    <w:p>
      <w:pPr>
        <w:tabs>
          <w:tab w:val="left" w:pos="6300"/>
        </w:tabs>
        <w:snapToGrid w:val="0"/>
        <w:spacing w:line="500" w:lineRule="exact"/>
        <w:ind w:firstLine="570"/>
        <w:jc w:val="center"/>
        <w:rPr>
          <w:rFonts w:hint="eastAsia" w:ascii="宋体" w:hAnsi="宋体" w:cs="宋体" w:eastAsiaTheme="minorEastAsia"/>
          <w:szCs w:val="21"/>
          <w:highlight w:val="none"/>
          <w:lang w:eastAsia="zh-CN"/>
        </w:rPr>
      </w:pPr>
      <w:r>
        <w:rPr>
          <w:rFonts w:hint="eastAsia" w:ascii="宋体" w:hAnsi="宋体" w:cs="宋体"/>
          <w:sz w:val="32"/>
          <w:szCs w:val="21"/>
          <w:highlight w:val="none"/>
        </w:rPr>
        <w:t xml:space="preserve">书 面 </w:t>
      </w:r>
      <w:r>
        <w:rPr>
          <w:rFonts w:hint="eastAsia" w:ascii="宋体" w:hAnsi="宋体" w:cs="宋体"/>
          <w:sz w:val="32"/>
          <w:szCs w:val="21"/>
          <w:highlight w:val="none"/>
          <w:lang w:eastAsia="zh-CN"/>
        </w:rPr>
        <w:t>承</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诺</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书</w:t>
      </w:r>
    </w:p>
    <w:p>
      <w:pPr>
        <w:keepNext w:val="0"/>
        <w:keepLines w:val="0"/>
        <w:pageBreakBefore w:val="0"/>
        <w:widowControl w:val="0"/>
        <w:kinsoku/>
        <w:wordWrap/>
        <w:overflowPunct/>
        <w:topLinePunct w:val="0"/>
        <w:autoSpaceDE/>
        <w:autoSpaceDN/>
        <w:bidi w:val="0"/>
        <w:adjustRightInd/>
        <w:spacing w:line="240" w:lineRule="auto"/>
        <w:textAlignment w:val="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w:t>
      </w:r>
      <w:r>
        <w:rPr>
          <w:color w:val="000000" w:themeColor="text1"/>
          <w:sz w:val="24"/>
          <w:highlight w:val="none"/>
          <w:u w:val="single"/>
          <w14:textFill>
            <w14:solidFill>
              <w14:schemeClr w14:val="tx1"/>
            </w14:solidFill>
          </w14:textFill>
        </w:rPr>
        <w:t>重庆工商大学</w:t>
      </w:r>
      <w:r>
        <w:rPr>
          <w:color w:val="000000" w:themeColor="text1"/>
          <w:sz w:val="24"/>
          <w:highlight w:val="none"/>
          <w14:textFill>
            <w14:solidFill>
              <w14:schemeClr w14:val="tx1"/>
            </w14:solidFill>
          </w14:textFill>
        </w:rPr>
        <w:t>（采购人名称）</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color w:val="000000" w:themeColor="text1"/>
          <w:sz w:val="24"/>
          <w:highlight w:val="none"/>
          <w14:textFill>
            <w14:solidFill>
              <w14:schemeClr w14:val="tx1"/>
            </w14:solidFill>
          </w14:textFill>
        </w:rPr>
        <w:t>我方在参加</w:t>
      </w:r>
      <w:r>
        <w:rPr>
          <w:rFonts w:hint="eastAsia"/>
          <w:color w:val="000000" w:themeColor="text1"/>
          <w:sz w:val="24"/>
          <w:highlight w:val="none"/>
          <w:u w:val="single"/>
          <w:lang w:val="en-US" w:eastAsia="zh-CN"/>
          <w14:textFill>
            <w14:solidFill>
              <w14:schemeClr w14:val="tx1"/>
            </w14:solidFill>
          </w14:textFill>
        </w:rPr>
        <w:t>重庆工商大学党政办公室书柜采购项目</w:t>
      </w:r>
      <w:r>
        <w:rPr>
          <w:color w:val="000000" w:themeColor="text1"/>
          <w:sz w:val="24"/>
          <w:highlight w:val="none"/>
          <w14:textFill>
            <w14:solidFill>
              <w14:schemeClr w14:val="tx1"/>
            </w14:solidFill>
          </w14:textFill>
        </w:rPr>
        <w:t>（项目名称）的网上竞采采购活动中承诺如下：</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rFonts w:hint="eastAsia" w:ascii="宋体" w:hAnsi="宋体" w:cs="宋体"/>
          <w:sz w:val="24"/>
          <w:highlight w:val="none"/>
          <w:u w:val="none"/>
          <w:lang w:val="en-US" w:eastAsia="zh-CN"/>
        </w:rPr>
        <w:t>1.</w:t>
      </w:r>
      <w:r>
        <w:rPr>
          <w:rFonts w:hint="eastAsia" w:ascii="宋体" w:hAnsi="宋体" w:cs="宋体"/>
          <w:sz w:val="24"/>
          <w:highlight w:val="none"/>
        </w:rPr>
        <w:t>我方为企业法人，承诺满足供应商资格要求中的一般资质条件的全部要求，即：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在合同签订前后随时愿意提供相关证明材料。我公司随时接受采购人、采购代理机构的检查验证，符合合格供应商的资质要求。我方对以上声明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color w:val="000000" w:themeColor="text1"/>
          <w:sz w:val="24"/>
          <w:highlight w:val="none"/>
          <w14:textFill>
            <w14:solidFill>
              <w14:schemeClr w14:val="tx1"/>
            </w14:solidFill>
          </w14:textFill>
        </w:rPr>
        <w:t>2.我方承诺：本次网上竞采</w:t>
      </w:r>
      <w:r>
        <w:rPr>
          <w:rFonts w:hint="eastAsia" w:ascii="宋体" w:hAnsi="宋体" w:cs="宋体"/>
          <w:sz w:val="24"/>
          <w:highlight w:val="none"/>
        </w:rPr>
        <w:t>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3.我方已熟知本项目网上竞采采购公告及其附件的全部内容，承诺响应本项目网上竞采采购公告及其附件的全部要求。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4.我方承诺满足供应商资格要求中的特定资格条件的全部要求。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我方若中选，将按照采购人发布的合同条款中的有关要求按时足额缴纳履约保证金</w:t>
      </w:r>
      <w:r>
        <w:rPr>
          <w:rFonts w:hint="eastAsia" w:ascii="宋体" w:hAnsi="宋体" w:cs="宋体"/>
          <w:sz w:val="24"/>
          <w:highlight w:val="none"/>
          <w:lang w:eastAsia="zh-CN"/>
        </w:rPr>
        <w:t>（如有）</w:t>
      </w:r>
      <w:r>
        <w:rPr>
          <w:rFonts w:hint="eastAsia" w:ascii="宋体" w:hAnsi="宋体" w:cs="宋体"/>
          <w:sz w:val="24"/>
          <w:highlight w:val="none"/>
        </w:rPr>
        <w:t>，将按照采购人发布的“合同条款”和网上竞采采购结果、网上竞采公告签订合同，并且严格履行合同义务，否则采购人有权取消我方中选资格。本报价函及承诺书将成为合同不可分割的一部分，与合同具有同等的法律效力。我方理解，最低报价不是成交的唯一条件。</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我方若中选，采购人可通过现场考察、函询等多种方式对我方的投标文件响应情况予以核查，我方无条件配合并提供有关证明材料，证明其响应内容的真实有效性。采购人若发现我方进行虚假响应或提供虚假材料的，有权取消我方的中标资格；若在合同签订后查实我方进行虚假响应或提供虚假材料的，采购人有权单方面终止合同，全额没收履约保证金</w:t>
      </w:r>
      <w:r>
        <w:rPr>
          <w:rFonts w:hint="eastAsia" w:ascii="宋体" w:hAnsi="宋体" w:cs="宋体"/>
          <w:sz w:val="24"/>
          <w:highlight w:val="none"/>
          <w:lang w:eastAsia="zh-CN"/>
        </w:rPr>
        <w:t>（如有）</w:t>
      </w:r>
      <w:r>
        <w:rPr>
          <w:rFonts w:hint="eastAsia" w:ascii="宋体" w:hAnsi="宋体" w:cs="宋体"/>
          <w:sz w:val="24"/>
          <w:highlight w:val="none"/>
        </w:rPr>
        <w:t>，给采购人造成经济损失的，依法承担赔偿责任。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.在整个网上竞采采购过程中，我方若有违规行为，愿意接受按照《中华人民共和国政府采购法》及其实施条例、重庆市政府采购云平台规定给予惩罚。</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供应商名称（</w:t>
      </w:r>
      <w:r>
        <w:rPr>
          <w:rFonts w:hint="eastAsia"/>
          <w:color w:val="000000" w:themeColor="text1"/>
          <w:sz w:val="24"/>
          <w:highlight w:val="none"/>
          <w14:textFill>
            <w14:solidFill>
              <w14:schemeClr w14:val="tx1"/>
            </w14:solidFill>
          </w14:textFill>
        </w:rPr>
        <w:t>盖单位</w:t>
      </w:r>
      <w:r>
        <w:rPr>
          <w:color w:val="000000" w:themeColor="text1"/>
          <w:sz w:val="24"/>
          <w:highlight w:val="none"/>
          <w14:textFill>
            <w14:solidFill>
              <w14:schemeClr w14:val="tx1"/>
            </w14:solidFill>
          </w14:textFill>
        </w:rPr>
        <w:t>法人章）：</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法定代表人或委托代理人签字：</w:t>
      </w:r>
    </w:p>
    <w:p>
      <w:pPr>
        <w:snapToGrid w:val="0"/>
        <w:spacing w:line="360" w:lineRule="auto"/>
        <w:ind w:firstLine="6520" w:firstLineChars="271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年    月    日</w:t>
      </w:r>
    </w:p>
    <w:p>
      <w:pPr>
        <w:rPr>
          <w:sz w:val="24"/>
          <w:highlight w:val="none"/>
        </w:rPr>
      </w:pPr>
    </w:p>
    <w:p>
      <w:pPr>
        <w:widowControl/>
        <w:jc w:val="left"/>
        <w:rPr>
          <w:sz w:val="24"/>
          <w:highlight w:val="none"/>
        </w:rPr>
      </w:pPr>
      <w:r>
        <w:rPr>
          <w:sz w:val="24"/>
          <w:highlight w:val="none"/>
        </w:rPr>
        <w:br w:type="page"/>
      </w:r>
      <w:r>
        <w:rPr>
          <w:rFonts w:hint="eastAsia"/>
          <w:sz w:val="24"/>
          <w:highlight w:val="none"/>
        </w:rPr>
        <w:t>附件2：</w:t>
      </w:r>
    </w:p>
    <w:p>
      <w:pPr>
        <w:widowControl/>
        <w:jc w:val="center"/>
        <w:rPr>
          <w:b/>
          <w:sz w:val="24"/>
          <w:highlight w:val="none"/>
        </w:rPr>
      </w:pPr>
      <w:r>
        <w:rPr>
          <w:b/>
          <w:sz w:val="24"/>
          <w:highlight w:val="none"/>
        </w:rPr>
        <w:t>授权委托书</w:t>
      </w:r>
    </w:p>
    <w:p>
      <w:pPr>
        <w:spacing w:line="360" w:lineRule="auto"/>
        <w:jc w:val="center"/>
        <w:rPr>
          <w:sz w:val="24"/>
          <w:highlight w:val="none"/>
        </w:rPr>
      </w:pPr>
    </w:p>
    <w:p>
      <w:pPr>
        <w:tabs>
          <w:tab w:val="center" w:pos="4819"/>
        </w:tabs>
        <w:autoSpaceDE w:val="0"/>
        <w:autoSpaceDN w:val="0"/>
        <w:adjustRightInd w:val="0"/>
        <w:snapToGrid w:val="0"/>
        <w:spacing w:line="360" w:lineRule="auto"/>
        <w:jc w:val="left"/>
        <w:rPr>
          <w:kern w:val="0"/>
          <w:sz w:val="24"/>
          <w:highlight w:val="none"/>
        </w:rPr>
      </w:pPr>
      <w:r>
        <w:rPr>
          <w:sz w:val="24"/>
          <w:highlight w:val="none"/>
        </w:rPr>
        <w:t>致：</w:t>
      </w:r>
      <w:r>
        <w:rPr>
          <w:sz w:val="24"/>
          <w:highlight w:val="none"/>
          <w:u w:val="single"/>
        </w:rPr>
        <w:t>重庆工商大学</w:t>
      </w:r>
      <w:r>
        <w:rPr>
          <w:sz w:val="24"/>
          <w:highlight w:val="none"/>
        </w:rPr>
        <w:t>（采购人名称）</w:t>
      </w:r>
      <w:r>
        <w:rPr>
          <w:sz w:val="24"/>
          <w:highlight w:val="none"/>
        </w:rPr>
        <w:tab/>
      </w: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r>
        <w:rPr>
          <w:kern w:val="0"/>
          <w:sz w:val="24"/>
          <w:highlight w:val="none"/>
        </w:rPr>
        <w:t>本人</w:t>
      </w:r>
      <w:r>
        <w:rPr>
          <w:kern w:val="0"/>
          <w:sz w:val="24"/>
          <w:highlight w:val="none"/>
          <w:u w:val="single"/>
        </w:rPr>
        <w:tab/>
      </w:r>
      <w:r>
        <w:rPr>
          <w:kern w:val="0"/>
          <w:sz w:val="24"/>
          <w:highlight w:val="none"/>
        </w:rPr>
        <w:t>（姓名）系</w:t>
      </w:r>
      <w:r>
        <w:rPr>
          <w:kern w:val="0"/>
          <w:sz w:val="24"/>
          <w:highlight w:val="none"/>
          <w:u w:val="single"/>
        </w:rPr>
        <w:tab/>
      </w:r>
      <w:r>
        <w:rPr>
          <w:kern w:val="0"/>
          <w:sz w:val="24"/>
          <w:highlight w:val="none"/>
        </w:rPr>
        <w:t>（</w:t>
      </w:r>
      <w:r>
        <w:rPr>
          <w:spacing w:val="-1"/>
          <w:kern w:val="0"/>
          <w:sz w:val="24"/>
          <w:highlight w:val="none"/>
        </w:rPr>
        <w:t>供应商</w:t>
      </w:r>
      <w:r>
        <w:rPr>
          <w:kern w:val="0"/>
          <w:sz w:val="24"/>
          <w:highlight w:val="none"/>
        </w:rPr>
        <w:t>名称</w:t>
      </w:r>
      <w:r>
        <w:rPr>
          <w:spacing w:val="1"/>
          <w:kern w:val="0"/>
          <w:sz w:val="24"/>
          <w:highlight w:val="none"/>
        </w:rPr>
        <w:t>）</w:t>
      </w:r>
      <w:r>
        <w:rPr>
          <w:kern w:val="0"/>
          <w:sz w:val="24"/>
          <w:highlight w:val="none"/>
        </w:rPr>
        <w:t>的法定代</w:t>
      </w:r>
      <w:r>
        <w:rPr>
          <w:spacing w:val="1"/>
          <w:kern w:val="0"/>
          <w:sz w:val="24"/>
          <w:highlight w:val="none"/>
        </w:rPr>
        <w:t>表</w:t>
      </w:r>
      <w:r>
        <w:rPr>
          <w:kern w:val="0"/>
          <w:sz w:val="24"/>
          <w:highlight w:val="none"/>
        </w:rPr>
        <w:t>人，现委托</w:t>
      </w:r>
      <w:r>
        <w:rPr>
          <w:kern w:val="0"/>
          <w:sz w:val="24"/>
          <w:highlight w:val="none"/>
          <w:u w:val="single"/>
        </w:rPr>
        <w:tab/>
      </w:r>
      <w:r>
        <w:rPr>
          <w:kern w:val="0"/>
          <w:sz w:val="24"/>
          <w:highlight w:val="none"/>
          <w:u w:val="single"/>
        </w:rPr>
        <w:t xml:space="preserve">        </w:t>
      </w:r>
      <w:r>
        <w:rPr>
          <w:kern w:val="0"/>
          <w:sz w:val="24"/>
          <w:highlight w:val="none"/>
        </w:rPr>
        <w:t>（姓名）为我方代理人。特授权代理人以我方名义签署、澄清、说明、补正、递交、撤回、修改</w:t>
      </w:r>
      <w:r>
        <w:rPr>
          <w:rFonts w:hint="eastAsia"/>
          <w:kern w:val="0"/>
          <w:sz w:val="24"/>
          <w:highlight w:val="none"/>
          <w:u w:val="single"/>
        </w:rPr>
        <w:t xml:space="preserve">                      </w:t>
      </w:r>
      <w:r>
        <w:rPr>
          <w:kern w:val="0"/>
          <w:sz w:val="24"/>
          <w:highlight w:val="none"/>
        </w:rPr>
        <w:t>（项</w:t>
      </w:r>
      <w:r>
        <w:rPr>
          <w:spacing w:val="-1"/>
          <w:kern w:val="0"/>
          <w:sz w:val="24"/>
          <w:highlight w:val="none"/>
        </w:rPr>
        <w:t>目</w:t>
      </w:r>
      <w:r>
        <w:rPr>
          <w:kern w:val="0"/>
          <w:sz w:val="24"/>
          <w:highlight w:val="none"/>
        </w:rPr>
        <w:t>名称）的响应文件、签订合同和处理有关事宜。</w:t>
      </w:r>
      <w:r>
        <w:rPr>
          <w:sz w:val="24"/>
          <w:highlight w:val="none"/>
        </w:rPr>
        <w:t>我单位对被授权人的签字负全部责任。</w:t>
      </w:r>
    </w:p>
    <w:p>
      <w:pPr>
        <w:snapToGrid w:val="0"/>
        <w:spacing w:line="360" w:lineRule="auto"/>
        <w:ind w:firstLine="480" w:firstLineChars="200"/>
        <w:rPr>
          <w:sz w:val="24"/>
          <w:highlight w:val="none"/>
        </w:rPr>
      </w:pPr>
      <w:r>
        <w:rPr>
          <w:sz w:val="24"/>
          <w:highlight w:val="none"/>
        </w:rPr>
        <w:t>在撤消授权的书面通知以前，本授权书一直有效。被授权人在授权书有效期内签署的所有文件不因授权的撤消而失效。</w:t>
      </w:r>
    </w:p>
    <w:p>
      <w:pPr>
        <w:snapToGrid w:val="0"/>
        <w:spacing w:line="360" w:lineRule="auto"/>
        <w:ind w:firstLine="480" w:firstLineChars="200"/>
        <w:rPr>
          <w:kern w:val="0"/>
          <w:sz w:val="24"/>
          <w:highlight w:val="none"/>
        </w:rPr>
      </w:pPr>
      <w:r>
        <w:rPr>
          <w:kern w:val="0"/>
          <w:sz w:val="24"/>
          <w:highlight w:val="none"/>
        </w:rPr>
        <w:t>代理人无转委托权。</w:t>
      </w:r>
    </w:p>
    <w:p>
      <w:pPr>
        <w:snapToGrid w:val="0"/>
        <w:spacing w:line="360" w:lineRule="auto"/>
        <w:ind w:firstLine="480" w:firstLineChars="200"/>
        <w:rPr>
          <w:kern w:val="0"/>
          <w:sz w:val="24"/>
          <w:highlight w:val="none"/>
        </w:rPr>
      </w:pPr>
      <w:r>
        <w:rPr>
          <w:kern w:val="0"/>
          <w:sz w:val="24"/>
          <w:highlight w:val="none"/>
        </w:rPr>
        <w:t>附：法定代表人身份证明</w:t>
      </w:r>
    </w:p>
    <w:p>
      <w:pPr>
        <w:snapToGrid w:val="0"/>
        <w:spacing w:line="360" w:lineRule="auto"/>
        <w:ind w:firstLine="480" w:firstLineChars="200"/>
        <w:rPr>
          <w:kern w:val="0"/>
          <w:sz w:val="24"/>
          <w:highlight w:val="none"/>
        </w:rPr>
      </w:pPr>
    </w:p>
    <w:p>
      <w:pPr>
        <w:tabs>
          <w:tab w:val="left" w:pos="4200"/>
          <w:tab w:val="left" w:pos="4620"/>
        </w:tabs>
        <w:autoSpaceDE w:val="0"/>
        <w:autoSpaceDN w:val="0"/>
        <w:adjustRightInd w:val="0"/>
        <w:snapToGrid w:val="0"/>
        <w:spacing w:line="360" w:lineRule="auto"/>
        <w:ind w:firstLine="1694"/>
        <w:jc w:val="left"/>
        <w:rPr>
          <w:kern w:val="0"/>
          <w:sz w:val="24"/>
          <w:highlight w:val="none"/>
        </w:rPr>
      </w:pPr>
      <w:r>
        <w:rPr>
          <w:kern w:val="0"/>
          <w:sz w:val="24"/>
          <w:highlight w:val="none"/>
        </w:rPr>
        <w:t>供 应 商：</w:t>
      </w:r>
      <w:r>
        <w:rPr>
          <w:kern w:val="0"/>
          <w:sz w:val="24"/>
          <w:highlight w:val="none"/>
          <w:u w:val="single"/>
        </w:rPr>
        <w:tab/>
      </w:r>
      <w:r>
        <w:rPr>
          <w:kern w:val="0"/>
          <w:sz w:val="24"/>
          <w:highlight w:val="none"/>
        </w:rPr>
        <w:t>（</w:t>
      </w:r>
      <w:r>
        <w:rPr>
          <w:spacing w:val="-1"/>
          <w:kern w:val="0"/>
          <w:sz w:val="24"/>
          <w:highlight w:val="none"/>
        </w:rPr>
        <w:t>盖</w:t>
      </w:r>
      <w:r>
        <w:rPr>
          <w:kern w:val="0"/>
          <w:sz w:val="24"/>
          <w:highlight w:val="none"/>
        </w:rPr>
        <w:t>单位法人章）</w:t>
      </w:r>
    </w:p>
    <w:p>
      <w:pPr>
        <w:tabs>
          <w:tab w:val="left" w:pos="6300"/>
        </w:tabs>
        <w:autoSpaceDE w:val="0"/>
        <w:autoSpaceDN w:val="0"/>
        <w:adjustRightInd w:val="0"/>
        <w:snapToGrid w:val="0"/>
        <w:spacing w:line="360" w:lineRule="auto"/>
        <w:ind w:firstLine="1680"/>
        <w:jc w:val="left"/>
        <w:rPr>
          <w:kern w:val="0"/>
          <w:sz w:val="24"/>
          <w:highlight w:val="none"/>
        </w:rPr>
      </w:pPr>
      <w:r>
        <w:rPr>
          <w:kern w:val="0"/>
          <w:sz w:val="24"/>
          <w:highlight w:val="none"/>
        </w:rPr>
        <w:t>法定代表人：</w:t>
      </w:r>
      <w:r>
        <w:rPr>
          <w:kern w:val="0"/>
          <w:sz w:val="24"/>
          <w:highlight w:val="none"/>
          <w:u w:val="single"/>
        </w:rPr>
        <w:tab/>
      </w:r>
      <w:r>
        <w:rPr>
          <w:kern w:val="0"/>
          <w:sz w:val="24"/>
          <w:highlight w:val="none"/>
          <w:u w:val="single"/>
        </w:rPr>
        <w:tab/>
      </w:r>
      <w:r>
        <w:rPr>
          <w:kern w:val="0"/>
          <w:sz w:val="24"/>
          <w:highlight w:val="none"/>
        </w:rPr>
        <w:t>（签字）</w:t>
      </w:r>
    </w:p>
    <w:p>
      <w:pPr>
        <w:tabs>
          <w:tab w:val="left" w:pos="5260"/>
        </w:tabs>
        <w:autoSpaceDE w:val="0"/>
        <w:autoSpaceDN w:val="0"/>
        <w:adjustRightInd w:val="0"/>
        <w:snapToGrid w:val="0"/>
        <w:spacing w:line="360" w:lineRule="auto"/>
        <w:ind w:firstLine="1680"/>
        <w:jc w:val="left"/>
        <w:rPr>
          <w:kern w:val="0"/>
          <w:sz w:val="24"/>
          <w:highlight w:val="none"/>
        </w:rPr>
      </w:pPr>
      <w:r>
        <w:rPr>
          <w:kern w:val="0"/>
          <w:sz w:val="24"/>
          <w:highlight w:val="none"/>
        </w:rPr>
        <w:t>身份证号码：</w:t>
      </w:r>
      <w:r>
        <w:rPr>
          <w:kern w:val="0"/>
          <w:sz w:val="24"/>
          <w:highlight w:val="none"/>
          <w:u w:val="single"/>
        </w:rPr>
        <w:tab/>
      </w:r>
    </w:p>
    <w:p>
      <w:pPr>
        <w:tabs>
          <w:tab w:val="left" w:pos="6720"/>
        </w:tabs>
        <w:autoSpaceDE w:val="0"/>
        <w:autoSpaceDN w:val="0"/>
        <w:adjustRightInd w:val="0"/>
        <w:snapToGrid w:val="0"/>
        <w:spacing w:line="360" w:lineRule="auto"/>
        <w:ind w:firstLine="1680"/>
        <w:jc w:val="left"/>
        <w:rPr>
          <w:kern w:val="0"/>
          <w:sz w:val="24"/>
          <w:highlight w:val="none"/>
        </w:rPr>
      </w:pPr>
      <w:r>
        <w:rPr>
          <w:kern w:val="0"/>
          <w:sz w:val="24"/>
          <w:highlight w:val="none"/>
        </w:rPr>
        <w:t>委托代理人：</w:t>
      </w:r>
      <w:r>
        <w:rPr>
          <w:kern w:val="0"/>
          <w:sz w:val="24"/>
          <w:highlight w:val="none"/>
          <w:u w:val="single"/>
        </w:rPr>
        <w:tab/>
      </w:r>
      <w:r>
        <w:rPr>
          <w:kern w:val="0"/>
          <w:sz w:val="24"/>
          <w:highlight w:val="none"/>
        </w:rPr>
        <w:t>（签</w:t>
      </w:r>
      <w:r>
        <w:rPr>
          <w:spacing w:val="-1"/>
          <w:kern w:val="0"/>
          <w:sz w:val="24"/>
          <w:highlight w:val="none"/>
        </w:rPr>
        <w:t>字</w:t>
      </w:r>
      <w:r>
        <w:rPr>
          <w:kern w:val="0"/>
          <w:sz w:val="24"/>
          <w:highlight w:val="none"/>
        </w:rPr>
        <w:t>）</w:t>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身份证号码：</w:t>
      </w:r>
      <w:r>
        <w:rPr>
          <w:kern w:val="0"/>
          <w:sz w:val="24"/>
          <w:highlight w:val="none"/>
          <w:u w:val="single"/>
        </w:rPr>
        <w:tab/>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邮箱：</w:t>
      </w:r>
      <w:r>
        <w:rPr>
          <w:kern w:val="0"/>
          <w:sz w:val="24"/>
          <w:highlight w:val="none"/>
          <w:u w:val="single"/>
        </w:rPr>
        <w:t xml:space="preserve">            </w:t>
      </w:r>
    </w:p>
    <w:p>
      <w:pPr>
        <w:tabs>
          <w:tab w:val="left" w:pos="4005"/>
          <w:tab w:val="left" w:pos="4100"/>
          <w:tab w:val="left" w:pos="5040"/>
        </w:tabs>
        <w:autoSpaceDE w:val="0"/>
        <w:autoSpaceDN w:val="0"/>
        <w:adjustRightInd w:val="0"/>
        <w:snapToGrid w:val="0"/>
        <w:spacing w:line="360" w:lineRule="auto"/>
        <w:ind w:firstLine="2880" w:firstLineChars="1200"/>
        <w:jc w:val="left"/>
        <w:rPr>
          <w:kern w:val="0"/>
          <w:sz w:val="24"/>
          <w:highlight w:val="none"/>
        </w:rPr>
      </w:pPr>
      <w:r>
        <w:rPr>
          <w:kern w:val="0"/>
          <w:sz w:val="24"/>
          <w:highlight w:val="none"/>
          <w:u w:val="single"/>
        </w:rPr>
        <w:tab/>
      </w:r>
      <w:r>
        <w:rPr>
          <w:kern w:val="0"/>
          <w:sz w:val="24"/>
          <w:highlight w:val="none"/>
        </w:rPr>
        <w:t>年</w:t>
      </w:r>
      <w:r>
        <w:rPr>
          <w:kern w:val="0"/>
          <w:sz w:val="24"/>
          <w:highlight w:val="none"/>
          <w:u w:val="single"/>
        </w:rPr>
        <w:tab/>
      </w:r>
      <w:r>
        <w:rPr>
          <w:kern w:val="0"/>
          <w:sz w:val="24"/>
          <w:highlight w:val="none"/>
        </w:rPr>
        <w:t>月</w:t>
      </w:r>
      <w:r>
        <w:rPr>
          <w:kern w:val="0"/>
          <w:sz w:val="24"/>
          <w:highlight w:val="none"/>
          <w:u w:val="single"/>
        </w:rPr>
        <w:tab/>
      </w:r>
      <w:r>
        <w:rPr>
          <w:kern w:val="0"/>
          <w:sz w:val="24"/>
          <w:highlight w:val="none"/>
          <w:u w:val="single"/>
        </w:rPr>
        <w:t xml:space="preserve">    </w:t>
      </w:r>
      <w:r>
        <w:rPr>
          <w:kern w:val="0"/>
          <w:sz w:val="24"/>
          <w:highlight w:val="none"/>
        </w:rPr>
        <w:t>日</w:t>
      </w:r>
    </w:p>
    <w:p>
      <w:pPr>
        <w:rPr>
          <w:vanish/>
          <w:sz w:val="24"/>
          <w:highlight w:val="none"/>
        </w:rPr>
      </w:pPr>
    </w:p>
    <w:tbl>
      <w:tblPr>
        <w:tblStyle w:val="10"/>
        <w:tblpPr w:leftFromText="180" w:rightFromText="180" w:vertAnchor="text" w:horzAnchor="margin" w:tblpY="145"/>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2962"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rPr>
                <w:b/>
                <w:sz w:val="24"/>
                <w:highlight w:val="none"/>
              </w:rPr>
            </w:pPr>
            <w:r>
              <w:rPr>
                <w:sz w:val="24"/>
                <w:highlight w:val="none"/>
              </w:rPr>
              <w:t>授权代理人身份证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snapToGrid w:val="0"/>
        <w:spacing w:line="312" w:lineRule="auto"/>
        <w:ind w:firstLine="482" w:firstLineChars="200"/>
        <w:rPr>
          <w:b/>
          <w:kern w:val="0"/>
          <w:sz w:val="24"/>
          <w:highlight w:val="none"/>
        </w:rPr>
      </w:pPr>
    </w:p>
    <w:p>
      <w:pPr>
        <w:snapToGrid w:val="0"/>
        <w:spacing w:line="312" w:lineRule="auto"/>
        <w:ind w:firstLine="482" w:firstLineChars="200"/>
        <w:rPr>
          <w:kern w:val="0"/>
          <w:sz w:val="24"/>
          <w:highlight w:val="none"/>
        </w:rPr>
      </w:pPr>
      <w:r>
        <w:rPr>
          <w:b/>
          <w:kern w:val="0"/>
          <w:sz w:val="24"/>
          <w:highlight w:val="none"/>
        </w:rPr>
        <w:t>注：法定代表人签署文件的不需要授权委托书，删除本页，只需提供法定代表人身份证明。</w:t>
      </w:r>
    </w:p>
    <w:p>
      <w:pPr>
        <w:widowControl/>
        <w:jc w:val="left"/>
        <w:rPr>
          <w:b/>
          <w:sz w:val="24"/>
          <w:highlight w:val="none"/>
        </w:rPr>
      </w:pPr>
      <w:r>
        <w:rPr>
          <w:b/>
          <w:sz w:val="24"/>
          <w:highlight w:val="none"/>
        </w:rPr>
        <w:br w:type="page"/>
      </w:r>
    </w:p>
    <w:p>
      <w:pPr>
        <w:spacing w:line="360" w:lineRule="auto"/>
        <w:jc w:val="left"/>
        <w:rPr>
          <w:sz w:val="24"/>
          <w:highlight w:val="none"/>
        </w:rPr>
      </w:pPr>
      <w:r>
        <w:rPr>
          <w:rFonts w:hint="eastAsia"/>
          <w:sz w:val="24"/>
          <w:highlight w:val="none"/>
        </w:rPr>
        <w:t>附件3：</w:t>
      </w:r>
    </w:p>
    <w:p>
      <w:pPr>
        <w:spacing w:line="360" w:lineRule="auto"/>
        <w:jc w:val="center"/>
        <w:rPr>
          <w:b/>
          <w:sz w:val="24"/>
          <w:highlight w:val="none"/>
        </w:rPr>
      </w:pPr>
      <w:r>
        <w:rPr>
          <w:b/>
          <w:sz w:val="24"/>
          <w:highlight w:val="none"/>
        </w:rPr>
        <w:t>法定代表人身份证明</w:t>
      </w:r>
    </w:p>
    <w:p>
      <w:pPr>
        <w:spacing w:line="360" w:lineRule="auto"/>
        <w:jc w:val="center"/>
        <w:rPr>
          <w:sz w:val="24"/>
          <w:highlight w:val="none"/>
        </w:rPr>
      </w:pPr>
    </w:p>
    <w:p>
      <w:pPr>
        <w:tabs>
          <w:tab w:val="left" w:pos="556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供应商名称：</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单位性质：</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地址：</w:t>
      </w:r>
      <w:r>
        <w:rPr>
          <w:kern w:val="0"/>
          <w:sz w:val="24"/>
          <w:highlight w:val="none"/>
          <w:u w:val="single"/>
        </w:rPr>
        <w:tab/>
      </w:r>
    </w:p>
    <w:p>
      <w:pPr>
        <w:tabs>
          <w:tab w:val="left" w:pos="2520"/>
          <w:tab w:val="left" w:pos="3836"/>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成立时间：</w:t>
      </w:r>
      <w:r>
        <w:rPr>
          <w:kern w:val="0"/>
          <w:sz w:val="24"/>
          <w:highlight w:val="none"/>
          <w:u w:val="single"/>
        </w:rPr>
        <w:tab/>
      </w:r>
      <w:r>
        <w:rPr>
          <w:spacing w:val="-1"/>
          <w:kern w:val="0"/>
          <w:sz w:val="24"/>
          <w:highlight w:val="none"/>
        </w:rPr>
        <w:t>年</w:t>
      </w:r>
      <w:r>
        <w:rPr>
          <w:kern w:val="0"/>
          <w:sz w:val="24"/>
          <w:highlight w:val="none"/>
          <w:u w:val="single"/>
        </w:rPr>
        <w:tab/>
      </w:r>
      <w:r>
        <w:rPr>
          <w:spacing w:val="-1"/>
          <w:kern w:val="0"/>
          <w:sz w:val="24"/>
          <w:highlight w:val="none"/>
        </w:rPr>
        <w:t>月</w:t>
      </w:r>
      <w:r>
        <w:rPr>
          <w:spacing w:val="-1"/>
          <w:kern w:val="0"/>
          <w:sz w:val="24"/>
          <w:highlight w:val="none"/>
          <w:u w:val="single"/>
        </w:rPr>
        <w:t xml:space="preserve">   </w:t>
      </w:r>
      <w:r>
        <w:rPr>
          <w:kern w:val="0"/>
          <w:sz w:val="24"/>
          <w:highlight w:val="none"/>
        </w:rPr>
        <w:t>日</w:t>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经营期限：</w:t>
      </w:r>
      <w:r>
        <w:rPr>
          <w:kern w:val="0"/>
          <w:sz w:val="24"/>
          <w:highlight w:val="none"/>
          <w:u w:val="single"/>
        </w:rPr>
        <w:tab/>
      </w:r>
    </w:p>
    <w:p>
      <w:pPr>
        <w:tabs>
          <w:tab w:val="left" w:pos="1580"/>
          <w:tab w:val="left" w:pos="3260"/>
          <w:tab w:val="left" w:pos="4840"/>
          <w:tab w:val="left" w:pos="630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姓名：</w:t>
      </w:r>
      <w:r>
        <w:rPr>
          <w:kern w:val="0"/>
          <w:sz w:val="24"/>
          <w:highlight w:val="none"/>
          <w:u w:val="single"/>
        </w:rPr>
        <w:tab/>
      </w:r>
      <w:r>
        <w:rPr>
          <w:kern w:val="0"/>
          <w:sz w:val="24"/>
          <w:highlight w:val="none"/>
        </w:rPr>
        <w:t>性别</w:t>
      </w:r>
      <w:r>
        <w:rPr>
          <w:spacing w:val="-1"/>
          <w:kern w:val="0"/>
          <w:sz w:val="24"/>
          <w:highlight w:val="none"/>
        </w:rPr>
        <w:t>：</w:t>
      </w:r>
      <w:r>
        <w:rPr>
          <w:kern w:val="0"/>
          <w:sz w:val="24"/>
          <w:highlight w:val="none"/>
          <w:u w:val="single"/>
        </w:rPr>
        <w:tab/>
      </w:r>
      <w:r>
        <w:rPr>
          <w:spacing w:val="-1"/>
          <w:kern w:val="0"/>
          <w:sz w:val="24"/>
          <w:highlight w:val="none"/>
        </w:rPr>
        <w:t>年</w:t>
      </w:r>
      <w:r>
        <w:rPr>
          <w:kern w:val="0"/>
          <w:sz w:val="24"/>
          <w:highlight w:val="none"/>
        </w:rPr>
        <w:t>龄：</w:t>
      </w:r>
      <w:r>
        <w:rPr>
          <w:kern w:val="0"/>
          <w:sz w:val="24"/>
          <w:highlight w:val="none"/>
          <w:u w:val="single"/>
        </w:rPr>
        <w:tab/>
      </w:r>
      <w:r>
        <w:rPr>
          <w:kern w:val="0"/>
          <w:sz w:val="24"/>
          <w:highlight w:val="none"/>
        </w:rPr>
        <w:t>职务：</w:t>
      </w:r>
      <w:r>
        <w:rPr>
          <w:kern w:val="0"/>
          <w:sz w:val="24"/>
          <w:highlight w:val="none"/>
          <w:u w:val="single"/>
        </w:rPr>
        <w:tab/>
      </w:r>
    </w:p>
    <w:p>
      <w:pPr>
        <w:tabs>
          <w:tab w:val="left" w:pos="336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系</w:t>
      </w:r>
      <w:r>
        <w:rPr>
          <w:kern w:val="0"/>
          <w:sz w:val="24"/>
          <w:highlight w:val="none"/>
          <w:u w:val="single"/>
        </w:rPr>
        <w:tab/>
      </w:r>
      <w:r>
        <w:rPr>
          <w:kern w:val="0"/>
          <w:sz w:val="24"/>
          <w:highlight w:val="none"/>
        </w:rPr>
        <w:t>（供应商名称）的法定代表人。</w:t>
      </w:r>
    </w:p>
    <w:p>
      <w:pPr>
        <w:tabs>
          <w:tab w:val="left" w:pos="3360"/>
        </w:tabs>
        <w:autoSpaceDE w:val="0"/>
        <w:autoSpaceDN w:val="0"/>
        <w:adjustRightInd w:val="0"/>
        <w:snapToGrid w:val="0"/>
        <w:spacing w:line="360" w:lineRule="auto"/>
        <w:ind w:firstLine="480" w:firstLineChars="20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w:t>
      </w:r>
    </w:p>
    <w:p>
      <w:pPr>
        <w:autoSpaceDE w:val="0"/>
        <w:autoSpaceDN w:val="0"/>
        <w:adjustRightInd w:val="0"/>
        <w:snapToGrid w:val="0"/>
        <w:spacing w:line="360" w:lineRule="auto"/>
        <w:ind w:firstLine="480" w:firstLineChars="200"/>
        <w:jc w:val="left"/>
        <w:rPr>
          <w:kern w:val="0"/>
          <w:sz w:val="24"/>
          <w:highlight w:val="none"/>
        </w:rPr>
      </w:pPr>
      <w:r>
        <w:rPr>
          <w:kern w:val="0"/>
          <w:sz w:val="24"/>
          <w:highlight w:val="none"/>
        </w:rPr>
        <w:t>特此证明。</w:t>
      </w:r>
    </w:p>
    <w:p>
      <w:pPr>
        <w:autoSpaceDE w:val="0"/>
        <w:autoSpaceDN w:val="0"/>
        <w:adjustRightInd w:val="0"/>
        <w:snapToGrid w:val="0"/>
        <w:spacing w:line="360" w:lineRule="auto"/>
        <w:ind w:firstLine="480" w:firstLineChars="200"/>
        <w:jc w:val="left"/>
        <w:rPr>
          <w:kern w:val="0"/>
          <w:sz w:val="24"/>
          <w:highlight w:val="none"/>
        </w:rPr>
      </w:pPr>
    </w:p>
    <w:tbl>
      <w:tblPr>
        <w:tblStyle w:val="10"/>
        <w:tblpPr w:leftFromText="180" w:rightFromText="180" w:vertAnchor="text" w:horzAnchor="margin" w:tblpY="264"/>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08"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ind w:firstLine="240" w:firstLineChars="100"/>
              <w:rPr>
                <w:b/>
                <w:sz w:val="24"/>
                <w:highlight w:val="none"/>
              </w:rPr>
            </w:pPr>
            <w:r>
              <w:rPr>
                <w:sz w:val="24"/>
                <w:highlight w:val="none"/>
              </w:rPr>
              <w:t>法定代表人身份证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autoSpaceDE w:val="0"/>
        <w:autoSpaceDN w:val="0"/>
        <w:adjustRightInd w:val="0"/>
        <w:snapToGrid w:val="0"/>
        <w:spacing w:line="360" w:lineRule="auto"/>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供应商（盖单位法人章）： </w:t>
      </w: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法定代表人（签字）：</w:t>
      </w:r>
    </w:p>
    <w:p>
      <w:pPr>
        <w:wordWrap w:val="0"/>
        <w:autoSpaceDE w:val="0"/>
        <w:autoSpaceDN w:val="0"/>
        <w:adjustRightInd w:val="0"/>
        <w:snapToGrid w:val="0"/>
        <w:spacing w:line="360" w:lineRule="auto"/>
        <w:ind w:firstLine="3780"/>
        <w:jc w:val="right"/>
        <w:rPr>
          <w:kern w:val="0"/>
          <w:sz w:val="24"/>
          <w:highlight w:val="none"/>
        </w:rPr>
      </w:pPr>
      <w:r>
        <w:rPr>
          <w:kern w:val="0"/>
          <w:sz w:val="24"/>
          <w:highlight w:val="none"/>
          <w:u w:val="single"/>
        </w:rPr>
        <w:tab/>
      </w:r>
      <w:r>
        <w:rPr>
          <w:kern w:val="0"/>
          <w:sz w:val="24"/>
          <w:highlight w:val="none"/>
          <w:u w:val="single"/>
        </w:rPr>
        <w:t xml:space="preserve">  </w:t>
      </w:r>
      <w:r>
        <w:rPr>
          <w:spacing w:val="-1"/>
          <w:kern w:val="0"/>
          <w:sz w:val="24"/>
          <w:highlight w:val="none"/>
        </w:rPr>
        <w:t>年</w:t>
      </w:r>
      <w:r>
        <w:rPr>
          <w:b/>
          <w:w w:val="99"/>
          <w:kern w:val="0"/>
          <w:sz w:val="24"/>
          <w:highlight w:val="none"/>
          <w:u w:val="single"/>
        </w:rPr>
        <w:t xml:space="preserve">　 </w:t>
      </w:r>
      <w:r>
        <w:rPr>
          <w:kern w:val="0"/>
          <w:sz w:val="24"/>
          <w:highlight w:val="none"/>
        </w:rPr>
        <w:t>月</w:t>
      </w:r>
      <w:r>
        <w:rPr>
          <w:b/>
          <w:w w:val="99"/>
          <w:kern w:val="0"/>
          <w:sz w:val="24"/>
          <w:highlight w:val="none"/>
          <w:u w:val="single"/>
        </w:rPr>
        <w:t xml:space="preserve">　 </w:t>
      </w:r>
      <w:r>
        <w:rPr>
          <w:kern w:val="0"/>
          <w:sz w:val="24"/>
          <w:highlight w:val="none"/>
        </w:rPr>
        <w:t xml:space="preserve">日            </w:t>
      </w:r>
    </w:p>
    <w:p>
      <w:pPr>
        <w:snapToGrid w:val="0"/>
        <w:spacing w:line="312" w:lineRule="auto"/>
        <w:ind w:firstLine="480" w:firstLineChars="200"/>
        <w:rPr>
          <w:kern w:val="0"/>
          <w:sz w:val="24"/>
          <w:highlight w:val="none"/>
        </w:rPr>
      </w:pPr>
    </w:p>
    <w:p>
      <w:pPr>
        <w:widowControl/>
        <w:jc w:val="left"/>
        <w:rPr>
          <w:bCs/>
          <w:sz w:val="24"/>
          <w:highlight w:val="none"/>
        </w:rPr>
      </w:pPr>
      <w:r>
        <w:rPr>
          <w:bCs/>
          <w:sz w:val="24"/>
          <w:highlight w:val="none"/>
        </w:rPr>
        <w:br w:type="page"/>
      </w:r>
    </w:p>
    <w:p>
      <w:pPr>
        <w:spacing w:line="360" w:lineRule="auto"/>
        <w:jc w:val="left"/>
        <w:rPr>
          <w:bCs/>
          <w:sz w:val="24"/>
          <w:highlight w:val="none"/>
        </w:rPr>
      </w:pPr>
      <w:r>
        <w:rPr>
          <w:rFonts w:hint="eastAsia"/>
          <w:bCs/>
          <w:sz w:val="24"/>
          <w:highlight w:val="none"/>
        </w:rPr>
        <w:t>附件4：</w:t>
      </w:r>
    </w:p>
    <w:p>
      <w:pPr>
        <w:spacing w:line="360" w:lineRule="auto"/>
        <w:jc w:val="center"/>
        <w:rPr>
          <w:b/>
          <w:sz w:val="24"/>
          <w:highlight w:val="none"/>
        </w:rPr>
      </w:pPr>
      <w:r>
        <w:rPr>
          <w:b/>
          <w:sz w:val="24"/>
          <w:highlight w:val="none"/>
        </w:rPr>
        <w:t>供应商（</w:t>
      </w:r>
      <w:r>
        <w:rPr>
          <w:rFonts w:hint="eastAsia"/>
          <w:b/>
          <w:sz w:val="24"/>
          <w:highlight w:val="none"/>
        </w:rPr>
        <w:t>竞标人</w:t>
      </w:r>
      <w:r>
        <w:rPr>
          <w:b/>
          <w:sz w:val="24"/>
          <w:highlight w:val="none"/>
        </w:rPr>
        <w:t>）基本情况表</w:t>
      </w:r>
    </w:p>
    <w:tbl>
      <w:tblPr>
        <w:tblStyle w:val="10"/>
        <w:tblW w:w="9359" w:type="dxa"/>
        <w:tblInd w:w="-8" w:type="dxa"/>
        <w:tblLayout w:type="fixed"/>
        <w:tblCellMar>
          <w:top w:w="0" w:type="dxa"/>
          <w:left w:w="0" w:type="dxa"/>
          <w:bottom w:w="0" w:type="dxa"/>
          <w:right w:w="0" w:type="dxa"/>
        </w:tblCellMar>
      </w:tblPr>
      <w:tblGrid>
        <w:gridCol w:w="1704"/>
        <w:gridCol w:w="851"/>
        <w:gridCol w:w="1417"/>
        <w:gridCol w:w="993"/>
        <w:gridCol w:w="283"/>
        <w:gridCol w:w="978"/>
        <w:gridCol w:w="308"/>
        <w:gridCol w:w="850"/>
        <w:gridCol w:w="1975"/>
      </w:tblGrid>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rFonts w:hint="eastAsia"/>
                <w:sz w:val="24"/>
                <w:highlight w:val="none"/>
              </w:rPr>
              <w:t>竞标人</w:t>
            </w:r>
            <w:r>
              <w:rPr>
                <w:sz w:val="24"/>
                <w:highlight w:val="none"/>
              </w:rPr>
              <w:t>名称</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注册地址</w:t>
            </w:r>
          </w:p>
        </w:tc>
        <w:tc>
          <w:tcPr>
            <w:tcW w:w="354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邮政编码</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联系方式</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联系人</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400" w:lineRule="exact"/>
              <w:jc w:val="center"/>
              <w:rPr>
                <w:sz w:val="24"/>
                <w:highlight w:val="none"/>
              </w:rPr>
            </w:pPr>
            <w:r>
              <w:rPr>
                <w:sz w:val="24"/>
                <w:highlight w:val="none"/>
              </w:rPr>
              <w:t>传 真</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网址</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法定代表人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成立时间</w:t>
            </w:r>
          </w:p>
        </w:tc>
        <w:tc>
          <w:tcPr>
            <w:tcW w:w="2268"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5387" w:type="dxa"/>
            <w:gridSpan w:val="6"/>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ind w:left="126" w:leftChars="60"/>
              <w:rPr>
                <w:sz w:val="24"/>
                <w:highlight w:val="none"/>
              </w:rPr>
            </w:pPr>
            <w:r>
              <w:rPr>
                <w:sz w:val="24"/>
                <w:highlight w:val="none"/>
              </w:rPr>
              <w:t>员工总人数：</w:t>
            </w: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企业资质等级</w:t>
            </w:r>
          </w:p>
          <w:p>
            <w:pPr>
              <w:autoSpaceDE w:val="0"/>
              <w:autoSpaceDN w:val="0"/>
              <w:adjustRightInd w:val="0"/>
              <w:snapToGrid w:val="0"/>
              <w:spacing w:line="400" w:lineRule="exact"/>
              <w:jc w:val="center"/>
              <w:rPr>
                <w:sz w:val="24"/>
                <w:highlight w:val="none"/>
              </w:rPr>
            </w:pPr>
            <w:r>
              <w:rPr>
                <w:sz w:val="24"/>
                <w:highlight w:val="none"/>
              </w:rPr>
              <w:t>（如有）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获得的许可证名称（如有）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统一社会信用代码</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注册资金</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开户银行</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账号</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1559"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经营范围</w:t>
            </w:r>
          </w:p>
        </w:tc>
        <w:tc>
          <w:tcPr>
            <w:tcW w:w="7655" w:type="dxa"/>
            <w:gridSpan w:val="8"/>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788"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备注</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bl>
    <w:p>
      <w:pPr>
        <w:jc w:val="center"/>
        <w:rPr>
          <w:b/>
          <w:bCs/>
          <w:sz w:val="32"/>
          <w:szCs w:val="32"/>
          <w:highlight w:val="none"/>
        </w:rPr>
      </w:pPr>
    </w:p>
    <w:p>
      <w:pPr>
        <w:widowControl/>
        <w:jc w:val="left"/>
        <w:rPr>
          <w:b/>
          <w:bCs/>
          <w:sz w:val="32"/>
          <w:szCs w:val="32"/>
          <w:highlight w:val="none"/>
        </w:rPr>
      </w:pPr>
      <w:r>
        <w:rPr>
          <w:b/>
          <w:bCs/>
          <w:sz w:val="32"/>
          <w:szCs w:val="32"/>
          <w:highlight w:val="none"/>
        </w:rPr>
        <w:br w:type="page"/>
      </w:r>
    </w:p>
    <w:p>
      <w:pPr>
        <w:spacing w:line="360" w:lineRule="auto"/>
        <w:jc w:val="left"/>
        <w:rPr>
          <w:b/>
          <w:sz w:val="24"/>
          <w:highlight w:val="none"/>
        </w:rPr>
      </w:pPr>
      <w:r>
        <w:rPr>
          <w:b/>
          <w:sz w:val="24"/>
          <w:highlight w:val="none"/>
        </w:rPr>
        <w:t>附件</w:t>
      </w:r>
      <w:r>
        <w:rPr>
          <w:rFonts w:hint="eastAsia"/>
          <w:b/>
          <w:sz w:val="24"/>
          <w:highlight w:val="none"/>
        </w:rPr>
        <w:t>5：营业执照及特定资格条件证明文件</w:t>
      </w:r>
    </w:p>
    <w:p>
      <w:pPr>
        <w:widowControl/>
        <w:jc w:val="left"/>
        <w:rPr>
          <w:b/>
          <w:bCs/>
          <w:sz w:val="32"/>
          <w:szCs w:val="32"/>
          <w:highlight w:val="none"/>
        </w:rPr>
      </w:pPr>
    </w:p>
    <w:p>
      <w:pPr>
        <w:widowControl/>
        <w:jc w:val="left"/>
        <w:rPr>
          <w:b/>
          <w:bCs/>
          <w:sz w:val="32"/>
          <w:szCs w:val="32"/>
          <w:highlight w:val="none"/>
        </w:rPr>
      </w:pPr>
      <w:r>
        <w:rPr>
          <w:b/>
          <w:bCs/>
          <w:sz w:val="32"/>
          <w:szCs w:val="32"/>
          <w:highlight w:val="none"/>
        </w:rPr>
        <w:br w:type="page"/>
      </w:r>
    </w:p>
    <w:p>
      <w:pPr>
        <w:widowControl/>
        <w:jc w:val="left"/>
        <w:rPr>
          <w:b/>
          <w:bCs/>
          <w:sz w:val="32"/>
          <w:szCs w:val="32"/>
          <w:highlight w:val="none"/>
        </w:rPr>
        <w:sectPr>
          <w:footerReference r:id="rId3" w:type="default"/>
          <w:pgSz w:w="11906" w:h="16838"/>
          <w:pgMar w:top="1134" w:right="1134" w:bottom="1134" w:left="1134" w:header="851" w:footer="992" w:gutter="0"/>
          <w:cols w:space="425" w:num="1"/>
          <w:docGrid w:type="lines" w:linePitch="312" w:charSpace="0"/>
        </w:sectPr>
      </w:pPr>
    </w:p>
    <w:p>
      <w:pPr>
        <w:jc w:val="left"/>
        <w:rPr>
          <w:rFonts w:asciiTheme="minorEastAsia" w:hAnsiTheme="minorEastAsia"/>
          <w:bCs/>
          <w:sz w:val="24"/>
          <w:highlight w:val="none"/>
        </w:rPr>
      </w:pPr>
      <w:r>
        <w:rPr>
          <w:rFonts w:hint="eastAsia" w:asciiTheme="minorEastAsia" w:hAnsiTheme="minorEastAsia"/>
          <w:bCs/>
          <w:sz w:val="24"/>
          <w:highlight w:val="none"/>
        </w:rPr>
        <w:t>附件6：</w:t>
      </w:r>
    </w:p>
    <w:p>
      <w:pPr>
        <w:jc w:val="center"/>
        <w:rPr>
          <w:b/>
          <w:bCs/>
          <w:sz w:val="32"/>
          <w:szCs w:val="32"/>
          <w:highlight w:val="none"/>
        </w:rPr>
      </w:pPr>
      <w:r>
        <w:rPr>
          <w:rFonts w:hint="eastAsia"/>
          <w:b/>
          <w:bCs/>
          <w:sz w:val="32"/>
          <w:szCs w:val="32"/>
          <w:highlight w:val="none"/>
        </w:rPr>
        <w:t>重庆工商大学党政办公室</w:t>
      </w:r>
      <w:r>
        <w:rPr>
          <w:rFonts w:hint="eastAsia"/>
          <w:b/>
          <w:bCs/>
          <w:sz w:val="32"/>
          <w:szCs w:val="32"/>
          <w:highlight w:val="none"/>
          <w:lang w:val="en-US" w:eastAsia="zh-CN"/>
        </w:rPr>
        <w:t>书柜采购</w:t>
      </w:r>
      <w:r>
        <w:rPr>
          <w:rFonts w:hint="eastAsia"/>
          <w:b/>
          <w:bCs/>
          <w:sz w:val="32"/>
          <w:szCs w:val="32"/>
          <w:highlight w:val="none"/>
        </w:rPr>
        <w:t>项目报价明细表</w:t>
      </w:r>
    </w:p>
    <w:p>
      <w:pPr>
        <w:jc w:val="center"/>
        <w:rPr>
          <w:b/>
          <w:bCs/>
          <w:sz w:val="28"/>
          <w:szCs w:val="28"/>
          <w:highlight w:val="none"/>
        </w:rPr>
      </w:pPr>
    </w:p>
    <w:p>
      <w:pPr>
        <w:rPr>
          <w:b/>
          <w:bCs/>
          <w:sz w:val="28"/>
          <w:szCs w:val="28"/>
          <w:highlight w:val="none"/>
        </w:rPr>
      </w:pPr>
      <w:r>
        <w:rPr>
          <w:rFonts w:hint="eastAsia"/>
          <w:b/>
          <w:bCs/>
          <w:sz w:val="28"/>
          <w:szCs w:val="28"/>
          <w:highlight w:val="none"/>
        </w:rPr>
        <w:t>竞标单位名称（盖章）：</w:t>
      </w:r>
    </w:p>
    <w:p>
      <w:pPr>
        <w:rPr>
          <w:b/>
          <w:bCs/>
          <w:sz w:val="28"/>
          <w:szCs w:val="28"/>
          <w:highlight w:val="none"/>
        </w:rPr>
      </w:pPr>
      <w:r>
        <w:rPr>
          <w:rFonts w:hint="eastAsia"/>
          <w:b/>
          <w:bCs/>
          <w:sz w:val="28"/>
          <w:szCs w:val="28"/>
          <w:highlight w:val="none"/>
        </w:rPr>
        <w:t>授权代表签字：</w:t>
      </w:r>
    </w:p>
    <w:p>
      <w:pPr>
        <w:jc w:val="left"/>
        <w:rPr>
          <w:b/>
          <w:bCs/>
          <w:sz w:val="28"/>
          <w:szCs w:val="28"/>
          <w:highlight w:val="none"/>
          <w:u w:val="single"/>
        </w:rPr>
      </w:pPr>
      <w:r>
        <w:rPr>
          <w:rFonts w:hint="eastAsia"/>
          <w:b/>
          <w:bCs/>
          <w:sz w:val="28"/>
          <w:szCs w:val="28"/>
          <w:highlight w:val="none"/>
        </w:rPr>
        <w:t>是否完全响应下表及《竞标人须知》中的全部内容（是/否）：</w:t>
      </w:r>
      <w:r>
        <w:rPr>
          <w:rFonts w:hint="eastAsia"/>
          <w:b/>
          <w:bCs/>
          <w:sz w:val="28"/>
          <w:szCs w:val="28"/>
          <w:highlight w:val="none"/>
          <w:u w:val="single"/>
        </w:rPr>
        <w:t xml:space="preserve">              </w:t>
      </w:r>
    </w:p>
    <w:p>
      <w:pPr>
        <w:rPr>
          <w:sz w:val="24"/>
          <w:highlight w:val="none"/>
        </w:rPr>
      </w:pPr>
    </w:p>
    <w:tbl>
      <w:tblPr>
        <w:tblStyle w:val="11"/>
        <w:tblW w:w="4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691"/>
        <w:gridCol w:w="1530"/>
        <w:gridCol w:w="7392"/>
        <w:gridCol w:w="1096"/>
        <w:gridCol w:w="826"/>
        <w:gridCol w:w="887"/>
        <w:gridCol w:w="88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7"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236"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品名</w:t>
            </w:r>
          </w:p>
        </w:tc>
        <w:tc>
          <w:tcPr>
            <w:tcW w:w="523"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规格尺寸</w:t>
            </w:r>
          </w:p>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（长*宽*高mm）</w:t>
            </w:r>
          </w:p>
        </w:tc>
        <w:tc>
          <w:tcPr>
            <w:tcW w:w="2529"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图例、技术参数</w:t>
            </w:r>
          </w:p>
        </w:tc>
        <w:tc>
          <w:tcPr>
            <w:tcW w:w="375"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数量</w:t>
            </w:r>
          </w:p>
        </w:tc>
        <w:tc>
          <w:tcPr>
            <w:tcW w:w="282"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单位</w:t>
            </w:r>
          </w:p>
        </w:tc>
        <w:tc>
          <w:tcPr>
            <w:tcW w:w="303" w:type="pct"/>
            <w:vAlign w:val="center"/>
          </w:tcPr>
          <w:p>
            <w:pPr>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投标限价（元）</w:t>
            </w:r>
          </w:p>
        </w:tc>
        <w:tc>
          <w:tcPr>
            <w:tcW w:w="301"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投标单价（元）</w:t>
            </w:r>
          </w:p>
        </w:tc>
        <w:tc>
          <w:tcPr>
            <w:tcW w:w="300"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9"/>
            <w:vAlign w:val="center"/>
          </w:tcPr>
          <w:p>
            <w:pPr>
              <w:pStyle w:val="4"/>
              <w:jc w:val="center"/>
              <w:rPr>
                <w:rFonts w:hint="default" w:ascii="Times New Roman" w:hAnsi="Times New Roman" w:eastAsia="宋体" w:cs="Times New Roman"/>
                <w:sz w:val="21"/>
                <w:szCs w:val="21"/>
                <w:highlight w:val="none"/>
              </w:rPr>
            </w:pPr>
            <w:r>
              <w:rPr>
                <w:rFonts w:hint="eastAsia" w:ascii="Times New Roman" w:hAnsi="Times New Roman" w:eastAsia="宋体" w:cs="Times New Roman"/>
                <w:b/>
                <w:bCs/>
                <w:sz w:val="21"/>
                <w:szCs w:val="21"/>
                <w:highlight w:val="none"/>
                <w:lang w:val="en-US" w:eastAsia="zh-CN"/>
              </w:rPr>
              <w:t>党政办（联系人：莫老师，13996071408）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w:t>
            </w:r>
          </w:p>
        </w:tc>
        <w:tc>
          <w:tcPr>
            <w:tcW w:w="236" w:type="pct"/>
            <w:vAlign w:val="center"/>
          </w:tcPr>
          <w:p>
            <w:pPr>
              <w:pageBreakBefore w:val="0"/>
              <w:kinsoku/>
              <w:wordWrap/>
              <w:overflowPunct/>
              <w:topLinePunct w:val="0"/>
              <w:autoSpaceDE/>
              <w:autoSpaceDN/>
              <w:bidi w:val="0"/>
              <w:snapToGrid/>
              <w:spacing w:line="240" w:lineRule="auto"/>
              <w:jc w:val="both"/>
              <w:rPr>
                <w:rFonts w:hint="default" w:ascii="Times New Roman" w:hAnsi="Times New Roman" w:eastAsia="宋体" w:cs="Times New Roman"/>
                <w:color w:val="000000"/>
                <w:kern w:val="0"/>
                <w:sz w:val="21"/>
                <w:szCs w:val="21"/>
                <w:highlight w:val="none"/>
                <w:lang w:val="en-US" w:eastAsia="zh-CN" w:bidi="ar"/>
              </w:rPr>
            </w:pPr>
            <w:r>
              <w:rPr>
                <w:rFonts w:hint="eastAsia" w:ascii="Times New Roman" w:hAnsi="Times New Roman" w:eastAsia="宋体" w:cs="Times New Roman"/>
                <w:color w:val="000000"/>
                <w:kern w:val="0"/>
                <w:sz w:val="21"/>
                <w:szCs w:val="21"/>
                <w:highlight w:val="none"/>
                <w:lang w:val="en-US" w:eastAsia="zh-CN" w:bidi="ar"/>
              </w:rPr>
              <w:t>定制书柜</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r>
              <w:drawing>
                <wp:inline distT="0" distB="0" distL="114300" distR="114300">
                  <wp:extent cx="1072515" cy="1078230"/>
                  <wp:effectExtent l="0" t="0" r="6985" b="127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pic:cNvPicPr>
                        </pic:nvPicPr>
                        <pic:blipFill>
                          <a:blip r:embed="rId5"/>
                          <a:stretch>
                            <a:fillRect/>
                          </a:stretch>
                        </pic:blipFill>
                        <pic:spPr>
                          <a:xfrm>
                            <a:off x="0" y="0"/>
                            <a:ext cx="1072515" cy="1078230"/>
                          </a:xfrm>
                          <a:prstGeom prst="rect">
                            <a:avLst/>
                          </a:prstGeom>
                          <a:noFill/>
                          <a:ln w="9525">
                            <a:noFill/>
                          </a:ln>
                        </pic:spPr>
                      </pic:pic>
                    </a:graphicData>
                  </a:graphic>
                </wp:inline>
              </w:drawing>
            </w:r>
            <w:r>
              <w:drawing>
                <wp:inline distT="0" distB="0" distL="114300" distR="114300">
                  <wp:extent cx="1024255" cy="918210"/>
                  <wp:effectExtent l="0" t="0" r="4445" b="8890"/>
                  <wp:docPr id="10" name="图片 29" descr="166813366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9" descr="1668133668728"/>
                          <pic:cNvPicPr>
                            <a:picLocks noChangeAspect="1"/>
                          </pic:cNvPicPr>
                        </pic:nvPicPr>
                        <pic:blipFill>
                          <a:blip r:embed="rId6"/>
                          <a:stretch>
                            <a:fillRect/>
                          </a:stretch>
                        </pic:blipFill>
                        <pic:spPr>
                          <a:xfrm>
                            <a:off x="0" y="0"/>
                            <a:ext cx="1024255" cy="918210"/>
                          </a:xfrm>
                          <a:prstGeom prst="rect">
                            <a:avLst/>
                          </a:prstGeom>
                          <a:noFill/>
                          <a:ln w="9525">
                            <a:noFill/>
                          </a:ln>
                        </pic:spPr>
                      </pic:pic>
                    </a:graphicData>
                  </a:graphic>
                </wp:inline>
              </w:drawing>
            </w:r>
            <w:r>
              <w:drawing>
                <wp:inline distT="0" distB="0" distL="114300" distR="114300">
                  <wp:extent cx="1005205" cy="1055370"/>
                  <wp:effectExtent l="0" t="0" r="10795" b="11430"/>
                  <wp:docPr id="11" name="图片 27" descr="166813383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 descr="1668133837951"/>
                          <pic:cNvPicPr>
                            <a:picLocks noChangeAspect="1"/>
                          </pic:cNvPicPr>
                        </pic:nvPicPr>
                        <pic:blipFill>
                          <a:blip r:embed="rId7"/>
                          <a:stretch>
                            <a:fillRect/>
                          </a:stretch>
                        </pic:blipFill>
                        <pic:spPr>
                          <a:xfrm>
                            <a:off x="0" y="0"/>
                            <a:ext cx="1005205" cy="1055370"/>
                          </a:xfrm>
                          <a:prstGeom prst="rect">
                            <a:avLst/>
                          </a:prstGeom>
                          <a:noFill/>
                          <a:ln w="9525">
                            <a:noFill/>
                          </a:ln>
                        </pic:spPr>
                      </pic:pic>
                    </a:graphicData>
                  </a:graphic>
                </wp:inline>
              </w:drawing>
            </w: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1.基材：采用厚度≥18mm的实木齿接板，木制件甲醛、苯释放量≤1.5mg/100L。。</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2.面材：采用木皮贴面，厚度≥0.5mm，甲醛、苯释放量≤1.5mg/100L。。</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3.封边：采用木质封边条，甲醛含量、耐干热性、耐磨性符合QB/T 4463-2013《家具用封边条技术要求》标准。</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4.油漆：采用环保水性油漆，游离甲醛含量、附着力、细度、挥发性有机化合物含量、乙二醇醚及醚酯总和、苯系物含量符合GB/T 23999-2009《室内装饰装修用水性木器涂料》、GB 24410-2009《室内装饰装修材料 水性木器涂料中有害物质限量》标准。</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5.白乳胶：采用优质白乳胶，游离甲醛、不挥发物、PH值、粘度、苯、甲苯+二甲苯、总挥发性有机物符合GB 18583-2008《室内装饰装修材料 胶粘剂中有害物质限量》和Q/GYJ 04-2016《聚乙酸乙烯酯乳液》标准。</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6、五金配件：采用优质三折钢珠滑轨，耐久性、垂直向下静载荷、水平侧向静载荷、拉出安全性、猛关或猛开、下沉量、耐腐蚀符合QB/T 2454-2013《家具五金 抽屉导轨》标准；采用优质铰链，耐腐蚀符合QB/T 2189-2013《家具五金 杯状暗铰链》标准。</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bidi="ar"/>
              </w:rPr>
              <w:t>7、实木制件甲醛释放量、木制件涂层可溶性重金属含量（铅、镉、铬、汞）、漆膜耐液性、漆膜抗冲击符合GB/T 3324-2017《木家具通用技术条件》和GB 18584-2001《室内装饰装修材料 木家具中有害物质限量》标准。</w:t>
            </w:r>
          </w:p>
        </w:tc>
        <w:tc>
          <w:tcPr>
            <w:tcW w:w="375"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val="en-US" w:eastAsia="zh-CN" w:bidi="ar"/>
              </w:rPr>
            </w:pPr>
            <w:r>
              <w:rPr>
                <w:rFonts w:hint="eastAsia" w:ascii="Times New Roman" w:hAnsi="Times New Roman" w:eastAsia="宋体" w:cs="Times New Roman"/>
                <w:color w:val="000000"/>
                <w:kern w:val="0"/>
                <w:sz w:val="21"/>
                <w:szCs w:val="21"/>
                <w:highlight w:val="none"/>
                <w:lang w:val="en-US" w:eastAsia="zh-CN" w:bidi="ar"/>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val="en-US" w:eastAsia="zh-CN" w:bidi="ar"/>
              </w:rPr>
            </w:pPr>
            <w:r>
              <w:rPr>
                <w:rFonts w:hint="eastAsia" w:ascii="Times New Roman" w:hAnsi="Times New Roman" w:eastAsia="宋体" w:cs="Times New Roman"/>
                <w:color w:val="000000"/>
                <w:kern w:val="0"/>
                <w:sz w:val="21"/>
                <w:szCs w:val="21"/>
                <w:highlight w:val="none"/>
                <w:lang w:val="en-US" w:eastAsia="zh-CN" w:bidi="ar"/>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4300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07" w:type="pct"/>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kern w:val="0"/>
                <w:sz w:val="21"/>
                <w:szCs w:val="21"/>
                <w:highlight w:val="none"/>
                <w:lang w:bidi="ar"/>
              </w:rPr>
              <w:t>合 计</w:t>
            </w:r>
          </w:p>
        </w:tc>
        <w:tc>
          <w:tcPr>
            <w:tcW w:w="4092" w:type="pct"/>
            <w:gridSpan w:val="6"/>
            <w:vAlign w:val="center"/>
          </w:tcPr>
          <w:p>
            <w:pPr>
              <w:jc w:val="center"/>
              <w:rPr>
                <w:rFonts w:hint="default" w:ascii="Times New Roman" w:hAnsi="Times New Roman" w:eastAsia="宋体" w:cs="Times New Roman"/>
                <w:b/>
                <w:kern w:val="0"/>
                <w:sz w:val="21"/>
                <w:szCs w:val="21"/>
                <w:highlight w:val="none"/>
                <w:lang w:bidi="ar"/>
              </w:rPr>
            </w:pPr>
            <w:r>
              <w:rPr>
                <w:rFonts w:hint="default" w:ascii="Times New Roman" w:hAnsi="Times New Roman" w:eastAsia="宋体" w:cs="Times New Roman"/>
                <w:b/>
                <w:kern w:val="0"/>
                <w:sz w:val="21"/>
                <w:szCs w:val="21"/>
                <w:highlight w:val="none"/>
                <w:lang w:bidi="ar"/>
              </w:rPr>
              <w:t>小写：        ，大写：</w:t>
            </w:r>
          </w:p>
        </w:tc>
      </w:tr>
    </w:tbl>
    <w:p>
      <w:pPr>
        <w:rPr>
          <w:sz w:val="24"/>
          <w:highlight w:val="none"/>
        </w:rPr>
      </w:pPr>
      <w:r>
        <w:rPr>
          <w:rFonts w:hint="eastAsia"/>
          <w:sz w:val="24"/>
          <w:highlight w:val="none"/>
        </w:rPr>
        <w:t>1、本次报价为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完成本项目所需的服务费、人工费及提供服务所需的设备或货物购买（制造）费、辅材费、运输费、装卸费、安装调试费、培训费、代理服务费及各种应纳的税费等。因供应商自身原因造成漏报、少报皆由其自行承担责任，采购人不再补偿。</w:t>
      </w:r>
    </w:p>
    <w:p>
      <w:pPr>
        <w:rPr>
          <w:b/>
          <w:bCs/>
          <w:color w:val="FF0000"/>
          <w:sz w:val="24"/>
          <w:highlight w:val="none"/>
        </w:rPr>
      </w:pPr>
      <w:r>
        <w:rPr>
          <w:rFonts w:hint="eastAsia"/>
          <w:b/>
          <w:bCs/>
          <w:color w:val="FF0000"/>
          <w:sz w:val="24"/>
          <w:highlight w:val="none"/>
        </w:rPr>
        <w:t>2、各类商品的单价报价不得超过投标限价，否则报价无效。</w:t>
      </w:r>
    </w:p>
    <w:p>
      <w:pPr>
        <w:rPr>
          <w:sz w:val="24"/>
          <w:highlight w:val="none"/>
        </w:rPr>
      </w:pPr>
      <w:r>
        <w:rPr>
          <w:rFonts w:hint="eastAsia"/>
          <w:sz w:val="24"/>
          <w:highlight w:val="none"/>
        </w:rPr>
        <w:t>3、本表可扩展。</w:t>
      </w:r>
    </w:p>
    <w:sectPr>
      <w:pgSz w:w="16838" w:h="11906" w:orient="landscape"/>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大黑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246711"/>
    </w:sdtPr>
    <w:sdtContent>
      <w:sdt>
        <w:sdtPr>
          <w:id w:val="860082579"/>
        </w:sdtPr>
        <w:sdtContent>
          <w:p>
            <w:pPr>
              <w:pStyle w:val="8"/>
              <w:jc w:val="right"/>
            </w:pPr>
            <w:r>
              <w:rPr>
                <w:lang w:val="zh-CN"/>
              </w:rPr>
              <w:t xml:space="preserve"> </w:t>
            </w:r>
            <w:r>
              <w:rPr>
                <w:b/>
                <w:bCs/>
                <w:sz w:val="24"/>
              </w:rPr>
              <w:fldChar w:fldCharType="begin"/>
            </w:r>
            <w:r>
              <w:rPr>
                <w:b/>
                <w:bCs/>
              </w:rPr>
              <w:instrText xml:space="preserve">PAGE</w:instrText>
            </w:r>
            <w:r>
              <w:rPr>
                <w:b/>
                <w:bCs/>
                <w:sz w:val="24"/>
              </w:rPr>
              <w:fldChar w:fldCharType="separate"/>
            </w:r>
            <w:r>
              <w:rPr>
                <w:b/>
                <w:bCs/>
              </w:rPr>
              <w:t>21</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21</w:t>
            </w:r>
            <w:r>
              <w:rPr>
                <w:b/>
                <w:bCs/>
                <w:sz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88DC4"/>
    <w:multiLevelType w:val="singleLevel"/>
    <w:tmpl w:val="CBD88DC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NWRmMzdhZjdkNjQ3ZTY0ZDRiYjhhZWI4YzhiZTYifQ=="/>
  </w:docVars>
  <w:rsids>
    <w:rsidRoot w:val="2AAF106B"/>
    <w:rsid w:val="00004563"/>
    <w:rsid w:val="000206FC"/>
    <w:rsid w:val="00034259"/>
    <w:rsid w:val="0004418F"/>
    <w:rsid w:val="00056C40"/>
    <w:rsid w:val="00062EAC"/>
    <w:rsid w:val="0006628C"/>
    <w:rsid w:val="0007493A"/>
    <w:rsid w:val="00077425"/>
    <w:rsid w:val="0009168A"/>
    <w:rsid w:val="000A00F0"/>
    <w:rsid w:val="000A33CF"/>
    <w:rsid w:val="000A5E10"/>
    <w:rsid w:val="000B0EE3"/>
    <w:rsid w:val="000B1978"/>
    <w:rsid w:val="000F2209"/>
    <w:rsid w:val="000F3DA9"/>
    <w:rsid w:val="00100CA4"/>
    <w:rsid w:val="0010536B"/>
    <w:rsid w:val="00106BF7"/>
    <w:rsid w:val="00113B6B"/>
    <w:rsid w:val="00114E51"/>
    <w:rsid w:val="00135356"/>
    <w:rsid w:val="00150828"/>
    <w:rsid w:val="00157422"/>
    <w:rsid w:val="00175005"/>
    <w:rsid w:val="00183181"/>
    <w:rsid w:val="001855C5"/>
    <w:rsid w:val="00197329"/>
    <w:rsid w:val="001B5A4A"/>
    <w:rsid w:val="001B7AFB"/>
    <w:rsid w:val="001C7A2F"/>
    <w:rsid w:val="001C7A91"/>
    <w:rsid w:val="00214E84"/>
    <w:rsid w:val="002156E9"/>
    <w:rsid w:val="002319C4"/>
    <w:rsid w:val="00251299"/>
    <w:rsid w:val="00282B25"/>
    <w:rsid w:val="00290F8F"/>
    <w:rsid w:val="002916D1"/>
    <w:rsid w:val="002A1233"/>
    <w:rsid w:val="002C06BD"/>
    <w:rsid w:val="002C3872"/>
    <w:rsid w:val="002C4E3B"/>
    <w:rsid w:val="002C7D1C"/>
    <w:rsid w:val="002E33AB"/>
    <w:rsid w:val="002E6896"/>
    <w:rsid w:val="003028E7"/>
    <w:rsid w:val="00302A8D"/>
    <w:rsid w:val="0030561D"/>
    <w:rsid w:val="0030562F"/>
    <w:rsid w:val="003135B6"/>
    <w:rsid w:val="00322F97"/>
    <w:rsid w:val="00346F7D"/>
    <w:rsid w:val="00353EDF"/>
    <w:rsid w:val="003A07B9"/>
    <w:rsid w:val="003D1FA8"/>
    <w:rsid w:val="003E1D1F"/>
    <w:rsid w:val="003F5CB7"/>
    <w:rsid w:val="0040343B"/>
    <w:rsid w:val="00415897"/>
    <w:rsid w:val="00417E22"/>
    <w:rsid w:val="004231DC"/>
    <w:rsid w:val="004404D1"/>
    <w:rsid w:val="00462BFB"/>
    <w:rsid w:val="0047503D"/>
    <w:rsid w:val="004777BD"/>
    <w:rsid w:val="00486118"/>
    <w:rsid w:val="004932F2"/>
    <w:rsid w:val="004B2C2A"/>
    <w:rsid w:val="004B2F52"/>
    <w:rsid w:val="004B36AC"/>
    <w:rsid w:val="004C0F75"/>
    <w:rsid w:val="004C5F48"/>
    <w:rsid w:val="004C7F01"/>
    <w:rsid w:val="004D0826"/>
    <w:rsid w:val="004D5AAB"/>
    <w:rsid w:val="004E1497"/>
    <w:rsid w:val="0052082D"/>
    <w:rsid w:val="00522F44"/>
    <w:rsid w:val="00525E33"/>
    <w:rsid w:val="00527A20"/>
    <w:rsid w:val="00535DCC"/>
    <w:rsid w:val="00552729"/>
    <w:rsid w:val="0058271C"/>
    <w:rsid w:val="00591B93"/>
    <w:rsid w:val="005B0F20"/>
    <w:rsid w:val="005C021B"/>
    <w:rsid w:val="005D4A67"/>
    <w:rsid w:val="005E0E30"/>
    <w:rsid w:val="005E5A10"/>
    <w:rsid w:val="00622CD0"/>
    <w:rsid w:val="006308BB"/>
    <w:rsid w:val="006641BA"/>
    <w:rsid w:val="006650E5"/>
    <w:rsid w:val="00686CB8"/>
    <w:rsid w:val="00690689"/>
    <w:rsid w:val="00694D18"/>
    <w:rsid w:val="00696410"/>
    <w:rsid w:val="006A6807"/>
    <w:rsid w:val="006B2DFB"/>
    <w:rsid w:val="006B74AD"/>
    <w:rsid w:val="006C438A"/>
    <w:rsid w:val="006D6BBE"/>
    <w:rsid w:val="00720107"/>
    <w:rsid w:val="00722291"/>
    <w:rsid w:val="007448F4"/>
    <w:rsid w:val="0075704C"/>
    <w:rsid w:val="007574FA"/>
    <w:rsid w:val="00782BAB"/>
    <w:rsid w:val="007A6103"/>
    <w:rsid w:val="007C32FD"/>
    <w:rsid w:val="007E100B"/>
    <w:rsid w:val="007F0F17"/>
    <w:rsid w:val="00801721"/>
    <w:rsid w:val="00822C00"/>
    <w:rsid w:val="00867DA8"/>
    <w:rsid w:val="00881F97"/>
    <w:rsid w:val="00883861"/>
    <w:rsid w:val="008A65EC"/>
    <w:rsid w:val="008B26C8"/>
    <w:rsid w:val="008C7C27"/>
    <w:rsid w:val="008D0450"/>
    <w:rsid w:val="008E3006"/>
    <w:rsid w:val="008E77CD"/>
    <w:rsid w:val="00925EE4"/>
    <w:rsid w:val="009266B6"/>
    <w:rsid w:val="00932119"/>
    <w:rsid w:val="00943987"/>
    <w:rsid w:val="00955C07"/>
    <w:rsid w:val="00957122"/>
    <w:rsid w:val="00957E95"/>
    <w:rsid w:val="00964244"/>
    <w:rsid w:val="009734B6"/>
    <w:rsid w:val="00977AD2"/>
    <w:rsid w:val="00980306"/>
    <w:rsid w:val="00984442"/>
    <w:rsid w:val="009A30C4"/>
    <w:rsid w:val="009A6A84"/>
    <w:rsid w:val="009B4A46"/>
    <w:rsid w:val="009D0E1B"/>
    <w:rsid w:val="00A0114F"/>
    <w:rsid w:val="00A160A9"/>
    <w:rsid w:val="00A66E17"/>
    <w:rsid w:val="00A814BE"/>
    <w:rsid w:val="00A81999"/>
    <w:rsid w:val="00AB5BAA"/>
    <w:rsid w:val="00AC3462"/>
    <w:rsid w:val="00AD3C72"/>
    <w:rsid w:val="00AE46C3"/>
    <w:rsid w:val="00AF3EA4"/>
    <w:rsid w:val="00B064AC"/>
    <w:rsid w:val="00B11279"/>
    <w:rsid w:val="00B31527"/>
    <w:rsid w:val="00B36FC8"/>
    <w:rsid w:val="00B37056"/>
    <w:rsid w:val="00B471EE"/>
    <w:rsid w:val="00B47FF2"/>
    <w:rsid w:val="00B53BFD"/>
    <w:rsid w:val="00B839AA"/>
    <w:rsid w:val="00BB0432"/>
    <w:rsid w:val="00BC1C10"/>
    <w:rsid w:val="00BE1DBF"/>
    <w:rsid w:val="00BF2A1A"/>
    <w:rsid w:val="00BF3ABF"/>
    <w:rsid w:val="00C02F29"/>
    <w:rsid w:val="00C10B38"/>
    <w:rsid w:val="00C218B6"/>
    <w:rsid w:val="00C4248E"/>
    <w:rsid w:val="00C54E2D"/>
    <w:rsid w:val="00C70CA0"/>
    <w:rsid w:val="00C757EE"/>
    <w:rsid w:val="00C77205"/>
    <w:rsid w:val="00C87BE2"/>
    <w:rsid w:val="00CB6B11"/>
    <w:rsid w:val="00CD4F61"/>
    <w:rsid w:val="00CD6C2E"/>
    <w:rsid w:val="00CF0933"/>
    <w:rsid w:val="00CF6B91"/>
    <w:rsid w:val="00D00AF3"/>
    <w:rsid w:val="00D21F03"/>
    <w:rsid w:val="00D305D8"/>
    <w:rsid w:val="00D40280"/>
    <w:rsid w:val="00D40A0F"/>
    <w:rsid w:val="00D456AE"/>
    <w:rsid w:val="00D618FD"/>
    <w:rsid w:val="00D66462"/>
    <w:rsid w:val="00D71408"/>
    <w:rsid w:val="00D779E0"/>
    <w:rsid w:val="00D9316F"/>
    <w:rsid w:val="00D9485A"/>
    <w:rsid w:val="00DA4DD4"/>
    <w:rsid w:val="00DA5B3E"/>
    <w:rsid w:val="00DB32D2"/>
    <w:rsid w:val="00DE1274"/>
    <w:rsid w:val="00DE2FFC"/>
    <w:rsid w:val="00DF1030"/>
    <w:rsid w:val="00DF2B68"/>
    <w:rsid w:val="00E02E7B"/>
    <w:rsid w:val="00E051ED"/>
    <w:rsid w:val="00E40B1E"/>
    <w:rsid w:val="00E558A3"/>
    <w:rsid w:val="00E639C3"/>
    <w:rsid w:val="00E66338"/>
    <w:rsid w:val="00EA37B7"/>
    <w:rsid w:val="00EA748D"/>
    <w:rsid w:val="00EC3C1C"/>
    <w:rsid w:val="00EE1942"/>
    <w:rsid w:val="00F32A8B"/>
    <w:rsid w:val="00F36D62"/>
    <w:rsid w:val="00F442FC"/>
    <w:rsid w:val="00F4585A"/>
    <w:rsid w:val="00F56B7B"/>
    <w:rsid w:val="00F65904"/>
    <w:rsid w:val="00F74FCA"/>
    <w:rsid w:val="00F971DE"/>
    <w:rsid w:val="00FA4F2A"/>
    <w:rsid w:val="00FC2672"/>
    <w:rsid w:val="00FD006C"/>
    <w:rsid w:val="00FD347C"/>
    <w:rsid w:val="00FD4CC1"/>
    <w:rsid w:val="00FE1C27"/>
    <w:rsid w:val="00FE620A"/>
    <w:rsid w:val="01981D96"/>
    <w:rsid w:val="02981FD4"/>
    <w:rsid w:val="05483DDB"/>
    <w:rsid w:val="07A51BB2"/>
    <w:rsid w:val="08370B6D"/>
    <w:rsid w:val="08E078A7"/>
    <w:rsid w:val="0AD44814"/>
    <w:rsid w:val="0B1960B9"/>
    <w:rsid w:val="0B972741"/>
    <w:rsid w:val="0EB837EA"/>
    <w:rsid w:val="0F2E5E50"/>
    <w:rsid w:val="0FA26ED4"/>
    <w:rsid w:val="10CA1840"/>
    <w:rsid w:val="114871A2"/>
    <w:rsid w:val="1185517F"/>
    <w:rsid w:val="120767EB"/>
    <w:rsid w:val="12991950"/>
    <w:rsid w:val="13804F68"/>
    <w:rsid w:val="14EA6322"/>
    <w:rsid w:val="172B6C14"/>
    <w:rsid w:val="19CD19CF"/>
    <w:rsid w:val="1AB14D60"/>
    <w:rsid w:val="1B92721E"/>
    <w:rsid w:val="1BE659FA"/>
    <w:rsid w:val="22726641"/>
    <w:rsid w:val="237979D4"/>
    <w:rsid w:val="23797EB4"/>
    <w:rsid w:val="295740A3"/>
    <w:rsid w:val="297D539A"/>
    <w:rsid w:val="29BE374E"/>
    <w:rsid w:val="2A8510D8"/>
    <w:rsid w:val="2AAF106B"/>
    <w:rsid w:val="2D113626"/>
    <w:rsid w:val="2D115117"/>
    <w:rsid w:val="2EB208EB"/>
    <w:rsid w:val="2FA554DB"/>
    <w:rsid w:val="305B0DE0"/>
    <w:rsid w:val="306D4845"/>
    <w:rsid w:val="31C80197"/>
    <w:rsid w:val="31D2511E"/>
    <w:rsid w:val="32AA0F6A"/>
    <w:rsid w:val="346225E8"/>
    <w:rsid w:val="35AF4DDA"/>
    <w:rsid w:val="36A8236D"/>
    <w:rsid w:val="37D85B02"/>
    <w:rsid w:val="39532698"/>
    <w:rsid w:val="3C4D60FE"/>
    <w:rsid w:val="3F227DB4"/>
    <w:rsid w:val="41DC72E3"/>
    <w:rsid w:val="437749A0"/>
    <w:rsid w:val="43A04CA4"/>
    <w:rsid w:val="43E9584D"/>
    <w:rsid w:val="44BA53C1"/>
    <w:rsid w:val="49B561CB"/>
    <w:rsid w:val="49E11D42"/>
    <w:rsid w:val="49E23D90"/>
    <w:rsid w:val="4B415F67"/>
    <w:rsid w:val="4B615BF3"/>
    <w:rsid w:val="4BE807F1"/>
    <w:rsid w:val="4CBB57E9"/>
    <w:rsid w:val="4D3F44F6"/>
    <w:rsid w:val="4F3118DB"/>
    <w:rsid w:val="503A0B09"/>
    <w:rsid w:val="53906754"/>
    <w:rsid w:val="5438192C"/>
    <w:rsid w:val="55BE74B3"/>
    <w:rsid w:val="55D226A7"/>
    <w:rsid w:val="56FE6576"/>
    <w:rsid w:val="5731634B"/>
    <w:rsid w:val="57550BE8"/>
    <w:rsid w:val="5839466A"/>
    <w:rsid w:val="594D5D76"/>
    <w:rsid w:val="59E36A9C"/>
    <w:rsid w:val="5B303794"/>
    <w:rsid w:val="5F6845F0"/>
    <w:rsid w:val="62441745"/>
    <w:rsid w:val="630327E4"/>
    <w:rsid w:val="65AD07DA"/>
    <w:rsid w:val="670E3723"/>
    <w:rsid w:val="69CD6F12"/>
    <w:rsid w:val="6A2417B9"/>
    <w:rsid w:val="6CEC72C8"/>
    <w:rsid w:val="6D905835"/>
    <w:rsid w:val="6E52221E"/>
    <w:rsid w:val="6F66678A"/>
    <w:rsid w:val="71983564"/>
    <w:rsid w:val="7257791A"/>
    <w:rsid w:val="72AA3E51"/>
    <w:rsid w:val="744141CD"/>
    <w:rsid w:val="74CF7881"/>
    <w:rsid w:val="75C047E7"/>
    <w:rsid w:val="76416940"/>
    <w:rsid w:val="774C6CD4"/>
    <w:rsid w:val="786B1629"/>
    <w:rsid w:val="7873765F"/>
    <w:rsid w:val="78EF290F"/>
    <w:rsid w:val="7A7F5055"/>
    <w:rsid w:val="7AE80C16"/>
    <w:rsid w:val="7C364E2D"/>
    <w:rsid w:val="7EC5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tabs>
        <w:tab w:val="left" w:pos="720"/>
      </w:tabs>
      <w:spacing w:before="560" w:after="290" w:line="377" w:lineRule="auto"/>
      <w:ind w:left="420" w:hanging="420"/>
      <w:outlineLvl w:val="3"/>
    </w:pPr>
    <w:rPr>
      <w:rFonts w:ascii="Arial" w:hAnsi="Arial" w:eastAsia="黑体"/>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uto"/>
      <w:ind w:firstLine="420"/>
    </w:pPr>
    <w:rPr>
      <w:rFonts w:ascii="Times New Roman" w:hAnsi="Times New Roman"/>
      <w:szCs w:val="20"/>
    </w:rPr>
  </w:style>
  <w:style w:type="paragraph" w:styleId="5">
    <w:name w:val="annotation text"/>
    <w:basedOn w:val="1"/>
    <w:qFormat/>
    <w:uiPriority w:val="0"/>
    <w:pPr>
      <w:jc w:val="left"/>
    </w:pPr>
  </w:style>
  <w:style w:type="paragraph" w:styleId="6">
    <w:name w:val="Body Text Indent"/>
    <w:basedOn w:val="1"/>
    <w:link w:val="22"/>
    <w:qFormat/>
    <w:uiPriority w:val="0"/>
    <w:pPr>
      <w:spacing w:line="700" w:lineRule="exact"/>
      <w:ind w:left="960"/>
    </w:pPr>
    <w:rPr>
      <w:rFonts w:ascii="Times New Roman" w:hAnsi="Times New Roman" w:eastAsia="宋体" w:cs="Times New Roman"/>
      <w:sz w:val="44"/>
      <w:szCs w:val="20"/>
    </w:r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rPr>
  </w:style>
  <w:style w:type="paragraph" w:styleId="9">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156356"/>
      <w:sz w:val="18"/>
      <w:szCs w:val="18"/>
      <w:u w:val="none"/>
      <w:shd w:val="clear" w:color="auto" w:fill="FF5722"/>
    </w:rPr>
  </w:style>
  <w:style w:type="character" w:styleId="14">
    <w:name w:val="Hyperlink"/>
    <w:basedOn w:val="12"/>
    <w:qFormat/>
    <w:uiPriority w:val="0"/>
    <w:rPr>
      <w:color w:val="156356"/>
      <w:u w:val="none"/>
    </w:rPr>
  </w:style>
  <w:style w:type="character" w:customStyle="1" w:styleId="15">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6">
    <w:name w:val="页脚 Char"/>
    <w:basedOn w:val="12"/>
    <w:link w:val="8"/>
    <w:qFormat/>
    <w:uiPriority w:val="99"/>
    <w:rPr>
      <w:rFonts w:asciiTheme="minorHAnsi" w:hAnsiTheme="minorHAnsi" w:eastAsiaTheme="minorEastAsia" w:cstheme="minorBidi"/>
      <w:kern w:val="2"/>
      <w:sz w:val="18"/>
      <w:szCs w:val="24"/>
    </w:rPr>
  </w:style>
  <w:style w:type="character" w:customStyle="1" w:styleId="17">
    <w:name w:val="标题 2 Char"/>
    <w:basedOn w:val="12"/>
    <w:link w:val="2"/>
    <w:semiHidden/>
    <w:qFormat/>
    <w:uiPriority w:val="0"/>
    <w:rPr>
      <w:rFonts w:asciiTheme="majorHAnsi" w:hAnsiTheme="majorHAnsi" w:eastAsiaTheme="majorEastAsia" w:cstheme="majorBidi"/>
      <w:b/>
      <w:bCs/>
      <w:kern w:val="2"/>
      <w:sz w:val="32"/>
      <w:szCs w:val="32"/>
    </w:rPr>
  </w:style>
  <w:style w:type="character" w:customStyle="1" w:styleId="18">
    <w:name w:val="页眉 Char"/>
    <w:basedOn w:val="12"/>
    <w:link w:val="9"/>
    <w:qFormat/>
    <w:uiPriority w:val="99"/>
    <w:rPr>
      <w:rFonts w:asciiTheme="minorHAnsi" w:hAnsiTheme="minorHAnsi" w:eastAsiaTheme="minorEastAsia" w:cstheme="minorBidi"/>
      <w:kern w:val="2"/>
      <w:sz w:val="18"/>
      <w:szCs w:val="24"/>
    </w:rPr>
  </w:style>
  <w:style w:type="character" w:customStyle="1" w:styleId="19">
    <w:name w:val="layui-laypage-curr"/>
    <w:basedOn w:val="12"/>
    <w:qFormat/>
    <w:uiPriority w:val="0"/>
  </w:style>
  <w:style w:type="character" w:customStyle="1" w:styleId="20">
    <w:name w:val="label"/>
    <w:basedOn w:val="12"/>
    <w:qFormat/>
    <w:uiPriority w:val="0"/>
    <w:rPr>
      <w:color w:val="999999"/>
    </w:rPr>
  </w:style>
  <w:style w:type="character" w:customStyle="1" w:styleId="21">
    <w:name w:val="hover13"/>
    <w:basedOn w:val="12"/>
    <w:qFormat/>
    <w:uiPriority w:val="0"/>
  </w:style>
  <w:style w:type="character" w:customStyle="1" w:styleId="22">
    <w:name w:val="正文文本缩进 Char"/>
    <w:basedOn w:val="12"/>
    <w:link w:val="6"/>
    <w:qFormat/>
    <w:uiPriority w:val="0"/>
    <w:rPr>
      <w:kern w:val="2"/>
      <w:sz w:val="44"/>
    </w:rPr>
  </w:style>
  <w:style w:type="table" w:customStyle="1" w:styleId="23">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33</Pages>
  <Words>19055</Words>
  <Characters>21767</Characters>
  <Lines>93</Lines>
  <Paragraphs>26</Paragraphs>
  <TotalTime>0</TotalTime>
  <ScaleCrop>false</ScaleCrop>
  <LinksUpToDate>false</LinksUpToDate>
  <CharactersWithSpaces>22092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2021-03-25T05:50:00Z</dcterms:created>
  <dc:creator>阎晗</dc:creator>
  <cp:lastModifiedBy>谭武斌</cp:lastModifiedBy>
  <cp:lastPrinted>2022-07-12T02:39:00Z</cp:lastPrinted>
  <dcterms:modified xsi:type="dcterms:W3CDTF">2023-05-30T02:00:58Z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A77C5E973C1C42EC9BAE6F344C06B244_13</vt:lpwstr>
  </property>
  <property fmtid="{D5CDD505-2E9C-101B-9397-08002B2CF9AE}" pid="4" name="KSOSaveFontToCloudKey">
    <vt:lpwstr>1223693500_btnclosed</vt:lpwstr>
  </property>
</Properties>
</file>