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黑简体" w:hAnsi="方正大黑简体" w:eastAsia="方正大黑简体" w:cs="方正大黑简体"/>
          <w:b/>
          <w:bCs/>
          <w:sz w:val="44"/>
          <w:szCs w:val="44"/>
          <w:highlight w:val="none"/>
        </w:rPr>
      </w:pPr>
      <w:r>
        <w:rPr>
          <w:rFonts w:hint="eastAsia" w:ascii="方正大黑简体" w:hAnsi="方正大黑简体" w:eastAsia="方正大黑简体" w:cs="方正大黑简体"/>
          <w:b/>
          <w:bCs/>
          <w:sz w:val="44"/>
          <w:szCs w:val="44"/>
          <w:highlight w:val="none"/>
        </w:rPr>
        <w:t>竞标人须知</w:t>
      </w:r>
    </w:p>
    <w:p>
      <w:pPr>
        <w:jc w:val="center"/>
        <w:rPr>
          <w:rFonts w:hint="eastAsia"/>
          <w:b/>
          <w:bCs/>
          <w:sz w:val="28"/>
          <w:szCs w:val="28"/>
          <w:highlight w:val="none"/>
          <w:lang w:eastAsia="zh-CN"/>
        </w:rPr>
      </w:pPr>
      <w:r>
        <w:rPr>
          <w:rFonts w:hint="eastAsia"/>
          <w:b/>
          <w:bCs/>
          <w:sz w:val="28"/>
          <w:szCs w:val="28"/>
          <w:highlight w:val="none"/>
        </w:rPr>
        <w:t>项目名称：重庆工商大学国合基地、人工智能学院</w:t>
      </w:r>
      <w:r>
        <w:rPr>
          <w:rFonts w:hint="eastAsia"/>
          <w:b/>
          <w:bCs/>
          <w:sz w:val="28"/>
          <w:szCs w:val="28"/>
          <w:highlight w:val="none"/>
          <w:lang w:eastAsia="zh-CN"/>
        </w:rPr>
        <w:t>、</w:t>
      </w:r>
    </w:p>
    <w:p>
      <w:pPr>
        <w:jc w:val="center"/>
        <w:rPr>
          <w:b/>
          <w:bCs/>
          <w:sz w:val="28"/>
          <w:szCs w:val="28"/>
          <w:highlight w:val="none"/>
        </w:rPr>
      </w:pPr>
      <w:r>
        <w:rPr>
          <w:rFonts w:hint="eastAsia"/>
          <w:b/>
          <w:bCs/>
          <w:sz w:val="28"/>
          <w:szCs w:val="28"/>
          <w:highlight w:val="none"/>
          <w:lang w:val="en-US" w:eastAsia="zh-CN"/>
        </w:rPr>
        <w:t>经管中心、党政办家具采购</w:t>
      </w:r>
      <w:r>
        <w:rPr>
          <w:rFonts w:hint="eastAsia"/>
          <w:b/>
          <w:bCs/>
          <w:sz w:val="28"/>
          <w:szCs w:val="28"/>
          <w:highlight w:val="none"/>
        </w:rPr>
        <w:t>项目</w:t>
      </w:r>
    </w:p>
    <w:p>
      <w:pPr>
        <w:jc w:val="center"/>
        <w:rPr>
          <w:b/>
          <w:bCs/>
          <w:sz w:val="28"/>
          <w:szCs w:val="28"/>
          <w:highlight w:val="none"/>
        </w:rPr>
      </w:pPr>
      <w:r>
        <w:rPr>
          <w:rFonts w:hint="eastAsia"/>
          <w:b/>
          <w:bCs/>
          <w:sz w:val="28"/>
          <w:szCs w:val="28"/>
          <w:highlight w:val="none"/>
        </w:rPr>
        <w:t>（项目编号：CTBU-JZ202303</w:t>
      </w:r>
      <w:r>
        <w:rPr>
          <w:rFonts w:hint="eastAsia"/>
          <w:b/>
          <w:bCs/>
          <w:sz w:val="28"/>
          <w:szCs w:val="28"/>
          <w:highlight w:val="none"/>
          <w:lang w:val="en-US" w:eastAsia="zh-CN"/>
        </w:rPr>
        <w:t>8</w:t>
      </w:r>
      <w:r>
        <w:rPr>
          <w:rFonts w:hint="eastAsia"/>
          <w:b/>
          <w:bCs/>
          <w:sz w:val="28"/>
          <w:szCs w:val="28"/>
          <w:highlight w:val="none"/>
        </w:rPr>
        <w:t>）</w:t>
      </w:r>
    </w:p>
    <w:p>
      <w:pPr>
        <w:rPr>
          <w:b/>
          <w:bCs/>
          <w:sz w:val="24"/>
          <w:highlight w:val="none"/>
        </w:rPr>
      </w:pPr>
      <w:r>
        <w:rPr>
          <w:rFonts w:hint="eastAsia"/>
          <w:b/>
          <w:bCs/>
          <w:sz w:val="24"/>
          <w:highlight w:val="none"/>
        </w:rPr>
        <w:t>一、资格条件</w:t>
      </w:r>
    </w:p>
    <w:p>
      <w:pPr>
        <w:rPr>
          <w:b/>
          <w:bCs/>
          <w:sz w:val="24"/>
          <w:highlight w:val="none"/>
        </w:rPr>
      </w:pPr>
      <w:r>
        <w:rPr>
          <w:rFonts w:hint="eastAsia"/>
          <w:b/>
          <w:bCs/>
          <w:sz w:val="24"/>
          <w:highlight w:val="none"/>
        </w:rPr>
        <w:t xml:space="preserve">（一）一般资格要求 </w:t>
      </w:r>
    </w:p>
    <w:p>
      <w:pPr>
        <w:rPr>
          <w:sz w:val="24"/>
          <w:highlight w:val="none"/>
        </w:rPr>
      </w:pPr>
      <w:r>
        <w:rPr>
          <w:rFonts w:hint="eastAsia"/>
          <w:sz w:val="24"/>
          <w:highlight w:val="none"/>
        </w:rPr>
        <w:t xml:space="preserve">1、具有独立承担民事责任的能力； </w:t>
      </w:r>
    </w:p>
    <w:p>
      <w:pPr>
        <w:rPr>
          <w:sz w:val="24"/>
          <w:highlight w:val="none"/>
        </w:rPr>
      </w:pPr>
      <w:r>
        <w:rPr>
          <w:rFonts w:hint="eastAsia"/>
          <w:sz w:val="24"/>
          <w:highlight w:val="none"/>
        </w:rPr>
        <w:t xml:space="preserve">2、具有良好的商业信誉和健全的财务会计制度； </w:t>
      </w:r>
    </w:p>
    <w:p>
      <w:pPr>
        <w:rPr>
          <w:sz w:val="24"/>
          <w:highlight w:val="none"/>
        </w:rPr>
      </w:pPr>
      <w:r>
        <w:rPr>
          <w:rFonts w:hint="eastAsia"/>
          <w:sz w:val="24"/>
          <w:highlight w:val="none"/>
        </w:rPr>
        <w:t xml:space="preserve">3、具有履行合同所必须的设备和专业技术能力； </w:t>
      </w:r>
    </w:p>
    <w:p>
      <w:pPr>
        <w:rPr>
          <w:sz w:val="24"/>
          <w:highlight w:val="none"/>
        </w:rPr>
      </w:pPr>
      <w:r>
        <w:rPr>
          <w:rFonts w:hint="eastAsia"/>
          <w:sz w:val="24"/>
          <w:highlight w:val="none"/>
        </w:rPr>
        <w:t xml:space="preserve">4、有依法缴纳税收和社会保障资金的良好记录； </w:t>
      </w:r>
    </w:p>
    <w:p>
      <w:pPr>
        <w:rPr>
          <w:sz w:val="24"/>
          <w:highlight w:val="none"/>
        </w:rPr>
      </w:pPr>
      <w:r>
        <w:rPr>
          <w:rFonts w:hint="eastAsia"/>
          <w:sz w:val="24"/>
          <w:highlight w:val="none"/>
        </w:rPr>
        <w:t xml:space="preserve">5、参加政府采购活动近三年内，在经营活动中没有重大违法记录； </w:t>
      </w:r>
    </w:p>
    <w:p>
      <w:pPr>
        <w:rPr>
          <w:sz w:val="24"/>
          <w:highlight w:val="none"/>
        </w:rPr>
      </w:pPr>
      <w:r>
        <w:rPr>
          <w:rFonts w:hint="eastAsia"/>
          <w:sz w:val="24"/>
          <w:highlight w:val="none"/>
        </w:rPr>
        <w:t xml:space="preserve">6、法律、行政法规规定的其他条件。 </w:t>
      </w:r>
    </w:p>
    <w:p>
      <w:pPr>
        <w:rPr>
          <w:b/>
          <w:bCs/>
          <w:sz w:val="24"/>
          <w:highlight w:val="none"/>
        </w:rPr>
      </w:pPr>
      <w:r>
        <w:rPr>
          <w:rFonts w:hint="eastAsia"/>
          <w:b/>
          <w:bCs/>
          <w:sz w:val="24"/>
          <w:highlight w:val="none"/>
        </w:rPr>
        <w:t xml:space="preserve">（二）特定资格条件 </w:t>
      </w:r>
    </w:p>
    <w:p>
      <w:pPr>
        <w:rPr>
          <w:sz w:val="24"/>
          <w:highlight w:val="none"/>
        </w:rPr>
      </w:pPr>
      <w:r>
        <w:rPr>
          <w:rFonts w:hint="eastAsia"/>
          <w:sz w:val="24"/>
          <w:highlight w:val="none"/>
        </w:rPr>
        <w:t>1、本项目仅接受所投产品制造商参与投标；</w:t>
      </w:r>
    </w:p>
    <w:p>
      <w:pPr>
        <w:rPr>
          <w:sz w:val="24"/>
          <w:highlight w:val="none"/>
        </w:rPr>
      </w:pPr>
      <w:r>
        <w:rPr>
          <w:rFonts w:hint="eastAsia"/>
          <w:sz w:val="24"/>
          <w:highlight w:val="none"/>
        </w:rPr>
        <w:t>2、竞标人具有有效期内的中国环境标志产品认证证书（十环认证），且认证范围包含钢木家具，响应文件中须提供证书复印件加盖竞标人公章；</w:t>
      </w:r>
    </w:p>
    <w:p>
      <w:pPr>
        <w:rPr>
          <w:rFonts w:asciiTheme="minorEastAsia" w:hAnsiTheme="minorEastAsia"/>
          <w:kern w:val="0"/>
          <w:sz w:val="24"/>
          <w:highlight w:val="none"/>
        </w:rPr>
      </w:pPr>
      <w:r>
        <w:rPr>
          <w:rFonts w:hint="eastAsia"/>
          <w:sz w:val="24"/>
          <w:highlight w:val="none"/>
        </w:rPr>
        <w:t>3、</w:t>
      </w:r>
      <w:r>
        <w:rPr>
          <w:rFonts w:hint="eastAsia" w:asciiTheme="minorEastAsia" w:hAnsiTheme="minorEastAsia"/>
          <w:kern w:val="0"/>
          <w:sz w:val="24"/>
          <w:highlight w:val="none"/>
        </w:rPr>
        <w:t>竞标人具有有效的ISO14025环境标志国际标准Ⅲ型环境标志证书或Ⅲ型环境产品声明评价证书；</w:t>
      </w:r>
    </w:p>
    <w:p>
      <w:pPr>
        <w:rPr>
          <w:rFonts w:asciiTheme="minorEastAsia" w:hAnsiTheme="minorEastAsia"/>
          <w:kern w:val="0"/>
          <w:sz w:val="24"/>
          <w:highlight w:val="none"/>
        </w:rPr>
      </w:pPr>
      <w:r>
        <w:rPr>
          <w:rFonts w:hint="eastAsia" w:asciiTheme="minorEastAsia" w:hAnsiTheme="minorEastAsia"/>
          <w:kern w:val="0"/>
          <w:sz w:val="24"/>
          <w:highlight w:val="none"/>
        </w:rPr>
        <w:t>4、投标人获得有效的GB/T27922-2011商品售后服务评价体系认证五星级及以上证书，或投标人获得全国商品售后服务评价达标认证评审委员会颁发的在有效期内的售后服务方面的五星级及以上认证证书。</w:t>
      </w:r>
    </w:p>
    <w:p>
      <w:pPr>
        <w:rPr>
          <w:sz w:val="24"/>
          <w:highlight w:val="none"/>
        </w:rPr>
      </w:pPr>
      <w:r>
        <w:rPr>
          <w:rFonts w:hint="eastAsia" w:asciiTheme="minorEastAsia" w:hAnsiTheme="minorEastAsia"/>
          <w:kern w:val="0"/>
          <w:sz w:val="24"/>
          <w:highlight w:val="none"/>
        </w:rPr>
        <w:t>5、</w:t>
      </w:r>
      <w:r>
        <w:rPr>
          <w:rFonts w:hint="eastAsia"/>
          <w:sz w:val="24"/>
          <w:highlight w:val="none"/>
        </w:rPr>
        <w:t xml:space="preserve">本项目不接受联合体投标。 </w:t>
      </w:r>
    </w:p>
    <w:p>
      <w:pPr>
        <w:rPr>
          <w:b/>
          <w:bCs/>
          <w:color w:val="FF0000"/>
          <w:sz w:val="24"/>
          <w:highlight w:val="none"/>
        </w:rPr>
      </w:pPr>
      <w:r>
        <w:rPr>
          <w:rFonts w:hint="eastAsia"/>
          <w:b/>
          <w:bCs/>
          <w:color w:val="FF0000"/>
          <w:sz w:val="24"/>
          <w:highlight w:val="none"/>
        </w:rPr>
        <w:t>注：1.竞标人的一般资格条件的证明文件可用书面声明替代（详见响应文件格式《书面声明》），并承担法律责任。</w:t>
      </w:r>
    </w:p>
    <w:p>
      <w:pPr>
        <w:rPr>
          <w:sz w:val="24"/>
          <w:highlight w:val="none"/>
        </w:rPr>
      </w:pPr>
      <w:r>
        <w:rPr>
          <w:rFonts w:hint="eastAsia"/>
          <w:b/>
          <w:bCs/>
          <w:color w:val="FF0000"/>
          <w:sz w:val="24"/>
          <w:highlight w:val="none"/>
        </w:rPr>
        <w:t>2.必须上传营业执照及特定资格条件的证明文件（不能用《书面声明》替代）。</w:t>
      </w:r>
      <w:r>
        <w:rPr>
          <w:rFonts w:hint="eastAsia"/>
          <w:sz w:val="24"/>
          <w:highlight w:val="none"/>
        </w:rPr>
        <w:t xml:space="preserve"> </w:t>
      </w:r>
    </w:p>
    <w:p>
      <w:pPr>
        <w:rPr>
          <w:sz w:val="24"/>
          <w:highlight w:val="none"/>
        </w:rPr>
      </w:pPr>
    </w:p>
    <w:p>
      <w:pPr>
        <w:rPr>
          <w:b/>
          <w:bCs/>
          <w:sz w:val="24"/>
          <w:highlight w:val="none"/>
        </w:rPr>
      </w:pPr>
      <w:r>
        <w:rPr>
          <w:rFonts w:hint="eastAsia"/>
          <w:b/>
          <w:bCs/>
          <w:sz w:val="24"/>
          <w:highlight w:val="none"/>
        </w:rPr>
        <w:t>二、报价要求</w:t>
      </w:r>
    </w:p>
    <w:p>
      <w:pPr>
        <w:rPr>
          <w:sz w:val="24"/>
          <w:highlight w:val="none"/>
        </w:rPr>
      </w:pPr>
      <w:r>
        <w:rPr>
          <w:rFonts w:hint="eastAsia"/>
          <w:sz w:val="24"/>
          <w:highlight w:val="none"/>
        </w:rPr>
        <w:t>1、项目预算金额</w:t>
      </w:r>
      <w:r>
        <w:rPr>
          <w:rFonts w:hint="eastAsia"/>
          <w:sz w:val="24"/>
          <w:highlight w:val="none"/>
          <w:lang w:val="en-US" w:eastAsia="zh-CN"/>
        </w:rPr>
        <w:t>6.5102</w:t>
      </w:r>
      <w:r>
        <w:rPr>
          <w:rFonts w:hint="eastAsia"/>
          <w:sz w:val="24"/>
          <w:highlight w:val="none"/>
        </w:rPr>
        <w:t>万元。</w:t>
      </w:r>
    </w:p>
    <w:p>
      <w:pPr>
        <w:rPr>
          <w:b/>
          <w:bCs/>
          <w:color w:val="FF0000"/>
          <w:sz w:val="24"/>
          <w:highlight w:val="none"/>
        </w:rPr>
      </w:pPr>
      <w:r>
        <w:rPr>
          <w:rFonts w:hint="eastAsia"/>
          <w:sz w:val="24"/>
          <w:highlight w:val="none"/>
        </w:rPr>
        <w:t>2、本次报价为</w:t>
      </w:r>
      <w:r>
        <w:rPr>
          <w:rFonts w:hint="eastAsia"/>
          <w:b/>
          <w:sz w:val="24"/>
          <w:highlight w:val="none"/>
        </w:rPr>
        <w:t>一口价，不再进行二次报价。</w:t>
      </w:r>
      <w:r>
        <w:rPr>
          <w:rFonts w:hint="eastAsia"/>
          <w:sz w:val="24"/>
          <w:highlight w:val="none"/>
        </w:rPr>
        <w:t>本次报价为</w:t>
      </w:r>
      <w:r>
        <w:rPr>
          <w:rFonts w:hint="eastAsia"/>
          <w:b/>
          <w:bCs/>
          <w:sz w:val="24"/>
          <w:highlight w:val="none"/>
        </w:rPr>
        <w:t>包干价</w:t>
      </w:r>
      <w:r>
        <w:rPr>
          <w:rFonts w:hint="eastAsia"/>
          <w:sz w:val="24"/>
          <w:highlight w:val="none"/>
        </w:rPr>
        <w:t>，报价包括产品购买（制造）费、辅材费、运输费（含装卸费）、保险费、税费、安装费、检测费、因检测被破坏货物的补货费等货到采购人指定地点并完成安装、调试直至验收合格的所有费用。因竞标人自身原因造成漏报、少报皆由其自行承担责任，采购人不再补偿。</w:t>
      </w:r>
    </w:p>
    <w:p>
      <w:pPr>
        <w:rPr>
          <w:b/>
          <w:color w:val="FF0000"/>
          <w:sz w:val="24"/>
          <w:highlight w:val="none"/>
        </w:rPr>
      </w:pPr>
      <w:r>
        <w:rPr>
          <w:rFonts w:hint="eastAsia"/>
          <w:b/>
          <w:color w:val="FF0000"/>
          <w:sz w:val="24"/>
          <w:highlight w:val="none"/>
        </w:rPr>
        <w:t>3、必须须上传报价明细表（详见响应文件格式）。</w:t>
      </w:r>
    </w:p>
    <w:p>
      <w:pPr>
        <w:rPr>
          <w:b/>
          <w:sz w:val="24"/>
          <w:highlight w:val="none"/>
        </w:rPr>
      </w:pPr>
      <w:r>
        <w:rPr>
          <w:rFonts w:hint="eastAsia"/>
          <w:b/>
          <w:sz w:val="24"/>
          <w:highlight w:val="none"/>
        </w:rPr>
        <w:t>4、报价修正方法</w:t>
      </w:r>
    </w:p>
    <w:p>
      <w:pPr>
        <w:rPr>
          <w:sz w:val="24"/>
          <w:highlight w:val="none"/>
        </w:rPr>
      </w:pPr>
      <w:r>
        <w:rPr>
          <w:rFonts w:hint="eastAsia"/>
          <w:sz w:val="24"/>
          <w:highlight w:val="none"/>
        </w:rPr>
        <w:t>（1）如供应商平台填写总报价与报价函及承诺中的总报价不一致时，以二者中的低价作为总价。</w:t>
      </w:r>
    </w:p>
    <w:p>
      <w:pPr>
        <w:rPr>
          <w:sz w:val="24"/>
          <w:highlight w:val="none"/>
        </w:rPr>
      </w:pPr>
      <w:r>
        <w:rPr>
          <w:rFonts w:hint="eastAsia"/>
          <w:sz w:val="24"/>
          <w:highlight w:val="none"/>
        </w:rPr>
        <w:t>（2）如报价函及承诺中的明细分项报价（如有）汇总与总报价不一致时，以二者中的低值作为总价。如分项汇总小于总报价时，修正总报价；如分项汇总大于总报价时，同比例修正所有分项单价。</w:t>
      </w:r>
    </w:p>
    <w:p>
      <w:pPr>
        <w:rPr>
          <w:sz w:val="24"/>
          <w:highlight w:val="none"/>
        </w:rPr>
      </w:pPr>
      <w:r>
        <w:rPr>
          <w:rFonts w:hint="eastAsia"/>
          <w:sz w:val="24"/>
          <w:highlight w:val="none"/>
        </w:rPr>
        <w:t>（3）如分项数量（或标准收费）乘以单价（或结算系数）与该分项总价不一致时，按二者中的低值修正该分项的单价（结算系统）或该分项的总价、总报价。如分项数量（或标准收费）与单价（或结算系数）的乘积小于分项总价时，修正分项总价及总报价；如分项数量（或标准收费）与单价（或结算系数）的乘积大于分项总价时，修正分项单价。</w:t>
      </w:r>
    </w:p>
    <w:p>
      <w:pPr>
        <w:rPr>
          <w:sz w:val="24"/>
          <w:highlight w:val="none"/>
        </w:rPr>
      </w:pPr>
      <w:r>
        <w:rPr>
          <w:rFonts w:hint="eastAsia"/>
          <w:sz w:val="24"/>
          <w:highlight w:val="none"/>
        </w:rPr>
        <w:t>5.出现以下情形之一的，将失去成为成交供应商的资格</w:t>
      </w:r>
    </w:p>
    <w:p>
      <w:pPr>
        <w:rPr>
          <w:sz w:val="24"/>
          <w:highlight w:val="none"/>
        </w:rPr>
      </w:pPr>
      <w:r>
        <w:rPr>
          <w:rFonts w:hint="eastAsia"/>
          <w:sz w:val="24"/>
          <w:highlight w:val="none"/>
        </w:rPr>
        <w:t>（1）供应商云平台网上竞采填写报价与报价函及承诺中的报价不一致而影响云平台报价排序时。</w:t>
      </w:r>
    </w:p>
    <w:p>
      <w:pPr>
        <w:rPr>
          <w:sz w:val="24"/>
          <w:highlight w:val="none"/>
        </w:rPr>
      </w:pPr>
      <w:r>
        <w:rPr>
          <w:rFonts w:hint="eastAsia"/>
          <w:sz w:val="24"/>
          <w:highlight w:val="none"/>
        </w:rPr>
        <w:t>（2）供应商投标总价超过采购人发布的限价时；分项报价超过采购人发布的分项限价时（如有）。</w:t>
      </w:r>
    </w:p>
    <w:p>
      <w:pPr>
        <w:rPr>
          <w:sz w:val="24"/>
          <w:highlight w:val="none"/>
        </w:rPr>
      </w:pPr>
      <w:r>
        <w:rPr>
          <w:rFonts w:hint="eastAsia"/>
          <w:sz w:val="24"/>
          <w:highlight w:val="none"/>
        </w:rPr>
        <w:t>（3）供应商不同意采购人对供应商报价进行修正时。</w:t>
      </w:r>
    </w:p>
    <w:p>
      <w:pPr>
        <w:rPr>
          <w:sz w:val="24"/>
          <w:highlight w:val="none"/>
        </w:rPr>
      </w:pPr>
      <w:r>
        <w:rPr>
          <w:rFonts w:hint="eastAsia"/>
          <w:sz w:val="24"/>
          <w:highlight w:val="none"/>
        </w:rPr>
        <w:t>（4）供应商对采购人发布的响应文件格式中的内容进行了修改时。</w:t>
      </w:r>
    </w:p>
    <w:p>
      <w:pPr>
        <w:rPr>
          <w:sz w:val="24"/>
          <w:highlight w:val="none"/>
        </w:rPr>
      </w:pPr>
    </w:p>
    <w:p>
      <w:pPr>
        <w:rPr>
          <w:b/>
          <w:sz w:val="24"/>
          <w:highlight w:val="none"/>
        </w:rPr>
      </w:pPr>
      <w:bookmarkStart w:id="0" w:name="_Toc8114917"/>
      <w:r>
        <w:rPr>
          <w:rFonts w:hint="eastAsia"/>
          <w:b/>
          <w:sz w:val="24"/>
          <w:highlight w:val="none"/>
        </w:rPr>
        <w:t>三、家具制作及安装要求</w:t>
      </w:r>
      <w:bookmarkEnd w:id="0"/>
    </w:p>
    <w:p>
      <w:pPr>
        <w:rPr>
          <w:b/>
          <w:sz w:val="24"/>
          <w:highlight w:val="none"/>
        </w:rPr>
      </w:pPr>
      <w:r>
        <w:rPr>
          <w:rFonts w:hint="eastAsia"/>
          <w:b/>
          <w:sz w:val="24"/>
          <w:highlight w:val="none"/>
        </w:rPr>
        <w:t>（一）需求清单及参数详见附件1。</w:t>
      </w:r>
    </w:p>
    <w:p>
      <w:pPr>
        <w:rPr>
          <w:sz w:val="24"/>
          <w:highlight w:val="none"/>
        </w:rPr>
      </w:pPr>
      <w:r>
        <w:rPr>
          <w:rFonts w:hint="eastAsia"/>
          <w:bCs/>
          <w:sz w:val="24"/>
          <w:highlight w:val="none"/>
        </w:rPr>
        <w:t>（二）</w:t>
      </w:r>
      <w:r>
        <w:rPr>
          <w:rFonts w:hint="eastAsia"/>
          <w:sz w:val="24"/>
          <w:highlight w:val="none"/>
        </w:rPr>
        <w:t>执行标准</w:t>
      </w:r>
    </w:p>
    <w:p>
      <w:pPr>
        <w:rPr>
          <w:sz w:val="24"/>
          <w:highlight w:val="none"/>
        </w:rPr>
      </w:pPr>
      <w:r>
        <w:rPr>
          <w:rFonts w:hint="eastAsia"/>
          <w:sz w:val="24"/>
          <w:highlight w:val="none"/>
        </w:rPr>
        <w:t>GB/T3324-2017《木家具通用技术标准》</w:t>
      </w:r>
    </w:p>
    <w:p>
      <w:pPr>
        <w:rPr>
          <w:sz w:val="24"/>
          <w:highlight w:val="none"/>
        </w:rPr>
      </w:pPr>
      <w:r>
        <w:rPr>
          <w:rFonts w:hint="eastAsia"/>
          <w:sz w:val="24"/>
          <w:highlight w:val="none"/>
        </w:rPr>
        <w:t>GB/T3325-2017《金属家具通用技术条件》</w:t>
      </w:r>
    </w:p>
    <w:p>
      <w:pPr>
        <w:rPr>
          <w:sz w:val="24"/>
          <w:highlight w:val="none"/>
        </w:rPr>
      </w:pPr>
      <w:r>
        <w:rPr>
          <w:rFonts w:hint="eastAsia"/>
          <w:sz w:val="24"/>
          <w:highlight w:val="none"/>
        </w:rPr>
        <w:t>GB 18580-2017《室内装饰装修材料人造板及其制品中甲醛释放限量》</w:t>
      </w:r>
    </w:p>
    <w:p>
      <w:pPr>
        <w:rPr>
          <w:sz w:val="24"/>
          <w:highlight w:val="none"/>
        </w:rPr>
      </w:pPr>
      <w:r>
        <w:rPr>
          <w:rFonts w:hint="eastAsia"/>
          <w:sz w:val="24"/>
          <w:highlight w:val="none"/>
        </w:rPr>
        <w:t>GB 18584-2001《室内装饰装修材料 木家具中有害物质限量》</w:t>
      </w:r>
    </w:p>
    <w:p>
      <w:pPr>
        <w:rPr>
          <w:sz w:val="24"/>
          <w:highlight w:val="none"/>
        </w:rPr>
      </w:pPr>
      <w:r>
        <w:rPr>
          <w:rFonts w:hint="eastAsia"/>
          <w:sz w:val="24"/>
          <w:highlight w:val="none"/>
        </w:rPr>
        <w:t>QB/T 1951.1-2010《木质家具质量检验及质量评定》</w:t>
      </w:r>
    </w:p>
    <w:p>
      <w:pPr>
        <w:rPr>
          <w:sz w:val="24"/>
          <w:highlight w:val="none"/>
        </w:rPr>
      </w:pPr>
      <w:r>
        <w:rPr>
          <w:rFonts w:hint="eastAsia"/>
          <w:sz w:val="24"/>
          <w:highlight w:val="none"/>
        </w:rPr>
        <w:t>QB/T1951.2-2013《金属家具质量检验及质量评定》</w:t>
      </w:r>
    </w:p>
    <w:p>
      <w:pPr>
        <w:rPr>
          <w:sz w:val="24"/>
          <w:highlight w:val="none"/>
        </w:rPr>
      </w:pPr>
      <w:r>
        <w:rPr>
          <w:rFonts w:hint="eastAsia"/>
          <w:sz w:val="24"/>
          <w:highlight w:val="none"/>
        </w:rPr>
        <w:t>GB/T 34722-2017《浸渍胶膜纸饰面胶合板和细木工板》</w:t>
      </w:r>
    </w:p>
    <w:p>
      <w:pPr>
        <w:rPr>
          <w:sz w:val="24"/>
          <w:highlight w:val="none"/>
        </w:rPr>
      </w:pPr>
      <w:r>
        <w:rPr>
          <w:rFonts w:hint="eastAsia"/>
          <w:sz w:val="24"/>
          <w:highlight w:val="none"/>
        </w:rPr>
        <w:t>GB/T18259-2009《人造板及表面装饰术语》</w:t>
      </w:r>
    </w:p>
    <w:p>
      <w:pPr>
        <w:rPr>
          <w:sz w:val="24"/>
          <w:highlight w:val="none"/>
        </w:rPr>
      </w:pPr>
      <w:r>
        <w:rPr>
          <w:rFonts w:hint="eastAsia"/>
          <w:sz w:val="24"/>
          <w:highlight w:val="none"/>
        </w:rPr>
        <w:t>GB/T 18583-2008《室内装饰材料胶粘剂中害物质限量》</w:t>
      </w:r>
    </w:p>
    <w:p>
      <w:pPr>
        <w:rPr>
          <w:sz w:val="24"/>
          <w:highlight w:val="none"/>
        </w:rPr>
      </w:pPr>
      <w:r>
        <w:rPr>
          <w:rFonts w:hint="eastAsia"/>
          <w:sz w:val="24"/>
          <w:highlight w:val="none"/>
        </w:rPr>
        <w:t>GB 18581- 2020《木器涂料中有害物质限量》</w:t>
      </w:r>
    </w:p>
    <w:p>
      <w:pPr>
        <w:rPr>
          <w:sz w:val="24"/>
          <w:highlight w:val="none"/>
        </w:rPr>
      </w:pPr>
      <w:r>
        <w:rPr>
          <w:rFonts w:hint="eastAsia"/>
          <w:sz w:val="24"/>
          <w:highlight w:val="none"/>
        </w:rPr>
        <w:t>GB/T 10802-2006《通用软质聚醚型聚氨酯泡沫塑料》</w:t>
      </w:r>
    </w:p>
    <w:p>
      <w:pPr>
        <w:rPr>
          <w:sz w:val="24"/>
          <w:highlight w:val="none"/>
        </w:rPr>
      </w:pPr>
      <w:r>
        <w:rPr>
          <w:rFonts w:hint="eastAsia"/>
          <w:sz w:val="24"/>
          <w:highlight w:val="none"/>
        </w:rPr>
        <w:t>GB/T 3324-2017《木家具通用技术条件》</w:t>
      </w:r>
    </w:p>
    <w:p>
      <w:pPr>
        <w:rPr>
          <w:bCs/>
          <w:sz w:val="24"/>
          <w:highlight w:val="none"/>
        </w:rPr>
      </w:pPr>
      <w:r>
        <w:rPr>
          <w:rFonts w:hint="eastAsia"/>
          <w:sz w:val="24"/>
          <w:highlight w:val="none"/>
        </w:rPr>
        <w:t>注：如有未特别注明需执行的国家相关标准、行业标准、地方标准或其他标准、规范，则统一执行最新标准、规范。项目需求清单及参数要求中已明确规定的标准也须一并执行。</w:t>
      </w:r>
    </w:p>
    <w:p>
      <w:pPr>
        <w:rPr>
          <w:bCs/>
          <w:sz w:val="24"/>
          <w:highlight w:val="none"/>
        </w:rPr>
      </w:pPr>
      <w:r>
        <w:rPr>
          <w:rFonts w:hint="eastAsia"/>
          <w:bCs/>
          <w:sz w:val="24"/>
          <w:highlight w:val="none"/>
        </w:rPr>
        <w:t>（三）制作</w:t>
      </w:r>
    </w:p>
    <w:p>
      <w:pPr>
        <w:rPr>
          <w:bCs/>
          <w:sz w:val="24"/>
          <w:highlight w:val="none"/>
        </w:rPr>
      </w:pPr>
      <w:r>
        <w:rPr>
          <w:rFonts w:hint="eastAsia"/>
          <w:bCs/>
          <w:sz w:val="24"/>
          <w:highlight w:val="none"/>
        </w:rPr>
        <w:t>所有图片样式作为参考。家具颜色、样式等设计方案须采购人使用部门进行书面确认，一旦确认后，</w:t>
      </w:r>
      <w:r>
        <w:rPr>
          <w:rFonts w:hint="eastAsia"/>
          <w:bCs/>
          <w:sz w:val="24"/>
          <w:highlight w:val="none"/>
          <w:lang w:eastAsia="zh-CN"/>
        </w:rPr>
        <w:t>成交供应商</w:t>
      </w:r>
      <w:r>
        <w:rPr>
          <w:rFonts w:hint="eastAsia"/>
          <w:bCs/>
          <w:sz w:val="24"/>
          <w:highlight w:val="none"/>
        </w:rPr>
        <w:t>严格按确认的设计方案进行生产并安装。</w:t>
      </w:r>
    </w:p>
    <w:p>
      <w:pPr>
        <w:rPr>
          <w:bCs/>
          <w:sz w:val="24"/>
          <w:highlight w:val="none"/>
        </w:rPr>
      </w:pPr>
      <w:r>
        <w:rPr>
          <w:rFonts w:hint="eastAsia"/>
          <w:bCs/>
          <w:sz w:val="24"/>
          <w:highlight w:val="none"/>
        </w:rPr>
        <w:t>（四）施工交底</w:t>
      </w:r>
    </w:p>
    <w:p>
      <w:pPr>
        <w:rPr>
          <w:bCs/>
          <w:sz w:val="24"/>
          <w:highlight w:val="none"/>
        </w:rPr>
      </w:pPr>
      <w:r>
        <w:rPr>
          <w:rFonts w:hint="eastAsia"/>
          <w:bCs/>
          <w:sz w:val="24"/>
          <w:highlight w:val="none"/>
        </w:rPr>
        <w:t>相关家具及设施、设备到校后，由采购人使用部门组织安装、调试。</w:t>
      </w:r>
    </w:p>
    <w:p>
      <w:pPr>
        <w:rPr>
          <w:bCs/>
          <w:sz w:val="24"/>
          <w:highlight w:val="none"/>
        </w:rPr>
      </w:pPr>
      <w:r>
        <w:rPr>
          <w:rFonts w:hint="eastAsia"/>
          <w:bCs/>
          <w:sz w:val="24"/>
          <w:highlight w:val="none"/>
        </w:rPr>
        <w:t>（五）安全及环境管理</w:t>
      </w:r>
    </w:p>
    <w:p>
      <w:pPr>
        <w:rPr>
          <w:bCs/>
          <w:sz w:val="24"/>
          <w:highlight w:val="none"/>
        </w:rPr>
      </w:pPr>
      <w:r>
        <w:rPr>
          <w:rFonts w:hint="eastAsia"/>
          <w:bCs/>
          <w:sz w:val="24"/>
          <w:highlight w:val="none"/>
        </w:rPr>
        <w:t>本项目的物品保管、施工安全、消防安全、环境卫生等均由供应商自行负责，如因管理不善造成的损失由供应商全部承担。</w:t>
      </w:r>
      <w:bookmarkStart w:id="1" w:name="_Toc8114921"/>
      <w:bookmarkStart w:id="2" w:name="_Toc8114919"/>
    </w:p>
    <w:p>
      <w:pPr>
        <w:rPr>
          <w:sz w:val="24"/>
          <w:highlight w:val="none"/>
        </w:rPr>
      </w:pPr>
    </w:p>
    <w:p>
      <w:pPr>
        <w:rPr>
          <w:b/>
          <w:bCs/>
          <w:sz w:val="24"/>
          <w:highlight w:val="none"/>
        </w:rPr>
      </w:pPr>
      <w:r>
        <w:rPr>
          <w:rFonts w:hint="eastAsia"/>
          <w:b/>
          <w:bCs/>
          <w:sz w:val="24"/>
          <w:highlight w:val="none"/>
        </w:rPr>
        <w:t>四、质量保证及售后服务</w:t>
      </w:r>
      <w:bookmarkEnd w:id="1"/>
    </w:p>
    <w:p>
      <w:pPr>
        <w:rPr>
          <w:sz w:val="24"/>
          <w:highlight w:val="none"/>
        </w:rPr>
      </w:pPr>
      <w:r>
        <w:rPr>
          <w:rFonts w:hint="eastAsia"/>
          <w:sz w:val="24"/>
          <w:highlight w:val="none"/>
        </w:rPr>
        <w:t>（一）产品质量保证期</w:t>
      </w:r>
    </w:p>
    <w:p>
      <w:pPr>
        <w:rPr>
          <w:b/>
          <w:bCs/>
          <w:sz w:val="24"/>
          <w:highlight w:val="none"/>
        </w:rPr>
      </w:pPr>
      <w:r>
        <w:rPr>
          <w:rFonts w:hint="eastAsia"/>
          <w:sz w:val="24"/>
          <w:highlight w:val="none"/>
        </w:rPr>
        <w:t>1、竞标人应明确承诺：</w:t>
      </w:r>
      <w:r>
        <w:rPr>
          <w:rFonts w:hint="eastAsia"/>
          <w:b/>
          <w:bCs/>
          <w:sz w:val="24"/>
          <w:highlight w:val="none"/>
        </w:rPr>
        <w:t>所有投标产品质量保证期不少于5年，免费质量保证期自项目验收合格之日起计算。</w:t>
      </w:r>
    </w:p>
    <w:p>
      <w:pPr>
        <w:rPr>
          <w:sz w:val="24"/>
          <w:highlight w:val="none"/>
        </w:rPr>
      </w:pPr>
      <w:r>
        <w:rPr>
          <w:rFonts w:hint="eastAsia"/>
          <w:sz w:val="24"/>
          <w:highlight w:val="none"/>
        </w:rPr>
        <w:t>2、投标产品属于国家规定“三包”范围的，其产品质量保证期不得低于“三包”规定。</w:t>
      </w:r>
    </w:p>
    <w:p>
      <w:pPr>
        <w:rPr>
          <w:sz w:val="24"/>
          <w:highlight w:val="none"/>
        </w:rPr>
      </w:pPr>
      <w:r>
        <w:rPr>
          <w:rFonts w:hint="eastAsia"/>
          <w:sz w:val="24"/>
          <w:highlight w:val="none"/>
        </w:rPr>
        <w:t>3、竞标人的质量保证期承诺优于国家“三包”规定的，按竞标人实际承诺执行。</w:t>
      </w:r>
    </w:p>
    <w:p>
      <w:pPr>
        <w:rPr>
          <w:sz w:val="24"/>
          <w:highlight w:val="none"/>
        </w:rPr>
      </w:pPr>
      <w:r>
        <w:rPr>
          <w:rFonts w:hint="eastAsia"/>
          <w:sz w:val="24"/>
          <w:highlight w:val="none"/>
        </w:rPr>
        <w:t>（二）售后服务内容</w:t>
      </w:r>
    </w:p>
    <w:p>
      <w:pPr>
        <w:rPr>
          <w:sz w:val="24"/>
          <w:highlight w:val="none"/>
        </w:rPr>
      </w:pPr>
      <w:r>
        <w:rPr>
          <w:rFonts w:hint="eastAsia"/>
          <w:sz w:val="24"/>
          <w:highlight w:val="none"/>
        </w:rPr>
        <w:t>1、</w:t>
      </w:r>
      <w:r>
        <w:rPr>
          <w:rFonts w:hint="eastAsia"/>
          <w:sz w:val="24"/>
          <w:highlight w:val="none"/>
          <w:lang w:eastAsia="zh-CN"/>
        </w:rPr>
        <w:t>成交供应商</w:t>
      </w:r>
      <w:r>
        <w:rPr>
          <w:rFonts w:hint="eastAsia"/>
          <w:sz w:val="24"/>
          <w:highlight w:val="none"/>
        </w:rPr>
        <w:t>提供的售后服务应符合GB/T 37652-2019《家具售后服务要求》。</w:t>
      </w:r>
    </w:p>
    <w:p>
      <w:pPr>
        <w:rPr>
          <w:sz w:val="24"/>
          <w:highlight w:val="none"/>
        </w:rPr>
      </w:pPr>
      <w:r>
        <w:rPr>
          <w:rFonts w:hint="eastAsia"/>
          <w:sz w:val="24"/>
          <w:highlight w:val="none"/>
        </w:rPr>
        <w:t>2、供应商应在质量保证期内应当为采购人提供以下技术支持和服务：</w:t>
      </w:r>
    </w:p>
    <w:p>
      <w:pPr>
        <w:rPr>
          <w:sz w:val="24"/>
          <w:highlight w:val="none"/>
        </w:rPr>
      </w:pPr>
      <w:r>
        <w:rPr>
          <w:rFonts w:hint="eastAsia"/>
          <w:sz w:val="24"/>
          <w:highlight w:val="none"/>
        </w:rPr>
        <w:t>（1）电话咨询</w:t>
      </w:r>
    </w:p>
    <w:p>
      <w:pPr>
        <w:rPr>
          <w:sz w:val="24"/>
          <w:highlight w:val="none"/>
        </w:rPr>
      </w:pPr>
      <w:r>
        <w:rPr>
          <w:rFonts w:hint="eastAsia"/>
          <w:sz w:val="24"/>
          <w:highlight w:val="none"/>
        </w:rPr>
        <w:t>供应商应当为采购人提供技术援助电话，解答采购人在使用中遇到的问题，及时为采购人提出解决问题的建议。</w:t>
      </w:r>
    </w:p>
    <w:p>
      <w:pPr>
        <w:rPr>
          <w:sz w:val="24"/>
          <w:highlight w:val="none"/>
        </w:rPr>
      </w:pPr>
      <w:r>
        <w:rPr>
          <w:rFonts w:hint="eastAsia"/>
          <w:sz w:val="24"/>
          <w:highlight w:val="none"/>
        </w:rPr>
        <w:t>（2）现场响应</w:t>
      </w:r>
    </w:p>
    <w:p>
      <w:pPr>
        <w:rPr>
          <w:sz w:val="24"/>
          <w:highlight w:val="none"/>
        </w:rPr>
      </w:pPr>
      <w:r>
        <w:rPr>
          <w:rFonts w:hint="eastAsia"/>
          <w:sz w:val="24"/>
          <w:highlight w:val="none"/>
        </w:rPr>
        <w:t>采购人遇到所有使用及技术问题，电话咨询不能解决的，供应商应在4小内到达现场免费进行处理，确保产品正常工作。</w:t>
      </w:r>
    </w:p>
    <w:p>
      <w:pPr>
        <w:rPr>
          <w:sz w:val="24"/>
          <w:highlight w:val="none"/>
        </w:rPr>
      </w:pPr>
      <w:r>
        <w:rPr>
          <w:rFonts w:hint="eastAsia"/>
          <w:sz w:val="24"/>
          <w:highlight w:val="none"/>
        </w:rPr>
        <w:t>3、质保期外服务要求</w:t>
      </w:r>
    </w:p>
    <w:p>
      <w:pPr>
        <w:rPr>
          <w:sz w:val="24"/>
          <w:highlight w:val="none"/>
        </w:rPr>
      </w:pPr>
      <w:r>
        <w:rPr>
          <w:rFonts w:hint="eastAsia"/>
          <w:sz w:val="24"/>
          <w:highlight w:val="none"/>
        </w:rPr>
        <w:t>（1）质量保证期过后，供应商应同样提供免费电话咨询服务，并应承诺提供产品上门维护服务。</w:t>
      </w:r>
    </w:p>
    <w:p>
      <w:pPr>
        <w:rPr>
          <w:sz w:val="24"/>
          <w:highlight w:val="none"/>
        </w:rPr>
      </w:pPr>
      <w:r>
        <w:rPr>
          <w:rFonts w:hint="eastAsia"/>
          <w:sz w:val="24"/>
          <w:highlight w:val="none"/>
        </w:rPr>
        <w:t>（2）质量保证期过后，采购人需要继续由原供应商提供售后服务的，该供应商应以优惠价格提供售后服务。</w:t>
      </w:r>
    </w:p>
    <w:p>
      <w:pPr>
        <w:rPr>
          <w:sz w:val="24"/>
          <w:highlight w:val="none"/>
        </w:rPr>
      </w:pPr>
      <w:r>
        <w:rPr>
          <w:rFonts w:hint="eastAsia"/>
          <w:sz w:val="24"/>
          <w:highlight w:val="none"/>
        </w:rPr>
        <w:t>（3）安装及维修时的备品备件及易损件须为原厂配件，未经需方同意，不得使用非原厂配件，且由供方根据实际情况免费提供。</w:t>
      </w:r>
    </w:p>
    <w:p>
      <w:pPr>
        <w:rPr>
          <w:sz w:val="24"/>
          <w:highlight w:val="none"/>
        </w:rPr>
      </w:pPr>
      <w:r>
        <w:rPr>
          <w:rFonts w:hint="eastAsia"/>
          <w:sz w:val="24"/>
          <w:highlight w:val="none"/>
        </w:rPr>
        <w:t>（三）若供应商有更优惠的售后服务，应当在投标文件中说明。</w:t>
      </w:r>
    </w:p>
    <w:p>
      <w:pPr>
        <w:rPr>
          <w:sz w:val="24"/>
          <w:highlight w:val="none"/>
        </w:rPr>
      </w:pPr>
    </w:p>
    <w:p>
      <w:pPr>
        <w:rPr>
          <w:b/>
          <w:bCs/>
          <w:sz w:val="24"/>
          <w:highlight w:val="none"/>
        </w:rPr>
      </w:pPr>
      <w:r>
        <w:rPr>
          <w:rFonts w:hint="eastAsia"/>
          <w:b/>
          <w:bCs/>
          <w:sz w:val="24"/>
          <w:highlight w:val="none"/>
        </w:rPr>
        <w:t>五、交货期、交货地点及验收方式</w:t>
      </w:r>
      <w:bookmarkEnd w:id="2"/>
    </w:p>
    <w:p>
      <w:pPr>
        <w:rPr>
          <w:sz w:val="24"/>
          <w:highlight w:val="none"/>
        </w:rPr>
      </w:pPr>
      <w:r>
        <w:rPr>
          <w:rFonts w:hint="eastAsia"/>
          <w:sz w:val="24"/>
          <w:highlight w:val="none"/>
        </w:rPr>
        <w:t>（一）交货期</w:t>
      </w:r>
    </w:p>
    <w:p>
      <w:pPr>
        <w:rPr>
          <w:b/>
          <w:bCs/>
          <w:sz w:val="24"/>
          <w:highlight w:val="none"/>
        </w:rPr>
      </w:pPr>
      <w:r>
        <w:rPr>
          <w:rFonts w:hint="eastAsia"/>
          <w:b/>
          <w:bCs/>
          <w:sz w:val="24"/>
          <w:highlight w:val="none"/>
        </w:rPr>
        <w:t>成交公告发布后15个工作日内完成送货并安装调试。</w:t>
      </w:r>
    </w:p>
    <w:p>
      <w:pPr>
        <w:rPr>
          <w:sz w:val="24"/>
          <w:highlight w:val="none"/>
        </w:rPr>
      </w:pPr>
      <w:r>
        <w:rPr>
          <w:rFonts w:hint="eastAsia"/>
          <w:sz w:val="24"/>
          <w:highlight w:val="none"/>
        </w:rPr>
        <w:t>（二）交货地点</w:t>
      </w:r>
    </w:p>
    <w:p>
      <w:pPr>
        <w:rPr>
          <w:sz w:val="24"/>
          <w:highlight w:val="none"/>
        </w:rPr>
      </w:pPr>
      <w:r>
        <w:rPr>
          <w:rFonts w:hint="eastAsia"/>
          <w:sz w:val="24"/>
          <w:highlight w:val="none"/>
        </w:rPr>
        <w:t>交货地点：重庆工商大学指定地点。</w:t>
      </w:r>
    </w:p>
    <w:p>
      <w:pPr>
        <w:rPr>
          <w:sz w:val="24"/>
          <w:highlight w:val="none"/>
        </w:rPr>
      </w:pPr>
      <w:r>
        <w:rPr>
          <w:rFonts w:hint="eastAsia"/>
          <w:sz w:val="24"/>
          <w:highlight w:val="none"/>
        </w:rPr>
        <w:t>（三）验收方式</w:t>
      </w:r>
    </w:p>
    <w:p>
      <w:pP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w:t>
      </w:r>
      <w:r>
        <w:rPr>
          <w:rFonts w:hint="default" w:ascii="宋体" w:hAnsi="宋体" w:cs="宋体"/>
          <w:kern w:val="0"/>
          <w:sz w:val="24"/>
          <w:szCs w:val="24"/>
          <w:highlight w:val="none"/>
        </w:rPr>
        <w:t>出厂核验</w:t>
      </w:r>
      <w:r>
        <w:rPr>
          <w:rFonts w:hint="eastAsia" w:ascii="宋体" w:hAnsi="宋体" w:cs="宋体"/>
          <w:kern w:val="0"/>
          <w:sz w:val="24"/>
          <w:szCs w:val="24"/>
          <w:highlight w:val="none"/>
          <w:lang w:eastAsia="zh-CN"/>
        </w:rPr>
        <w:t>。成交供应商</w:t>
      </w:r>
      <w:r>
        <w:rPr>
          <w:rFonts w:hint="default" w:ascii="宋体" w:hAnsi="宋体" w:cs="宋体"/>
          <w:kern w:val="0"/>
          <w:sz w:val="24"/>
          <w:szCs w:val="24"/>
          <w:highlight w:val="none"/>
        </w:rPr>
        <w:t>供货前，做好所投产品的出厂核验，确保其技术参数和规格型号完全满足采购文件的相关要求。</w:t>
      </w:r>
    </w:p>
    <w:p>
      <w:pPr>
        <w:rPr>
          <w:rFonts w:hint="eastAsia" w:eastAsiaTheme="minorEastAsia"/>
          <w:sz w:val="24"/>
          <w:highlight w:val="none"/>
          <w:lang w:val="en-US" w:eastAsia="zh-CN"/>
        </w:rPr>
      </w:pPr>
      <w:r>
        <w:rPr>
          <w:rFonts w:hint="eastAsia" w:ascii="宋体" w:hAnsi="宋体" w:cs="宋体"/>
          <w:kern w:val="0"/>
          <w:sz w:val="24"/>
          <w:szCs w:val="24"/>
          <w:highlight w:val="none"/>
          <w:lang w:val="en-US" w:eastAsia="zh-CN"/>
        </w:rPr>
        <w:t>2、</w:t>
      </w:r>
      <w:r>
        <w:rPr>
          <w:rFonts w:hint="eastAsia" w:ascii="宋体" w:hAnsi="宋体" w:cs="宋体"/>
          <w:kern w:val="0"/>
          <w:sz w:val="24"/>
          <w:szCs w:val="24"/>
          <w:highlight w:val="none"/>
        </w:rPr>
        <w:t>到货验收。货物到达现场后，采购人需求部门应做好到货验收，严格按照合同及</w:t>
      </w:r>
      <w:r>
        <w:rPr>
          <w:rFonts w:hint="eastAsia" w:ascii="宋体" w:hAnsi="宋体" w:cs="宋体"/>
          <w:kern w:val="0"/>
          <w:sz w:val="24"/>
          <w:szCs w:val="24"/>
          <w:highlight w:val="none"/>
          <w:lang w:eastAsia="zh-CN"/>
        </w:rPr>
        <w:t>采购</w:t>
      </w:r>
      <w:r>
        <w:rPr>
          <w:rFonts w:hint="eastAsia" w:ascii="宋体" w:hAnsi="宋体" w:cs="宋体"/>
          <w:kern w:val="0"/>
          <w:sz w:val="24"/>
          <w:szCs w:val="24"/>
          <w:highlight w:val="none"/>
        </w:rPr>
        <w:t>文件的产品清单核实查验到货产品的品牌、型号及规格参数。</w:t>
      </w:r>
      <w:r>
        <w:rPr>
          <w:rFonts w:hint="eastAsia" w:ascii="宋体" w:hAnsi="宋体" w:cs="宋体"/>
          <w:kern w:val="0"/>
          <w:sz w:val="24"/>
          <w:szCs w:val="24"/>
          <w:highlight w:val="none"/>
          <w:lang w:eastAsia="zh-CN"/>
        </w:rPr>
        <w:t>成交供应商</w:t>
      </w:r>
      <w:r>
        <w:rPr>
          <w:rFonts w:hint="eastAsia" w:ascii="宋体" w:hAnsi="宋体" w:cs="宋体"/>
          <w:kern w:val="0"/>
          <w:sz w:val="24"/>
          <w:szCs w:val="24"/>
          <w:highlight w:val="none"/>
        </w:rPr>
        <w:t>应在采购人需求部门在场情况下当面开箱，共同清点、检查外观，作出开箱记录，双方签字确认。若到货产品品牌、型号及规格参数等与合同及招标文件的规定不符的，</w:t>
      </w:r>
      <w:r>
        <w:rPr>
          <w:rFonts w:hint="eastAsia" w:ascii="宋体" w:hAnsi="宋体" w:cs="宋体"/>
          <w:kern w:val="0"/>
          <w:sz w:val="24"/>
          <w:szCs w:val="24"/>
          <w:highlight w:val="none"/>
          <w:lang w:eastAsia="zh-CN"/>
        </w:rPr>
        <w:t>成交供应商</w:t>
      </w:r>
      <w:r>
        <w:rPr>
          <w:rFonts w:hint="eastAsia" w:ascii="宋体" w:hAnsi="宋体" w:cs="宋体"/>
          <w:kern w:val="0"/>
          <w:sz w:val="24"/>
          <w:szCs w:val="24"/>
          <w:highlight w:val="none"/>
        </w:rPr>
        <w:t>不得进行设备安装，采购人需求部门应及时告知采购人采购管理部门与归口管理部门。</w:t>
      </w:r>
    </w:p>
    <w:p>
      <w:pPr>
        <w:rPr>
          <w:sz w:val="24"/>
          <w:highlight w:val="none"/>
        </w:rPr>
      </w:pPr>
      <w:r>
        <w:rPr>
          <w:rFonts w:hint="eastAsia"/>
          <w:sz w:val="24"/>
          <w:highlight w:val="none"/>
          <w:lang w:val="en-US" w:eastAsia="zh-CN"/>
        </w:rPr>
        <w:t>3</w:t>
      </w:r>
      <w:r>
        <w:rPr>
          <w:rFonts w:hint="eastAsia"/>
          <w:sz w:val="24"/>
          <w:highlight w:val="none"/>
        </w:rPr>
        <w:t>、货物到达现场后，供应商应在使用单位人员在场情况下当面开箱，共同清点、检查外观，作出开箱记录，双方签字确认。</w:t>
      </w:r>
    </w:p>
    <w:p>
      <w:pPr>
        <w:rPr>
          <w:sz w:val="24"/>
          <w:highlight w:val="none"/>
        </w:rPr>
      </w:pPr>
      <w:r>
        <w:rPr>
          <w:rFonts w:hint="eastAsia"/>
          <w:sz w:val="24"/>
          <w:highlight w:val="none"/>
          <w:lang w:val="en-US" w:eastAsia="zh-CN"/>
        </w:rPr>
        <w:t>4</w:t>
      </w:r>
      <w:r>
        <w:rPr>
          <w:rFonts w:hint="eastAsia"/>
          <w:sz w:val="24"/>
          <w:highlight w:val="none"/>
        </w:rPr>
        <w:t>、供应商应保证货物到达采购人所在地完好无损，如有缺漏、损坏，由供应商负责调换、补齐或赔偿。</w:t>
      </w:r>
    </w:p>
    <w:p>
      <w:pPr>
        <w:rPr>
          <w:sz w:val="24"/>
          <w:highlight w:val="none"/>
        </w:rPr>
      </w:pPr>
      <w:r>
        <w:rPr>
          <w:rFonts w:hint="eastAsia"/>
          <w:sz w:val="24"/>
          <w:highlight w:val="none"/>
          <w:lang w:val="en-US" w:eastAsia="zh-CN"/>
        </w:rPr>
        <w:t>5</w:t>
      </w:r>
      <w:r>
        <w:rPr>
          <w:rFonts w:hint="eastAsia"/>
          <w:sz w:val="24"/>
          <w:highlight w:val="none"/>
        </w:rPr>
        <w:t>、供应商应提供完备的技术资料、装箱单和合格证等，并派遣专业技术人员进行现场安装调试。验收合格条件如下：</w:t>
      </w:r>
    </w:p>
    <w:p>
      <w:pPr>
        <w:rPr>
          <w:sz w:val="24"/>
          <w:highlight w:val="none"/>
        </w:rPr>
      </w:pPr>
      <w:r>
        <w:rPr>
          <w:rFonts w:hint="eastAsia"/>
          <w:sz w:val="24"/>
          <w:highlight w:val="none"/>
        </w:rPr>
        <w:t>（1）设备技术参数与采购合同一致，性能指标达到规定的标准。</w:t>
      </w:r>
    </w:p>
    <w:p>
      <w:pPr>
        <w:rPr>
          <w:sz w:val="24"/>
          <w:highlight w:val="none"/>
        </w:rPr>
      </w:pPr>
      <w:r>
        <w:rPr>
          <w:rFonts w:hint="eastAsia"/>
          <w:sz w:val="24"/>
          <w:highlight w:val="none"/>
        </w:rPr>
        <w:t>（2）货物技术资料、装箱单、合格证等资料齐全。</w:t>
      </w:r>
    </w:p>
    <w:p>
      <w:pPr>
        <w:rPr>
          <w:sz w:val="24"/>
          <w:highlight w:val="none"/>
        </w:rPr>
      </w:pPr>
      <w:r>
        <w:rPr>
          <w:rFonts w:hint="eastAsia"/>
          <w:sz w:val="24"/>
          <w:highlight w:val="none"/>
        </w:rPr>
        <w:t>（3）在系统试运行期间所出现的问题得到解决，并运行正常。</w:t>
      </w:r>
    </w:p>
    <w:p>
      <w:pPr>
        <w:rPr>
          <w:sz w:val="24"/>
          <w:highlight w:val="none"/>
        </w:rPr>
      </w:pPr>
      <w:r>
        <w:rPr>
          <w:rFonts w:hint="eastAsia"/>
          <w:sz w:val="24"/>
          <w:highlight w:val="none"/>
        </w:rPr>
        <w:t>（4）在规定时间内完成交货并验收，并经采购人确认。</w:t>
      </w:r>
    </w:p>
    <w:p>
      <w:pPr>
        <w:rPr>
          <w:rFonts w:hint="default"/>
          <w:sz w:val="24"/>
          <w:highlight w:val="none"/>
        </w:rPr>
      </w:pPr>
      <w:r>
        <w:rPr>
          <w:rFonts w:hint="eastAsia"/>
          <w:sz w:val="24"/>
          <w:highlight w:val="none"/>
          <w:lang w:val="en-US" w:eastAsia="zh-CN"/>
        </w:rPr>
        <w:t>6</w:t>
      </w:r>
      <w:r>
        <w:rPr>
          <w:rFonts w:hint="eastAsia"/>
          <w:sz w:val="24"/>
          <w:highlight w:val="none"/>
        </w:rPr>
        <w:t>、产品在安装调试并试运行符合合同及招标文件相关要求后，方可进行最终验收</w:t>
      </w:r>
      <w:r>
        <w:rPr>
          <w:rFonts w:hint="eastAsia"/>
          <w:sz w:val="24"/>
          <w:highlight w:val="none"/>
          <w:lang w:eastAsia="zh-CN"/>
        </w:rPr>
        <w:t>，</w:t>
      </w:r>
      <w:r>
        <w:rPr>
          <w:rFonts w:hint="eastAsia"/>
          <w:sz w:val="24"/>
          <w:highlight w:val="none"/>
          <w:lang w:val="en-US" w:eastAsia="zh-CN"/>
        </w:rPr>
        <w:t>由采购人资产管理处组织最终验收</w:t>
      </w:r>
      <w:r>
        <w:rPr>
          <w:rFonts w:hint="eastAsia"/>
          <w:sz w:val="24"/>
          <w:highlight w:val="none"/>
        </w:rPr>
        <w:t>。</w:t>
      </w:r>
    </w:p>
    <w:p>
      <w:pPr>
        <w:rPr>
          <w:sz w:val="24"/>
          <w:highlight w:val="none"/>
        </w:rPr>
      </w:pPr>
      <w:r>
        <w:rPr>
          <w:rFonts w:hint="eastAsia"/>
          <w:sz w:val="24"/>
          <w:highlight w:val="none"/>
          <w:lang w:val="en-US" w:eastAsia="zh-CN"/>
        </w:rPr>
        <w:t>7</w:t>
      </w:r>
      <w:r>
        <w:rPr>
          <w:rFonts w:hint="eastAsia"/>
          <w:sz w:val="24"/>
          <w:highlight w:val="none"/>
        </w:rPr>
        <w:t>、供应商提供的货物未达到竞价文件规定要求，由供应商承担一切责任，并赔偿所造成的损失。</w:t>
      </w:r>
    </w:p>
    <w:p>
      <w:pPr>
        <w:rPr>
          <w:sz w:val="24"/>
          <w:highlight w:val="none"/>
        </w:rPr>
      </w:pPr>
      <w:r>
        <w:rPr>
          <w:rFonts w:hint="eastAsia"/>
          <w:sz w:val="24"/>
          <w:highlight w:val="none"/>
          <w:lang w:val="en-US" w:eastAsia="zh-CN"/>
        </w:rPr>
        <w:t>8</w:t>
      </w:r>
      <w:r>
        <w:rPr>
          <w:rFonts w:hint="eastAsia"/>
          <w:sz w:val="24"/>
          <w:highlight w:val="none"/>
        </w:rPr>
        <w:t>、采购人需要制造商对供应商交付的产品（包括质量、技术参数等）进行确认的，制造商应予以配合，并出具书面意见。</w:t>
      </w:r>
    </w:p>
    <w:p>
      <w:pPr>
        <w:rPr>
          <w:sz w:val="24"/>
          <w:highlight w:val="none"/>
        </w:rPr>
      </w:pPr>
      <w:r>
        <w:rPr>
          <w:rFonts w:hint="eastAsia"/>
          <w:sz w:val="24"/>
          <w:highlight w:val="none"/>
          <w:lang w:val="en-US" w:eastAsia="zh-CN"/>
        </w:rPr>
        <w:t>9</w:t>
      </w:r>
      <w:r>
        <w:rPr>
          <w:rFonts w:hint="eastAsia"/>
          <w:sz w:val="24"/>
          <w:highlight w:val="none"/>
        </w:rPr>
        <w:t>.产品包装材料归采购人所有。</w:t>
      </w:r>
    </w:p>
    <w:p>
      <w:pPr>
        <w:rPr>
          <w:sz w:val="24"/>
          <w:highlight w:val="none"/>
        </w:rPr>
      </w:pPr>
    </w:p>
    <w:p>
      <w:pPr>
        <w:rPr>
          <w:b/>
          <w:bCs/>
          <w:sz w:val="24"/>
          <w:highlight w:val="none"/>
        </w:rPr>
      </w:pPr>
      <w:r>
        <w:rPr>
          <w:rFonts w:hint="eastAsia"/>
          <w:b/>
          <w:bCs/>
          <w:sz w:val="24"/>
          <w:highlight w:val="none"/>
        </w:rPr>
        <w:t>六、付款方式</w:t>
      </w:r>
    </w:p>
    <w:p>
      <w:pPr>
        <w:rPr>
          <w:sz w:val="24"/>
          <w:highlight w:val="none"/>
        </w:rPr>
      </w:pPr>
      <w:r>
        <w:rPr>
          <w:rFonts w:hint="eastAsia"/>
          <w:sz w:val="24"/>
          <w:highlight w:val="none"/>
        </w:rPr>
        <w:t>1、供应商按采购合同交货并安装调试完成，经验收合格后采购人出具项目验收报告；</w:t>
      </w:r>
    </w:p>
    <w:p>
      <w:pPr>
        <w:rPr>
          <w:sz w:val="24"/>
          <w:highlight w:val="none"/>
        </w:rPr>
      </w:pPr>
      <w:r>
        <w:rPr>
          <w:rFonts w:hint="eastAsia"/>
          <w:sz w:val="24"/>
          <w:highlight w:val="none"/>
        </w:rPr>
        <w:t>2、供应商向采购人开具增值税专用发票含抵扣联和记账联（若项目为硬件和软件一体的，应分别开具硬件、软件（服务）的发票），协助使用部门办理入库手续后，采购人以转账方式一次性向供应商支付合同全款。</w:t>
      </w:r>
    </w:p>
    <w:p>
      <w:pPr>
        <w:rPr>
          <w:sz w:val="24"/>
          <w:highlight w:val="none"/>
        </w:rPr>
      </w:pPr>
      <w:r>
        <w:rPr>
          <w:rFonts w:hint="eastAsia"/>
          <w:sz w:val="24"/>
          <w:highlight w:val="none"/>
        </w:rPr>
        <w:t>注：如遇寒暑假或国家重大事件，则顺延至开学或条件允许后支付。</w:t>
      </w:r>
    </w:p>
    <w:p>
      <w:pPr>
        <w:numPr>
          <w:ilvl w:val="255"/>
          <w:numId w:val="0"/>
        </w:numPr>
        <w:spacing w:line="400" w:lineRule="exact"/>
        <w:rPr>
          <w:rFonts w:ascii="Times New Roman" w:hAnsi="Times New Roman" w:cs="Times New Roman"/>
          <w:b/>
          <w:bCs/>
          <w:sz w:val="24"/>
          <w:highlight w:val="none"/>
        </w:rPr>
      </w:pPr>
      <w:r>
        <w:rPr>
          <w:rFonts w:hint="eastAsia" w:ascii="Times New Roman" w:hAnsi="Times New Roman" w:cs="Times New Roman"/>
          <w:b/>
          <w:bCs/>
          <w:sz w:val="24"/>
          <w:highlight w:val="none"/>
          <w:lang w:val="en-US" w:eastAsia="zh-CN"/>
        </w:rPr>
        <w:t>七、</w:t>
      </w:r>
      <w:r>
        <w:rPr>
          <w:rFonts w:ascii="Times New Roman" w:hAnsi="Times New Roman" w:cs="Times New Roman"/>
          <w:b/>
          <w:bCs/>
          <w:sz w:val="24"/>
          <w:highlight w:val="none"/>
        </w:rPr>
        <w:t>履约保证金收取及退还</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1、履约保证金成交供应商须在签订合同前向采购人开户银行汇入合同金额5%的履约保证金（合同金额≥5万元），确保项目按期、按质进行。成交供应商若发生部分违约现象，学校从履约保证金中扣除相应金额的违约金；若发现严重违约现象，学校有充分理由没收其全额保证金。扣除的履约保证金，成交供应商应在30个日历日内补足。服务期结束验收合格且无遗留问题的前提下退还履约保证金（不计利息）。成交供应商申请退还履约保证金时须提供使用部门、资产管理处签署的《重庆工商大学付款项目质量评估报告》。</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2、履约保证金缴纳方式：以转账、电汇等方式到重庆工商大学指定的银行基本账户，不得以现金或其他方式划入任何个人账户，否则由此产生的所有损失由竞标人自行承担。成交供应商务必在汇款凭证上注明“CTBU-JZ2023038”。</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3、履约保证金指定收取账户</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户名：重庆工商大学</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开户行：工行重庆南岸学府支行</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账号：9558 8531 0075 3300 031</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统一社会信用代码:125000007428748822</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重庆工商大学咨询电话：023-62769774</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4、履约保证金退还方式</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在合同质保期结束后，成交供应商申请退履约保证金时，由采购人牵头组织相关部门进行考核后，根据考核情况退回履约保证金。</w:t>
      </w:r>
    </w:p>
    <w:p>
      <w:pPr>
        <w:rPr>
          <w:sz w:val="24"/>
          <w:highlight w:val="none"/>
        </w:rPr>
      </w:pPr>
      <w:r>
        <w:rPr>
          <w:rFonts w:hint="eastAsia"/>
          <w:b/>
          <w:sz w:val="24"/>
          <w:highlight w:val="none"/>
          <w:lang w:val="en-US" w:eastAsia="zh-CN"/>
        </w:rPr>
        <w:t>八、</w:t>
      </w:r>
      <w:r>
        <w:rPr>
          <w:rFonts w:hint="eastAsia"/>
          <w:b/>
          <w:sz w:val="24"/>
          <w:highlight w:val="none"/>
        </w:rPr>
        <w:t>违约责任</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一）评审结束后，采购人可通过现场考察、函询等多种方式对成交供应商的投标文件响应情况予以核查，成交供应商须无条件配合并提供有关证明材料，证明其响应内容的真实有效性。采购人若发现成交供应商进行虚假响应或提供虚假材料的，有权取消成交供应商的中标资格，全额没收投标保证金；若在合同签订后查实成交供应商进行虚假响应或提供虚假材料的，采购人有权单方面终止合同，全额没收履约保证金。</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（二）若成交供应商发生部分违约现象，采购人从履约保证金中扣除相应金额的违约金；若发现严重违约现象，采购人有充分理由没收其全额保证金。</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1.非不可抗力情况下，因成交供应商自身原因终止履行合同的，履约保证金全额不予退还；</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2.若成交供应商未能按合同和采购文件要求供货或提供服务的，履约保证金全额不予退还；</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3.非不可抗力情况下，因成交供应商自身原因超过合同交货期限仍未送货安装调试达到验收要求的，超期1天，采购人扣除成交供应商履约保证金的3%作为违约惩罚，以此类推；</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4.因不可抗力，或采购人自身原因，致使交货期限延后的，成交供应商不承担相应违约责任。但成交供应商须提供采购人使用部门出具的同意延迟交货以及确定延迟交货期的书面情况说明，采购人使用部门负责人签字并加盖采购人使用部门鲜章。</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（三）</w:t>
      </w:r>
      <w:r>
        <w:rPr>
          <w:rFonts w:hint="eastAsia" w:ascii="宋体" w:hAnsi="宋体" w:cs="宋体"/>
          <w:color w:val="000000"/>
          <w:sz w:val="24"/>
          <w:highlight w:val="none"/>
          <w:u w:color="000000"/>
        </w:rPr>
        <w:t>若</w:t>
      </w:r>
      <w:r>
        <w:rPr>
          <w:rFonts w:hint="eastAsia" w:ascii="宋体" w:hAnsi="宋体" w:cs="宋体"/>
          <w:color w:val="000000"/>
          <w:sz w:val="24"/>
          <w:highlight w:val="none"/>
          <w:u w:color="000000"/>
          <w:lang w:eastAsia="zh-CN"/>
        </w:rPr>
        <w:t>供应商</w:t>
      </w:r>
      <w:r>
        <w:rPr>
          <w:rFonts w:hint="eastAsia" w:ascii="宋体" w:hAnsi="宋体" w:cs="宋体"/>
          <w:color w:val="000000"/>
          <w:sz w:val="24"/>
          <w:highlight w:val="none"/>
          <w:u w:color="000000"/>
        </w:rPr>
        <w:t>在投标或履约过程中有虚假响应或合同违约行为的，或正式验收或使用过程中，若经</w:t>
      </w:r>
      <w:r>
        <w:rPr>
          <w:rFonts w:hint="eastAsia" w:ascii="宋体" w:hAnsi="宋体" w:cs="宋体"/>
          <w:color w:val="000000"/>
          <w:sz w:val="24"/>
          <w:highlight w:val="none"/>
          <w:u w:color="000000"/>
          <w:lang w:eastAsia="zh-CN"/>
        </w:rPr>
        <w:t>采购人或</w:t>
      </w:r>
      <w:r>
        <w:rPr>
          <w:rFonts w:hint="eastAsia" w:ascii="宋体" w:hAnsi="宋体" w:cs="宋体"/>
          <w:color w:val="000000"/>
          <w:sz w:val="24"/>
          <w:highlight w:val="none"/>
          <w:u w:color="000000"/>
        </w:rPr>
        <w:t>第三方检测机构验证不合格，除须承担相应的经济赔偿责任之外，</w:t>
      </w:r>
      <w:r>
        <w:rPr>
          <w:rFonts w:hint="eastAsia" w:ascii="宋体" w:hAnsi="宋体" w:cs="宋体"/>
          <w:color w:val="000000"/>
          <w:sz w:val="24"/>
          <w:highlight w:val="none"/>
          <w:u w:color="000000"/>
          <w:lang w:eastAsia="zh-CN"/>
        </w:rPr>
        <w:t>采购人</w:t>
      </w:r>
      <w:r>
        <w:rPr>
          <w:rFonts w:hint="eastAsia" w:ascii="宋体" w:hAnsi="宋体" w:cs="宋体"/>
          <w:color w:val="000000"/>
          <w:sz w:val="24"/>
          <w:highlight w:val="none"/>
          <w:u w:color="000000"/>
        </w:rPr>
        <w:t>有权终止合同，</w:t>
      </w:r>
      <w:r>
        <w:rPr>
          <w:rFonts w:hint="eastAsia" w:ascii="宋体" w:hAnsi="宋体" w:cs="宋体"/>
          <w:color w:val="000000"/>
          <w:sz w:val="24"/>
          <w:highlight w:val="none"/>
          <w:u w:color="000000"/>
          <w:lang w:eastAsia="zh-CN"/>
        </w:rPr>
        <w:t>并</w:t>
      </w:r>
      <w:r>
        <w:rPr>
          <w:rFonts w:hint="eastAsia" w:ascii="宋体" w:hAnsi="宋体" w:cs="宋体"/>
          <w:color w:val="000000"/>
          <w:sz w:val="24"/>
          <w:highlight w:val="none"/>
          <w:u w:color="000000"/>
        </w:rPr>
        <w:t>报送至重庆市财政局和重庆市政府采购中心，将其列入云平台采购黑名单</w:t>
      </w:r>
      <w:r>
        <w:rPr>
          <w:rFonts w:hint="eastAsia" w:ascii="宋体" w:hAnsi="宋体" w:cs="宋体"/>
          <w:color w:val="000000"/>
          <w:sz w:val="24"/>
          <w:highlight w:val="none"/>
          <w:u w:color="000000"/>
          <w:lang w:eastAsia="zh-CN"/>
        </w:rPr>
        <w:t>，且</w:t>
      </w:r>
      <w:r>
        <w:rPr>
          <w:rFonts w:hint="eastAsia" w:ascii="宋体" w:hAnsi="宋体" w:cs="宋体"/>
          <w:color w:val="000000"/>
          <w:sz w:val="24"/>
          <w:highlight w:val="none"/>
          <w:u w:color="000000"/>
        </w:rPr>
        <w:t>五年内不得参与需方相关项目</w:t>
      </w:r>
      <w:r>
        <w:rPr>
          <w:rFonts w:hint="eastAsia" w:ascii="宋体" w:hAnsi="宋体"/>
          <w:sz w:val="24"/>
          <w:szCs w:val="24"/>
          <w:highlight w:val="none"/>
          <w:lang w:val="en-US" w:eastAsia="zh-CN"/>
        </w:rPr>
        <w:t>。</w:t>
      </w:r>
    </w:p>
    <w:p>
      <w:pPr>
        <w:rPr>
          <w:sz w:val="24"/>
          <w:highlight w:val="none"/>
        </w:rPr>
      </w:pPr>
      <w:r>
        <w:rPr>
          <w:rFonts w:hint="eastAsia" w:ascii="宋体" w:hAnsi="宋体"/>
          <w:sz w:val="24"/>
          <w:szCs w:val="24"/>
          <w:highlight w:val="none"/>
          <w:lang w:val="en-US" w:eastAsia="zh-CN"/>
        </w:rPr>
        <w:t>（四）其他未尽事宜按《中华人民共和国民法典》、《政府采购法》执行。</w:t>
      </w:r>
    </w:p>
    <w:p>
      <w:pPr>
        <w:rPr>
          <w:b/>
          <w:bCs/>
          <w:sz w:val="24"/>
          <w:highlight w:val="none"/>
        </w:rPr>
      </w:pPr>
      <w:r>
        <w:rPr>
          <w:rFonts w:hint="eastAsia"/>
          <w:b/>
          <w:bCs/>
          <w:sz w:val="24"/>
          <w:highlight w:val="none"/>
          <w:lang w:val="en-US" w:eastAsia="zh-CN"/>
        </w:rPr>
        <w:t>九</w:t>
      </w:r>
      <w:r>
        <w:rPr>
          <w:rFonts w:hint="eastAsia"/>
          <w:b/>
          <w:bCs/>
          <w:sz w:val="24"/>
          <w:highlight w:val="none"/>
        </w:rPr>
        <w:t>、其他注意事项</w:t>
      </w:r>
    </w:p>
    <w:p>
      <w:pPr>
        <w:rPr>
          <w:sz w:val="24"/>
          <w:highlight w:val="none"/>
        </w:rPr>
      </w:pPr>
      <w:r>
        <w:rPr>
          <w:rFonts w:hint="eastAsia"/>
          <w:sz w:val="24"/>
          <w:highlight w:val="none"/>
        </w:rPr>
        <w:t>本项目的最终解释权归属于采购人采购与招投标管理中心。</w:t>
      </w:r>
    </w:p>
    <w:p>
      <w:pPr>
        <w:widowControl/>
        <w:jc w:val="center"/>
        <w:rPr>
          <w:sz w:val="24"/>
          <w:highlight w:val="none"/>
        </w:rPr>
      </w:pPr>
      <w:r>
        <w:rPr>
          <w:sz w:val="24"/>
          <w:highlight w:val="none"/>
        </w:rPr>
        <w:br w:type="page"/>
      </w:r>
      <w:bookmarkStart w:id="3" w:name="_Toc5567522"/>
    </w:p>
    <w:p>
      <w:pPr>
        <w:widowControl/>
        <w:jc w:val="left"/>
        <w:rPr>
          <w:b/>
          <w:sz w:val="24"/>
          <w:highlight w:val="none"/>
        </w:rPr>
      </w:pPr>
      <w:r>
        <w:rPr>
          <w:b/>
          <w:sz w:val="24"/>
          <w:highlight w:val="none"/>
        </w:rPr>
        <w:t>附件</w:t>
      </w:r>
      <w:r>
        <w:rPr>
          <w:rFonts w:hint="eastAsia"/>
          <w:b/>
          <w:sz w:val="24"/>
          <w:highlight w:val="none"/>
        </w:rPr>
        <w:t>1：</w:t>
      </w:r>
    </w:p>
    <w:p>
      <w:pPr>
        <w:widowControl/>
        <w:jc w:val="center"/>
        <w:rPr>
          <w:sz w:val="24"/>
          <w:highlight w:val="none"/>
        </w:rPr>
      </w:pPr>
      <w:r>
        <w:rPr>
          <w:rFonts w:hint="eastAsia"/>
          <w:b/>
          <w:sz w:val="24"/>
          <w:highlight w:val="none"/>
        </w:rPr>
        <w:t>需求清单及参数</w:t>
      </w:r>
    </w:p>
    <w:tbl>
      <w:tblPr>
        <w:tblStyle w:val="10"/>
        <w:tblW w:w="4995" w:type="pct"/>
        <w:jc w:val="center"/>
        <w:tblLayout w:type="fixed"/>
        <w:tblCellMar>
          <w:top w:w="0" w:type="dxa"/>
          <w:left w:w="108" w:type="dxa"/>
          <w:bottom w:w="0" w:type="dxa"/>
          <w:right w:w="108" w:type="dxa"/>
        </w:tblCellMar>
      </w:tblPr>
      <w:tblGrid>
        <w:gridCol w:w="573"/>
        <w:gridCol w:w="789"/>
        <w:gridCol w:w="229"/>
        <w:gridCol w:w="2017"/>
        <w:gridCol w:w="1082"/>
        <w:gridCol w:w="3100"/>
        <w:gridCol w:w="532"/>
        <w:gridCol w:w="429"/>
        <w:gridCol w:w="1094"/>
      </w:tblGrid>
      <w:tr>
        <w:tblPrEx>
          <w:tblCellMar>
            <w:top w:w="0" w:type="dxa"/>
            <w:left w:w="108" w:type="dxa"/>
            <w:bottom w:w="0" w:type="dxa"/>
            <w:right w:w="108" w:type="dxa"/>
          </w:tblCellMar>
        </w:tblPrEx>
        <w:trPr>
          <w:trHeight w:val="90"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序号</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产品名称</w:t>
            </w:r>
          </w:p>
        </w:tc>
        <w:tc>
          <w:tcPr>
            <w:tcW w:w="1140" w:type="pct"/>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图片款式</w:t>
            </w: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规格尺寸（长*宽*高mm）</w:t>
            </w:r>
          </w:p>
        </w:tc>
        <w:tc>
          <w:tcPr>
            <w:tcW w:w="1574"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技术参数</w:t>
            </w: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数量</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单位</w:t>
            </w:r>
          </w:p>
        </w:tc>
        <w:tc>
          <w:tcPr>
            <w:tcW w:w="555"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备注</w:t>
            </w:r>
          </w:p>
        </w:tc>
      </w:tr>
      <w:tr>
        <w:tblPrEx>
          <w:tblCellMar>
            <w:top w:w="0" w:type="dxa"/>
            <w:left w:w="108" w:type="dxa"/>
            <w:bottom w:w="0" w:type="dxa"/>
            <w:right w:w="108" w:type="dxa"/>
          </w:tblCellMar>
        </w:tblPrEx>
        <w:trPr>
          <w:jc w:val="center"/>
        </w:trPr>
        <w:tc>
          <w:tcPr>
            <w:tcW w:w="3956" w:type="pct"/>
            <w:gridSpan w:val="6"/>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lang w:val="en-US" w:eastAsia="zh-CN"/>
              </w:rPr>
              <w:t xml:space="preserve">       </w:t>
            </w:r>
            <w:r>
              <w:rPr>
                <w:rFonts w:hint="default" w:ascii="Times New Roman" w:hAnsi="Times New Roman" w:eastAsia="宋体" w:cs="Times New Roman"/>
                <w:b/>
                <w:bCs/>
                <w:sz w:val="21"/>
                <w:szCs w:val="21"/>
                <w:highlight w:val="none"/>
                <w:lang w:val="en-US" w:eastAsia="zh-CN"/>
              </w:rPr>
              <w:t xml:space="preserve">         国合基地</w:t>
            </w:r>
            <w:r>
              <w:rPr>
                <w:rFonts w:hint="default" w:ascii="Times New Roman" w:hAnsi="Times New Roman" w:eastAsia="宋体" w:cs="Times New Roman"/>
                <w:b/>
                <w:bCs/>
                <w:sz w:val="21"/>
                <w:szCs w:val="21"/>
                <w:highlight w:val="none"/>
              </w:rPr>
              <w:t>（联系人：</w:t>
            </w:r>
            <w:r>
              <w:rPr>
                <w:rFonts w:hint="default" w:ascii="Times New Roman" w:hAnsi="Times New Roman" w:eastAsia="宋体" w:cs="Times New Roman"/>
                <w:b/>
                <w:bCs/>
                <w:sz w:val="21"/>
                <w:szCs w:val="21"/>
                <w:highlight w:val="none"/>
                <w:lang w:val="en-US" w:eastAsia="zh-CN"/>
              </w:rPr>
              <w:t>肖</w:t>
            </w:r>
            <w:r>
              <w:rPr>
                <w:rFonts w:hint="default" w:ascii="Times New Roman" w:hAnsi="Times New Roman" w:eastAsia="宋体" w:cs="Times New Roman"/>
                <w:b/>
                <w:bCs/>
                <w:sz w:val="21"/>
                <w:szCs w:val="21"/>
                <w:highlight w:val="none"/>
              </w:rPr>
              <w:t>老师</w:t>
            </w:r>
            <w:r>
              <w:rPr>
                <w:rFonts w:hint="default" w:ascii="Times New Roman" w:hAnsi="Times New Roman" w:eastAsia="宋体" w:cs="Times New Roman"/>
                <w:b/>
                <w:bCs/>
                <w:sz w:val="21"/>
                <w:szCs w:val="21"/>
                <w:highlight w:val="none"/>
                <w:lang w:val="en-US" w:eastAsia="zh-CN"/>
              </w:rPr>
              <w:t>，13452342648</w:t>
            </w:r>
            <w:r>
              <w:rPr>
                <w:rFonts w:hint="default" w:ascii="Times New Roman" w:hAnsi="Times New Roman" w:eastAsia="宋体" w:cs="Times New Roman"/>
                <w:b/>
                <w:bCs/>
                <w:sz w:val="21"/>
                <w:szCs w:val="21"/>
                <w:highlight w:val="none"/>
              </w:rPr>
              <w:t>）</w:t>
            </w: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c>
          <w:tcPr>
            <w:tcW w:w="555"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r>
      <w:tr>
        <w:tblPrEx>
          <w:tblCellMar>
            <w:top w:w="0" w:type="dxa"/>
            <w:left w:w="108" w:type="dxa"/>
            <w:bottom w:w="0" w:type="dxa"/>
            <w:right w:w="108" w:type="dxa"/>
          </w:tblCellMar>
        </w:tblPrEx>
        <w:trPr>
          <w:trHeight w:val="495"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1</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sz w:val="21"/>
                <w:szCs w:val="21"/>
                <w:highlight w:val="none"/>
              </w:rPr>
              <w:t>钢木边台</w:t>
            </w:r>
          </w:p>
        </w:tc>
        <w:tc>
          <w:tcPr>
            <w:tcW w:w="1140" w:type="pct"/>
            <w:gridSpan w:val="2"/>
            <w:vMerge w:val="restart"/>
            <w:tcBorders>
              <w:top w:val="single" w:color="000000" w:sz="4" w:space="0"/>
              <w:left w:val="single" w:color="000000" w:sz="4" w:space="0"/>
              <w:right w:val="single" w:color="000000"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0" distR="0">
                  <wp:extent cx="1562100" cy="1130935"/>
                  <wp:effectExtent l="0" t="0" r="7620" b="12065"/>
                  <wp:docPr id="16725974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59744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62100" cy="1130935"/>
                          </a:xfrm>
                          <a:prstGeom prst="rect">
                            <a:avLst/>
                          </a:prstGeom>
                          <a:noFill/>
                          <a:ln>
                            <a:noFill/>
                          </a:ln>
                        </pic:spPr>
                      </pic:pic>
                    </a:graphicData>
                  </a:graphic>
                </wp:inline>
              </w:drawing>
            </w: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spacing w:val="0"/>
                <w:sz w:val="21"/>
                <w:szCs w:val="21"/>
                <w:highlight w:val="none"/>
                <w:shd w:val="clear" w:fill="FFFFFF"/>
              </w:rPr>
            </w:pPr>
            <w:r>
              <w:rPr>
                <w:rFonts w:hint="default" w:ascii="Times New Roman" w:hAnsi="Times New Roman" w:eastAsia="宋体" w:cs="Times New Roman"/>
                <w:b w:val="0"/>
                <w:bCs w:val="0"/>
                <w:sz w:val="21"/>
                <w:szCs w:val="21"/>
                <w:highlight w:val="none"/>
              </w:rPr>
              <w:t>2900*750*800</w:t>
            </w:r>
          </w:p>
        </w:tc>
        <w:tc>
          <w:tcPr>
            <w:tcW w:w="1574" w:type="pct"/>
            <w:vMerge w:val="restart"/>
            <w:tcBorders>
              <w:top w:val="single" w:color="000000" w:sz="4" w:space="0"/>
              <w:left w:val="single" w:color="000000" w:sz="4" w:space="0"/>
              <w:right w:val="single" w:color="000000" w:sz="4" w:space="0"/>
            </w:tcBorders>
            <w:vAlign w:val="center"/>
          </w:tcPr>
          <w:p>
            <w:pPr>
              <w:pageBreakBefore w:val="0"/>
              <w:numPr>
                <w:ilvl w:val="0"/>
                <w:numId w:val="1"/>
              </w:numPr>
              <w:kinsoku/>
              <w:wordWrap/>
              <w:overflowPunct/>
              <w:topLinePunct w:val="0"/>
              <w:autoSpaceDE/>
              <w:autoSpaceDN/>
              <w:bidi w:val="0"/>
              <w:snapToGrid/>
              <w:spacing w:line="240" w:lineRule="auto"/>
              <w:jc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i w:val="0"/>
                <w:iCs w:val="0"/>
                <w:caps w:val="0"/>
                <w:color w:val="333333"/>
                <w:spacing w:val="0"/>
                <w:sz w:val="21"/>
                <w:szCs w:val="21"/>
                <w:highlight w:val="none"/>
              </w:rPr>
              <w:t>实验台 实验台尺寸为8980*750*800；包括边台、转角柜、水槽、试剂架、滴水架等；实验台整体为钢木结构，要求具有耐强酸强碱、防火、防水、防腐蚀、耐抗击、抗刮痕、不变形、无毒、易清洁等特点。</w:t>
            </w:r>
          </w:p>
          <w:p>
            <w:pPr>
              <w:pageBreakBefore w:val="0"/>
              <w:numPr>
                <w:ilvl w:val="0"/>
                <w:numId w:val="1"/>
              </w:numPr>
              <w:kinsoku/>
              <w:wordWrap/>
              <w:overflowPunct/>
              <w:topLinePunct w:val="0"/>
              <w:autoSpaceDE/>
              <w:autoSpaceDN/>
              <w:bidi w:val="0"/>
              <w:snapToGrid/>
              <w:spacing w:line="240" w:lineRule="auto"/>
              <w:jc w:val="left"/>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i w:val="0"/>
                <w:iCs w:val="0"/>
                <w:caps w:val="0"/>
                <w:color w:val="333333"/>
                <w:spacing w:val="0"/>
                <w:sz w:val="21"/>
                <w:szCs w:val="21"/>
                <w:highlight w:val="none"/>
              </w:rPr>
              <w:t>双瓶气瓶柜 双瓶气瓶柜尺寸为900*450*1900，数量为2个；柜体选用1.2mm厚宝钢好的冷轧钢板，经酸洗磷化处理，外表经过环氧树脂静电喷涂，达到防酸碱及防锈之作用。门板选用可脱卸铰链，正面带视窗，视窗为防爆玻璃。柜体侧面设有PASS孔，保证柜内气体流动。内部选用固定式链条，避免气瓶倾倒。柜体底部设有可调度踏板，便利气瓶装卸。选用嵌入式高强度拉手。</w:t>
            </w: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sz w:val="21"/>
                <w:szCs w:val="21"/>
                <w:highlight w:val="none"/>
              </w:rPr>
              <w:t>2.9</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lang w:eastAsia="zh-CN"/>
              </w:rPr>
            </w:pPr>
            <w:r>
              <w:rPr>
                <w:rFonts w:hint="default" w:ascii="Times New Roman" w:hAnsi="Times New Roman" w:eastAsia="宋体" w:cs="Times New Roman"/>
                <w:b w:val="0"/>
                <w:bCs w:val="0"/>
                <w:sz w:val="21"/>
                <w:szCs w:val="21"/>
                <w:highlight w:val="none"/>
              </w:rPr>
              <w:t>米</w:t>
            </w:r>
          </w:p>
        </w:tc>
        <w:tc>
          <w:tcPr>
            <w:tcW w:w="555" w:type="pct"/>
            <w:tcBorders>
              <w:top w:val="single" w:color="000000" w:sz="4" w:space="0"/>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空位型，左带水</w:t>
            </w:r>
          </w:p>
        </w:tc>
      </w:tr>
      <w:tr>
        <w:tblPrEx>
          <w:tblCellMar>
            <w:top w:w="0" w:type="dxa"/>
            <w:left w:w="108" w:type="dxa"/>
            <w:bottom w:w="0" w:type="dxa"/>
            <w:right w:w="108" w:type="dxa"/>
          </w:tblCellMar>
        </w:tblPrEx>
        <w:trPr>
          <w:trHeight w:val="546"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2</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sz w:val="21"/>
                <w:szCs w:val="21"/>
                <w:highlight w:val="none"/>
              </w:rPr>
              <w:t>钢木边台</w:t>
            </w:r>
          </w:p>
        </w:tc>
        <w:tc>
          <w:tcPr>
            <w:tcW w:w="1140" w:type="pct"/>
            <w:gridSpan w:val="2"/>
            <w:vMerge w:val="continue"/>
            <w:tcBorders>
              <w:left w:val="single" w:color="000000" w:sz="4" w:space="0"/>
              <w:right w:val="single" w:color="000000"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spacing w:val="0"/>
                <w:sz w:val="21"/>
                <w:szCs w:val="21"/>
                <w:highlight w:val="none"/>
                <w:shd w:val="clear" w:fill="FFFFFF"/>
              </w:rPr>
            </w:pPr>
            <w:r>
              <w:rPr>
                <w:rFonts w:hint="default" w:ascii="Times New Roman" w:hAnsi="Times New Roman" w:eastAsia="宋体" w:cs="Times New Roman"/>
                <w:b w:val="0"/>
                <w:bCs w:val="0"/>
                <w:sz w:val="21"/>
                <w:szCs w:val="21"/>
                <w:highlight w:val="none"/>
              </w:rPr>
              <w:t>620*750*800</w:t>
            </w:r>
          </w:p>
        </w:tc>
        <w:tc>
          <w:tcPr>
            <w:tcW w:w="1574" w:type="pct"/>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i w:val="0"/>
                <w:iCs w:val="0"/>
                <w:caps w:val="0"/>
                <w:color w:val="333333"/>
                <w:spacing w:val="0"/>
                <w:sz w:val="21"/>
                <w:szCs w:val="21"/>
                <w:highlight w:val="none"/>
              </w:rPr>
            </w:pP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sz w:val="21"/>
                <w:szCs w:val="21"/>
                <w:highlight w:val="none"/>
              </w:rPr>
              <w:t>1</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eastAsia="宋体" w:cs="Times New Roman"/>
                <w:b w:val="0"/>
                <w:bCs w:val="0"/>
                <w:sz w:val="21"/>
                <w:szCs w:val="21"/>
                <w:highlight w:val="none"/>
              </w:rPr>
              <w:t>组</w:t>
            </w:r>
          </w:p>
        </w:tc>
        <w:tc>
          <w:tcPr>
            <w:tcW w:w="555" w:type="pct"/>
            <w:tcBorders>
              <w:top w:val="single" w:color="000000" w:sz="4" w:space="0"/>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满柜型</w:t>
            </w:r>
          </w:p>
        </w:tc>
      </w:tr>
      <w:tr>
        <w:tblPrEx>
          <w:tblCellMar>
            <w:top w:w="0" w:type="dxa"/>
            <w:left w:w="108" w:type="dxa"/>
            <w:bottom w:w="0" w:type="dxa"/>
            <w:right w:w="108" w:type="dxa"/>
          </w:tblCellMar>
        </w:tblPrEx>
        <w:trPr>
          <w:trHeight w:val="631"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3</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sz w:val="21"/>
                <w:szCs w:val="21"/>
                <w:highlight w:val="none"/>
              </w:rPr>
              <w:t>钢木边台</w:t>
            </w:r>
          </w:p>
        </w:tc>
        <w:tc>
          <w:tcPr>
            <w:tcW w:w="1140" w:type="pct"/>
            <w:gridSpan w:val="2"/>
            <w:vMerge w:val="continue"/>
            <w:tcBorders>
              <w:left w:val="single" w:color="000000" w:sz="4" w:space="0"/>
              <w:right w:val="single" w:color="000000"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spacing w:val="0"/>
                <w:sz w:val="21"/>
                <w:szCs w:val="21"/>
                <w:highlight w:val="none"/>
                <w:shd w:val="clear" w:fill="FFFFFF"/>
              </w:rPr>
            </w:pPr>
            <w:r>
              <w:rPr>
                <w:rFonts w:hint="default" w:ascii="Times New Roman" w:hAnsi="Times New Roman" w:eastAsia="宋体" w:cs="Times New Roman"/>
                <w:b w:val="0"/>
                <w:bCs w:val="0"/>
                <w:sz w:val="21"/>
                <w:szCs w:val="21"/>
                <w:highlight w:val="none"/>
              </w:rPr>
              <w:t>500*750*800</w:t>
            </w:r>
          </w:p>
        </w:tc>
        <w:tc>
          <w:tcPr>
            <w:tcW w:w="1574" w:type="pct"/>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i w:val="0"/>
                <w:iCs w:val="0"/>
                <w:caps w:val="0"/>
                <w:color w:val="333333"/>
                <w:spacing w:val="0"/>
                <w:sz w:val="21"/>
                <w:szCs w:val="21"/>
                <w:highlight w:val="none"/>
              </w:rPr>
            </w:pP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sz w:val="21"/>
                <w:szCs w:val="21"/>
                <w:highlight w:val="none"/>
              </w:rPr>
              <w:t>1</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eastAsia="宋体" w:cs="Times New Roman"/>
                <w:b w:val="0"/>
                <w:bCs w:val="0"/>
                <w:sz w:val="21"/>
                <w:szCs w:val="21"/>
                <w:highlight w:val="none"/>
              </w:rPr>
              <w:t>组</w:t>
            </w:r>
          </w:p>
        </w:tc>
        <w:tc>
          <w:tcPr>
            <w:tcW w:w="555" w:type="pct"/>
            <w:tcBorders>
              <w:top w:val="single" w:color="000000" w:sz="4" w:space="0"/>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满柜型</w:t>
            </w:r>
          </w:p>
        </w:tc>
      </w:tr>
      <w:tr>
        <w:tblPrEx>
          <w:tblCellMar>
            <w:top w:w="0" w:type="dxa"/>
            <w:left w:w="108" w:type="dxa"/>
            <w:bottom w:w="0" w:type="dxa"/>
            <w:right w:w="108" w:type="dxa"/>
          </w:tblCellMar>
        </w:tblPrEx>
        <w:trPr>
          <w:trHeight w:val="666"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4</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sz w:val="21"/>
                <w:szCs w:val="21"/>
                <w:highlight w:val="none"/>
              </w:rPr>
              <w:t>钢木边台</w:t>
            </w:r>
          </w:p>
        </w:tc>
        <w:tc>
          <w:tcPr>
            <w:tcW w:w="1140" w:type="pct"/>
            <w:gridSpan w:val="2"/>
            <w:vMerge w:val="continue"/>
            <w:tcBorders>
              <w:left w:val="single" w:color="000000" w:sz="4" w:space="0"/>
              <w:right w:val="single" w:color="000000"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spacing w:val="0"/>
                <w:sz w:val="21"/>
                <w:szCs w:val="21"/>
                <w:highlight w:val="none"/>
                <w:shd w:val="clear" w:fill="FFFFFF"/>
              </w:rPr>
            </w:pPr>
            <w:r>
              <w:rPr>
                <w:rFonts w:hint="default" w:ascii="Times New Roman" w:hAnsi="Times New Roman" w:eastAsia="宋体" w:cs="Times New Roman"/>
                <w:b w:val="0"/>
                <w:bCs w:val="0"/>
                <w:sz w:val="21"/>
                <w:szCs w:val="21"/>
                <w:highlight w:val="none"/>
              </w:rPr>
              <w:t>1960*750*800</w:t>
            </w:r>
          </w:p>
        </w:tc>
        <w:tc>
          <w:tcPr>
            <w:tcW w:w="1574" w:type="pct"/>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i w:val="0"/>
                <w:iCs w:val="0"/>
                <w:caps w:val="0"/>
                <w:color w:val="333333"/>
                <w:spacing w:val="0"/>
                <w:sz w:val="21"/>
                <w:szCs w:val="21"/>
                <w:highlight w:val="none"/>
              </w:rPr>
            </w:pP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sz w:val="21"/>
                <w:szCs w:val="21"/>
                <w:highlight w:val="none"/>
              </w:rPr>
              <w:t>1.96</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eastAsia="宋体" w:cs="Times New Roman"/>
                <w:b w:val="0"/>
                <w:bCs w:val="0"/>
                <w:sz w:val="21"/>
                <w:szCs w:val="21"/>
                <w:highlight w:val="none"/>
              </w:rPr>
              <w:t>米</w:t>
            </w:r>
          </w:p>
        </w:tc>
        <w:tc>
          <w:tcPr>
            <w:tcW w:w="555" w:type="pct"/>
            <w:tcBorders>
              <w:top w:val="single" w:color="000000" w:sz="4" w:space="0"/>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满柜型</w:t>
            </w:r>
          </w:p>
        </w:tc>
      </w:tr>
      <w:tr>
        <w:tblPrEx>
          <w:tblCellMar>
            <w:top w:w="0" w:type="dxa"/>
            <w:left w:w="108" w:type="dxa"/>
            <w:bottom w:w="0" w:type="dxa"/>
            <w:right w:w="108" w:type="dxa"/>
          </w:tblCellMar>
        </w:tblPrEx>
        <w:trPr>
          <w:trHeight w:val="700"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5</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sz w:val="21"/>
                <w:szCs w:val="21"/>
                <w:highlight w:val="none"/>
              </w:rPr>
              <w:t>钢木边台</w:t>
            </w:r>
          </w:p>
        </w:tc>
        <w:tc>
          <w:tcPr>
            <w:tcW w:w="1140" w:type="pct"/>
            <w:gridSpan w:val="2"/>
            <w:vMerge w:val="continue"/>
            <w:tcBorders>
              <w:left w:val="single" w:color="000000" w:sz="4" w:space="0"/>
              <w:right w:val="single" w:color="000000"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spacing w:val="0"/>
                <w:sz w:val="21"/>
                <w:szCs w:val="21"/>
                <w:highlight w:val="none"/>
                <w:shd w:val="clear" w:fill="FFFFFF"/>
              </w:rPr>
            </w:pPr>
            <w:r>
              <w:rPr>
                <w:rFonts w:hint="default" w:ascii="Times New Roman" w:hAnsi="Times New Roman" w:eastAsia="宋体" w:cs="Times New Roman"/>
                <w:b w:val="0"/>
                <w:bCs w:val="0"/>
                <w:sz w:val="21"/>
                <w:szCs w:val="21"/>
                <w:highlight w:val="none"/>
              </w:rPr>
              <w:t>3000*750*800</w:t>
            </w:r>
          </w:p>
        </w:tc>
        <w:tc>
          <w:tcPr>
            <w:tcW w:w="1574" w:type="pct"/>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i w:val="0"/>
                <w:iCs w:val="0"/>
                <w:caps w:val="0"/>
                <w:color w:val="333333"/>
                <w:spacing w:val="0"/>
                <w:sz w:val="21"/>
                <w:szCs w:val="21"/>
                <w:highlight w:val="none"/>
              </w:rPr>
            </w:pP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sz w:val="21"/>
                <w:szCs w:val="21"/>
                <w:highlight w:val="none"/>
              </w:rPr>
              <w:t>3</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eastAsia="宋体" w:cs="Times New Roman"/>
                <w:b w:val="0"/>
                <w:bCs w:val="0"/>
                <w:sz w:val="21"/>
                <w:szCs w:val="21"/>
                <w:highlight w:val="none"/>
              </w:rPr>
              <w:t>米</w:t>
            </w:r>
          </w:p>
        </w:tc>
        <w:tc>
          <w:tcPr>
            <w:tcW w:w="555" w:type="pct"/>
            <w:tcBorders>
              <w:top w:val="single" w:color="000000" w:sz="4" w:space="0"/>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满柜型</w:t>
            </w:r>
          </w:p>
        </w:tc>
      </w:tr>
      <w:tr>
        <w:tblPrEx>
          <w:tblCellMar>
            <w:top w:w="0" w:type="dxa"/>
            <w:left w:w="108" w:type="dxa"/>
            <w:bottom w:w="0" w:type="dxa"/>
            <w:right w:w="108" w:type="dxa"/>
          </w:tblCellMar>
        </w:tblPrEx>
        <w:trPr>
          <w:trHeight w:val="597"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6</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sz w:val="21"/>
                <w:szCs w:val="21"/>
                <w:highlight w:val="none"/>
              </w:rPr>
              <w:t>试剂架</w:t>
            </w:r>
          </w:p>
        </w:tc>
        <w:tc>
          <w:tcPr>
            <w:tcW w:w="1140" w:type="pct"/>
            <w:gridSpan w:val="2"/>
            <w:vMerge w:val="continue"/>
            <w:tcBorders>
              <w:left w:val="single" w:color="000000" w:sz="4" w:space="0"/>
              <w:right w:val="single" w:color="000000"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spacing w:val="0"/>
                <w:sz w:val="21"/>
                <w:szCs w:val="21"/>
                <w:highlight w:val="none"/>
                <w:shd w:val="clear" w:fill="FFFFFF"/>
              </w:rPr>
            </w:pPr>
            <w:r>
              <w:rPr>
                <w:rFonts w:hint="default" w:ascii="Times New Roman" w:hAnsi="Times New Roman" w:eastAsia="宋体" w:cs="Times New Roman"/>
                <w:b w:val="0"/>
                <w:bCs w:val="0"/>
                <w:sz w:val="21"/>
                <w:szCs w:val="21"/>
                <w:highlight w:val="none"/>
              </w:rPr>
              <w:t>3000*300*750</w:t>
            </w:r>
          </w:p>
        </w:tc>
        <w:tc>
          <w:tcPr>
            <w:tcW w:w="1574" w:type="pct"/>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i w:val="0"/>
                <w:iCs w:val="0"/>
                <w:caps w:val="0"/>
                <w:color w:val="333333"/>
                <w:spacing w:val="0"/>
                <w:sz w:val="21"/>
                <w:szCs w:val="21"/>
                <w:highlight w:val="none"/>
              </w:rPr>
            </w:pP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sz w:val="21"/>
                <w:szCs w:val="21"/>
                <w:highlight w:val="none"/>
              </w:rPr>
              <w:t>2.8</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eastAsia="宋体" w:cs="Times New Roman"/>
                <w:b w:val="0"/>
                <w:bCs w:val="0"/>
                <w:sz w:val="21"/>
                <w:szCs w:val="21"/>
                <w:highlight w:val="none"/>
              </w:rPr>
              <w:t>米</w:t>
            </w:r>
          </w:p>
        </w:tc>
        <w:tc>
          <w:tcPr>
            <w:tcW w:w="555" w:type="pct"/>
            <w:tcBorders>
              <w:top w:val="single" w:color="000000" w:sz="4" w:space="0"/>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钢玻结构，双层配钢化玻璃层板</w:t>
            </w:r>
          </w:p>
        </w:tc>
      </w:tr>
      <w:tr>
        <w:tblPrEx>
          <w:tblCellMar>
            <w:top w:w="0" w:type="dxa"/>
            <w:left w:w="108" w:type="dxa"/>
            <w:bottom w:w="0" w:type="dxa"/>
            <w:right w:w="108" w:type="dxa"/>
          </w:tblCellMar>
        </w:tblPrEx>
        <w:trPr>
          <w:trHeight w:val="906"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7</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sz w:val="21"/>
                <w:szCs w:val="21"/>
                <w:highlight w:val="none"/>
              </w:rPr>
              <w:t>水槽套装</w:t>
            </w:r>
          </w:p>
        </w:tc>
        <w:tc>
          <w:tcPr>
            <w:tcW w:w="1140" w:type="pct"/>
            <w:gridSpan w:val="2"/>
            <w:vMerge w:val="continue"/>
            <w:tcBorders>
              <w:left w:val="single" w:color="000000" w:sz="4" w:space="0"/>
              <w:right w:val="single" w:color="000000"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spacing w:val="0"/>
                <w:sz w:val="21"/>
                <w:szCs w:val="21"/>
                <w:highlight w:val="none"/>
                <w:shd w:val="clear" w:fill="FFFFFF"/>
              </w:rPr>
            </w:pPr>
            <w:r>
              <w:rPr>
                <w:rFonts w:hint="default" w:ascii="Times New Roman" w:hAnsi="Times New Roman" w:eastAsia="宋体" w:cs="Times New Roman"/>
                <w:b w:val="0"/>
                <w:bCs w:val="0"/>
                <w:sz w:val="21"/>
                <w:szCs w:val="21"/>
                <w:highlight w:val="none"/>
              </w:rPr>
              <w:t>550*450*310</w:t>
            </w:r>
          </w:p>
        </w:tc>
        <w:tc>
          <w:tcPr>
            <w:tcW w:w="1574" w:type="pct"/>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i w:val="0"/>
                <w:iCs w:val="0"/>
                <w:caps w:val="0"/>
                <w:color w:val="333333"/>
                <w:spacing w:val="0"/>
                <w:sz w:val="21"/>
                <w:szCs w:val="21"/>
                <w:highlight w:val="none"/>
              </w:rPr>
            </w:pP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sz w:val="21"/>
                <w:szCs w:val="21"/>
                <w:highlight w:val="none"/>
              </w:rPr>
              <w:t>1</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eastAsia="宋体" w:cs="Times New Roman"/>
                <w:b w:val="0"/>
                <w:bCs w:val="0"/>
                <w:sz w:val="21"/>
                <w:szCs w:val="21"/>
                <w:highlight w:val="none"/>
              </w:rPr>
              <w:t>套</w:t>
            </w:r>
          </w:p>
        </w:tc>
        <w:tc>
          <w:tcPr>
            <w:tcW w:w="555" w:type="pct"/>
            <w:tcBorders>
              <w:top w:val="single" w:color="000000" w:sz="4" w:space="0"/>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实验室专用PP水盆，铜制三口鹅颈水龙头，含下水软管</w:t>
            </w:r>
          </w:p>
        </w:tc>
      </w:tr>
      <w:tr>
        <w:tblPrEx>
          <w:tblCellMar>
            <w:top w:w="0" w:type="dxa"/>
            <w:left w:w="108" w:type="dxa"/>
            <w:bottom w:w="0" w:type="dxa"/>
            <w:right w:w="108" w:type="dxa"/>
          </w:tblCellMar>
        </w:tblPrEx>
        <w:trPr>
          <w:trHeight w:val="735"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8</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sz w:val="21"/>
                <w:szCs w:val="21"/>
                <w:highlight w:val="none"/>
              </w:rPr>
              <w:t>钢木转角柜</w:t>
            </w:r>
          </w:p>
        </w:tc>
        <w:tc>
          <w:tcPr>
            <w:tcW w:w="1140" w:type="pct"/>
            <w:gridSpan w:val="2"/>
            <w:vMerge w:val="continue"/>
            <w:tcBorders>
              <w:left w:val="single" w:color="000000" w:sz="4" w:space="0"/>
              <w:right w:val="single" w:color="000000"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spacing w:val="0"/>
                <w:sz w:val="21"/>
                <w:szCs w:val="21"/>
                <w:highlight w:val="none"/>
                <w:shd w:val="clear" w:fill="FFFFFF"/>
              </w:rPr>
            </w:pPr>
            <w:r>
              <w:rPr>
                <w:rFonts w:hint="default" w:ascii="Times New Roman" w:hAnsi="Times New Roman" w:eastAsia="宋体" w:cs="Times New Roman"/>
                <w:b w:val="0"/>
                <w:bCs w:val="0"/>
                <w:sz w:val="21"/>
                <w:szCs w:val="21"/>
                <w:highlight w:val="none"/>
              </w:rPr>
              <w:t>1000*1000*800</w:t>
            </w:r>
          </w:p>
        </w:tc>
        <w:tc>
          <w:tcPr>
            <w:tcW w:w="1574" w:type="pct"/>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i w:val="0"/>
                <w:iCs w:val="0"/>
                <w:caps w:val="0"/>
                <w:color w:val="333333"/>
                <w:spacing w:val="0"/>
                <w:sz w:val="21"/>
                <w:szCs w:val="21"/>
                <w:highlight w:val="none"/>
              </w:rPr>
            </w:pP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sz w:val="21"/>
                <w:szCs w:val="21"/>
                <w:highlight w:val="none"/>
              </w:rPr>
              <w:t>2</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eastAsia="宋体" w:cs="Times New Roman"/>
                <w:b w:val="0"/>
                <w:bCs w:val="0"/>
                <w:sz w:val="21"/>
                <w:szCs w:val="21"/>
                <w:highlight w:val="none"/>
              </w:rPr>
              <w:t>组</w:t>
            </w:r>
          </w:p>
        </w:tc>
        <w:tc>
          <w:tcPr>
            <w:tcW w:w="555" w:type="pct"/>
            <w:tcBorders>
              <w:top w:val="single" w:color="000000" w:sz="4" w:space="0"/>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材质同边台</w:t>
            </w:r>
          </w:p>
        </w:tc>
      </w:tr>
      <w:tr>
        <w:tblPrEx>
          <w:tblCellMar>
            <w:top w:w="0" w:type="dxa"/>
            <w:left w:w="108" w:type="dxa"/>
            <w:bottom w:w="0" w:type="dxa"/>
            <w:right w:w="108" w:type="dxa"/>
          </w:tblCellMar>
        </w:tblPrEx>
        <w:trPr>
          <w:trHeight w:val="563"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9</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sz w:val="21"/>
                <w:szCs w:val="21"/>
                <w:highlight w:val="none"/>
              </w:rPr>
              <w:t>滴水架</w:t>
            </w:r>
          </w:p>
        </w:tc>
        <w:tc>
          <w:tcPr>
            <w:tcW w:w="1140" w:type="pct"/>
            <w:gridSpan w:val="2"/>
            <w:vMerge w:val="continue"/>
            <w:tcBorders>
              <w:left w:val="single" w:color="000000" w:sz="4" w:space="0"/>
              <w:right w:val="single" w:color="000000"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spacing w:val="0"/>
                <w:sz w:val="21"/>
                <w:szCs w:val="21"/>
                <w:highlight w:val="none"/>
                <w:shd w:val="clear" w:fill="FFFFFF"/>
              </w:rPr>
            </w:pPr>
            <w:r>
              <w:rPr>
                <w:rFonts w:hint="default" w:ascii="Times New Roman" w:hAnsi="Times New Roman" w:eastAsia="宋体" w:cs="Times New Roman"/>
                <w:b w:val="0"/>
                <w:bCs w:val="0"/>
                <w:sz w:val="21"/>
                <w:szCs w:val="21"/>
                <w:highlight w:val="none"/>
              </w:rPr>
              <w:t>550*450*310</w:t>
            </w:r>
          </w:p>
        </w:tc>
        <w:tc>
          <w:tcPr>
            <w:tcW w:w="1574" w:type="pct"/>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i w:val="0"/>
                <w:iCs w:val="0"/>
                <w:caps w:val="0"/>
                <w:color w:val="333333"/>
                <w:spacing w:val="0"/>
                <w:sz w:val="21"/>
                <w:szCs w:val="21"/>
                <w:highlight w:val="none"/>
              </w:rPr>
            </w:pP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sz w:val="21"/>
                <w:szCs w:val="21"/>
                <w:highlight w:val="none"/>
              </w:rPr>
              <w:t>1</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eastAsia="宋体" w:cs="Times New Roman"/>
                <w:b w:val="0"/>
                <w:bCs w:val="0"/>
                <w:sz w:val="21"/>
                <w:szCs w:val="21"/>
                <w:highlight w:val="none"/>
              </w:rPr>
              <w:t>个</w:t>
            </w:r>
          </w:p>
        </w:tc>
        <w:tc>
          <w:tcPr>
            <w:tcW w:w="555" w:type="pct"/>
            <w:tcBorders>
              <w:top w:val="single" w:color="000000" w:sz="4" w:space="0"/>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PP材质</w:t>
            </w:r>
          </w:p>
        </w:tc>
      </w:tr>
      <w:tr>
        <w:tblPrEx>
          <w:tblCellMar>
            <w:top w:w="0" w:type="dxa"/>
            <w:left w:w="108" w:type="dxa"/>
            <w:bottom w:w="0" w:type="dxa"/>
            <w:right w:w="108" w:type="dxa"/>
          </w:tblCellMar>
        </w:tblPrEx>
        <w:trPr>
          <w:trHeight w:val="752"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10</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sz w:val="21"/>
                <w:szCs w:val="21"/>
                <w:highlight w:val="none"/>
              </w:rPr>
              <w:t>气瓶柜</w:t>
            </w:r>
          </w:p>
        </w:tc>
        <w:tc>
          <w:tcPr>
            <w:tcW w:w="1140" w:type="pct"/>
            <w:gridSpan w:val="2"/>
            <w:vMerge w:val="continue"/>
            <w:tcBorders>
              <w:left w:val="single" w:color="000000" w:sz="4" w:space="0"/>
              <w:right w:val="single" w:color="000000"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spacing w:val="0"/>
                <w:sz w:val="21"/>
                <w:szCs w:val="21"/>
                <w:highlight w:val="none"/>
                <w:shd w:val="clear" w:fill="FFFFFF"/>
              </w:rPr>
            </w:pPr>
            <w:r>
              <w:rPr>
                <w:rFonts w:hint="default" w:ascii="Times New Roman" w:hAnsi="Times New Roman" w:eastAsia="宋体" w:cs="Times New Roman"/>
                <w:b w:val="0"/>
                <w:bCs w:val="0"/>
                <w:sz w:val="21"/>
                <w:szCs w:val="21"/>
                <w:highlight w:val="none"/>
              </w:rPr>
              <w:t>900*450*1900</w:t>
            </w:r>
          </w:p>
        </w:tc>
        <w:tc>
          <w:tcPr>
            <w:tcW w:w="1574" w:type="pct"/>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i w:val="0"/>
                <w:iCs w:val="0"/>
                <w:caps w:val="0"/>
                <w:color w:val="333333"/>
                <w:spacing w:val="0"/>
                <w:sz w:val="21"/>
                <w:szCs w:val="21"/>
                <w:highlight w:val="none"/>
              </w:rPr>
            </w:pP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sz w:val="21"/>
                <w:szCs w:val="21"/>
                <w:highlight w:val="none"/>
              </w:rPr>
              <w:t>2</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eastAsia="宋体" w:cs="Times New Roman"/>
                <w:b w:val="0"/>
                <w:bCs w:val="0"/>
                <w:sz w:val="21"/>
                <w:szCs w:val="21"/>
                <w:highlight w:val="none"/>
              </w:rPr>
              <w:t>台</w:t>
            </w:r>
          </w:p>
        </w:tc>
        <w:tc>
          <w:tcPr>
            <w:tcW w:w="555" w:type="pct"/>
            <w:tcBorders>
              <w:top w:val="single" w:color="000000" w:sz="4" w:space="0"/>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双气瓶 防爆视窗</w:t>
            </w:r>
          </w:p>
        </w:tc>
      </w:tr>
      <w:tr>
        <w:tblPrEx>
          <w:tblCellMar>
            <w:top w:w="0" w:type="dxa"/>
            <w:left w:w="108" w:type="dxa"/>
            <w:bottom w:w="0" w:type="dxa"/>
            <w:right w:w="108" w:type="dxa"/>
          </w:tblCellMar>
        </w:tblPrEx>
        <w:trPr>
          <w:trHeight w:val="443"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11</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sz w:val="21"/>
                <w:szCs w:val="21"/>
                <w:highlight w:val="none"/>
              </w:rPr>
              <w:t>插座</w:t>
            </w:r>
          </w:p>
        </w:tc>
        <w:tc>
          <w:tcPr>
            <w:tcW w:w="1140" w:type="pct"/>
            <w:gridSpan w:val="2"/>
            <w:vMerge w:val="continue"/>
            <w:tcBorders>
              <w:left w:val="single" w:color="000000" w:sz="4" w:space="0"/>
              <w:bottom w:val="single" w:color="000000" w:sz="4" w:space="0"/>
              <w:right w:val="single" w:color="000000"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spacing w:val="0"/>
                <w:sz w:val="21"/>
                <w:szCs w:val="21"/>
                <w:highlight w:val="none"/>
                <w:shd w:val="clear" w:fill="FFFFFF"/>
              </w:rPr>
            </w:pPr>
            <w:r>
              <w:rPr>
                <w:rFonts w:hint="default" w:ascii="Times New Roman" w:hAnsi="Times New Roman" w:eastAsia="宋体" w:cs="Times New Roman"/>
                <w:b w:val="0"/>
                <w:bCs w:val="0"/>
                <w:sz w:val="21"/>
                <w:szCs w:val="21"/>
                <w:highlight w:val="none"/>
              </w:rPr>
              <w:t>/</w:t>
            </w:r>
          </w:p>
        </w:tc>
        <w:tc>
          <w:tcPr>
            <w:tcW w:w="1574" w:type="pct"/>
            <w:vMerge w:val="continue"/>
            <w:tcBorders>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i w:val="0"/>
                <w:iCs w:val="0"/>
                <w:caps w:val="0"/>
                <w:color w:val="333333"/>
                <w:spacing w:val="0"/>
                <w:sz w:val="21"/>
                <w:szCs w:val="21"/>
                <w:highlight w:val="none"/>
              </w:rPr>
            </w:pP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eastAsia="宋体" w:cs="Times New Roman"/>
                <w:b w:val="0"/>
                <w:bCs w:val="0"/>
                <w:color w:val="000000"/>
                <w:sz w:val="21"/>
                <w:szCs w:val="21"/>
                <w:highlight w:val="none"/>
                <w:lang w:val="en-US" w:eastAsia="zh-CN"/>
              </w:rPr>
              <w:t>45</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eastAsia="宋体" w:cs="Times New Roman"/>
                <w:b w:val="0"/>
                <w:bCs w:val="0"/>
                <w:sz w:val="21"/>
                <w:szCs w:val="21"/>
                <w:highlight w:val="none"/>
              </w:rPr>
              <w:t>个</w:t>
            </w:r>
          </w:p>
        </w:tc>
        <w:tc>
          <w:tcPr>
            <w:tcW w:w="555" w:type="pct"/>
            <w:tcBorders>
              <w:top w:val="single" w:color="000000" w:sz="4" w:space="0"/>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双五孔</w:t>
            </w:r>
          </w:p>
        </w:tc>
      </w:tr>
      <w:tr>
        <w:tblPrEx>
          <w:tblCellMar>
            <w:top w:w="0" w:type="dxa"/>
            <w:left w:w="108" w:type="dxa"/>
            <w:bottom w:w="0" w:type="dxa"/>
            <w:right w:w="108" w:type="dxa"/>
          </w:tblCellMar>
        </w:tblPrEx>
        <w:trPr>
          <w:trHeight w:val="412"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人工智能学院</w:t>
            </w:r>
            <w:r>
              <w:rPr>
                <w:rFonts w:hint="default" w:ascii="Times New Roman" w:hAnsi="Times New Roman" w:eastAsia="宋体" w:cs="Times New Roman"/>
                <w:b/>
                <w:bCs/>
                <w:sz w:val="21"/>
                <w:szCs w:val="21"/>
                <w:highlight w:val="none"/>
              </w:rPr>
              <w:t>（联系人：</w:t>
            </w:r>
            <w:r>
              <w:rPr>
                <w:rFonts w:hint="default" w:ascii="Times New Roman" w:hAnsi="Times New Roman" w:eastAsia="宋体" w:cs="Times New Roman"/>
                <w:b/>
                <w:bCs/>
                <w:sz w:val="21"/>
                <w:szCs w:val="21"/>
                <w:highlight w:val="none"/>
                <w:lang w:val="en-US" w:eastAsia="zh-CN"/>
              </w:rPr>
              <w:t>熊</w:t>
            </w:r>
            <w:r>
              <w:rPr>
                <w:rFonts w:hint="default" w:ascii="Times New Roman" w:hAnsi="Times New Roman" w:eastAsia="宋体" w:cs="Times New Roman"/>
                <w:b/>
                <w:bCs/>
                <w:sz w:val="21"/>
                <w:szCs w:val="21"/>
                <w:highlight w:val="none"/>
              </w:rPr>
              <w:t>老师</w:t>
            </w:r>
            <w:r>
              <w:rPr>
                <w:rFonts w:hint="default" w:ascii="Times New Roman" w:hAnsi="Times New Roman" w:eastAsia="宋体" w:cs="Times New Roman"/>
                <w:b/>
                <w:bCs/>
                <w:sz w:val="21"/>
                <w:szCs w:val="21"/>
                <w:highlight w:val="none"/>
                <w:lang w:eastAsia="zh-CN"/>
              </w:rPr>
              <w:t>，</w:t>
            </w:r>
            <w:r>
              <w:rPr>
                <w:rFonts w:hint="default" w:ascii="Times New Roman" w:hAnsi="Times New Roman" w:eastAsia="宋体" w:cs="Times New Roman"/>
                <w:b/>
                <w:bCs/>
                <w:sz w:val="21"/>
                <w:szCs w:val="21"/>
                <w:highlight w:val="none"/>
              </w:rPr>
              <w:t>13983882331）</w:t>
            </w:r>
          </w:p>
        </w:tc>
      </w:tr>
      <w:tr>
        <w:tblPrEx>
          <w:tblCellMar>
            <w:top w:w="0" w:type="dxa"/>
            <w:left w:w="108" w:type="dxa"/>
            <w:bottom w:w="0" w:type="dxa"/>
            <w:right w:w="108" w:type="dxa"/>
          </w:tblCellMar>
        </w:tblPrEx>
        <w:trPr>
          <w:trHeight w:val="558"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lang w:eastAsia="zh-CN"/>
              </w:rPr>
            </w:pPr>
            <w:r>
              <w:rPr>
                <w:rFonts w:hint="default" w:ascii="Times New Roman" w:hAnsi="Times New Roman" w:eastAsia="宋体" w:cs="Times New Roman"/>
                <w:b w:val="0"/>
                <w:bCs w:val="0"/>
                <w:sz w:val="21"/>
                <w:szCs w:val="21"/>
                <w:highlight w:val="none"/>
                <w:lang w:val="en-US" w:eastAsia="zh-CN"/>
              </w:rPr>
              <w:t>1</w:t>
            </w:r>
          </w:p>
        </w:tc>
        <w:tc>
          <w:tcPr>
            <w:tcW w:w="400" w:type="pct"/>
            <w:tcBorders>
              <w:top w:val="single" w:color="000000" w:sz="4" w:space="0"/>
              <w:left w:val="single" w:color="000000" w:sz="4" w:space="0"/>
              <w:bottom w:val="single" w:color="000000"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i w:val="0"/>
                <w:iCs w:val="0"/>
                <w:caps w:val="0"/>
                <w:color w:val="333333"/>
                <w:spacing w:val="0"/>
                <w:sz w:val="21"/>
                <w:szCs w:val="21"/>
                <w:highlight w:val="none"/>
              </w:rPr>
              <w:t>办公桌</w:t>
            </w:r>
          </w:p>
        </w:tc>
        <w:tc>
          <w:tcPr>
            <w:tcW w:w="1140" w:type="pct"/>
            <w:gridSpan w:val="2"/>
            <w:tcBorders>
              <w:top w:val="single" w:color="auto" w:sz="4" w:space="0"/>
              <w:left w:val="single" w:color="auto" w:sz="4" w:space="0"/>
              <w:bottom w:val="single" w:color="auto" w:sz="4" w:space="0"/>
              <w:right w:val="single" w:color="auto"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801370" cy="561975"/>
                  <wp:effectExtent l="0" t="0" r="1143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rcRect/>
                          <a:stretch>
                            <a:fillRect/>
                          </a:stretch>
                        </pic:blipFill>
                        <pic:spPr>
                          <a:xfrm>
                            <a:off x="0" y="0"/>
                            <a:ext cx="801370" cy="561975"/>
                          </a:xfrm>
                          <a:prstGeom prst="rect">
                            <a:avLst/>
                          </a:prstGeom>
                          <a:noFill/>
                          <a:ln w="1">
                            <a:noFill/>
                            <a:miter lim="800000"/>
                            <a:headEnd/>
                            <a:tailEnd type="none" w="med" len="med"/>
                          </a:ln>
                          <a:effectLst/>
                        </pic:spPr>
                      </pic:pic>
                    </a:graphicData>
                  </a:graphic>
                </wp:inline>
              </w:drawing>
            </w:r>
          </w:p>
        </w:tc>
        <w:tc>
          <w:tcPr>
            <w:tcW w:w="5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i w:val="0"/>
                <w:iCs w:val="0"/>
                <w:caps w:val="0"/>
                <w:color w:val="333333"/>
                <w:spacing w:val="0"/>
                <w:sz w:val="21"/>
                <w:szCs w:val="21"/>
                <w:highlight w:val="none"/>
              </w:rPr>
              <w:t>1400*700*760</w:t>
            </w:r>
          </w:p>
        </w:tc>
        <w:tc>
          <w:tcPr>
            <w:tcW w:w="1574"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left"/>
              <w:outlineLvl w:val="2"/>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i w:val="0"/>
                <w:iCs w:val="0"/>
                <w:caps w:val="0"/>
                <w:color w:val="333333"/>
                <w:spacing w:val="0"/>
                <w:sz w:val="21"/>
                <w:szCs w:val="21"/>
                <w:highlight w:val="none"/>
              </w:rPr>
              <w:t>1、桌面及两侧立脚的厚度25mm，背板及搁板厚度16mm，E1级三聚氢氨板；2、封边：采用厚度2.2mmPVC直封边，无缝、防水；封边颜色为台面近似色；3、热熔胶：优质热溶胶封边。胶合性能极佳，抗温差候变较强、不易老化，不脱胶，不褪色、柔韧适中，无异味4、五金配件：滑轨、锁具、铰链及连接件符合国家标准，表面经镀铬处理；抽屉采用国内著名品牌三节超静音滑轨；门铰为充氮、防碰撞优质阻尼智能门铰。所有五金配件均精选于国内著名家具五金配件生产厂家，不生锈，不变形，耐磨损，健康环保。 5、颜色：红胡桃木色</w:t>
            </w:r>
          </w:p>
        </w:tc>
        <w:tc>
          <w:tcPr>
            <w:tcW w:w="270" w:type="pct"/>
            <w:tcBorders>
              <w:top w:val="single" w:color="auto" w:sz="4" w:space="0"/>
              <w:left w:val="single" w:color="auto" w:sz="4" w:space="0"/>
              <w:bottom w:val="single" w:color="auto" w:sz="4" w:space="0"/>
              <w:right w:val="single" w:color="auto" w:sz="4" w:space="0"/>
            </w:tcBorders>
            <w:vAlign w:val="center"/>
          </w:tcPr>
          <w:p>
            <w:pPr>
              <w:pStyle w:val="6"/>
              <w:pageBreakBefore w:val="0"/>
              <w:kinsoku/>
              <w:wordWrap/>
              <w:overflowPunct/>
              <w:topLinePunct w:val="0"/>
              <w:autoSpaceDE/>
              <w:autoSpaceDN/>
              <w:bidi w:val="0"/>
              <w:snapToGrid/>
              <w:spacing w:line="240" w:lineRule="auto"/>
              <w:ind w:left="0"/>
              <w:jc w:val="center"/>
              <w:outlineLvl w:val="0"/>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1</w:t>
            </w:r>
          </w:p>
        </w:tc>
        <w:tc>
          <w:tcPr>
            <w:tcW w:w="217"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eastAsia="宋体" w:cs="Times New Roman"/>
                <w:b w:val="0"/>
                <w:bCs w:val="0"/>
                <w:color w:val="000000"/>
                <w:sz w:val="21"/>
                <w:szCs w:val="21"/>
                <w:highlight w:val="none"/>
                <w:lang w:val="en-US" w:eastAsia="zh-CN"/>
              </w:rPr>
              <w:t>张</w:t>
            </w:r>
          </w:p>
        </w:tc>
        <w:tc>
          <w:tcPr>
            <w:tcW w:w="555"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r>
      <w:tr>
        <w:tblPrEx>
          <w:tblCellMar>
            <w:top w:w="0" w:type="dxa"/>
            <w:left w:w="108" w:type="dxa"/>
            <w:bottom w:w="0" w:type="dxa"/>
            <w:right w:w="108" w:type="dxa"/>
          </w:tblCellMar>
        </w:tblPrEx>
        <w:trPr>
          <w:trHeight w:val="1338"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lang w:eastAsia="zh-CN"/>
              </w:rPr>
            </w:pPr>
            <w:r>
              <w:rPr>
                <w:rFonts w:hint="default" w:ascii="Times New Roman" w:hAnsi="Times New Roman" w:eastAsia="宋体" w:cs="Times New Roman"/>
                <w:b w:val="0"/>
                <w:bCs w:val="0"/>
                <w:sz w:val="21"/>
                <w:szCs w:val="21"/>
                <w:highlight w:val="none"/>
                <w:lang w:val="en-US" w:eastAsia="zh-CN"/>
              </w:rPr>
              <w:t>2</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i w:val="0"/>
                <w:iCs w:val="0"/>
                <w:caps w:val="0"/>
                <w:color w:val="333333"/>
                <w:spacing w:val="0"/>
                <w:sz w:val="21"/>
                <w:szCs w:val="21"/>
                <w:highlight w:val="none"/>
              </w:rPr>
              <w:t>职员转椅</w:t>
            </w:r>
          </w:p>
        </w:tc>
        <w:tc>
          <w:tcPr>
            <w:tcW w:w="1140" w:type="pct"/>
            <w:gridSpan w:val="2"/>
            <w:tcBorders>
              <w:top w:val="single" w:color="auto" w:sz="4" w:space="0"/>
              <w:left w:val="single" w:color="000000" w:sz="4" w:space="0"/>
              <w:bottom w:val="single" w:color="000000" w:sz="4" w:space="0"/>
              <w:right w:val="single" w:color="000000"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658495" cy="953770"/>
                  <wp:effectExtent l="0" t="0" r="1905" b="11430"/>
                  <wp:docPr id="4" name="Picture 1" descr="C:\Users\user\Documents\Tencent Files\360223993\Image\C2C\}XFNJMMA{S`3N]L4(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Users\user\Documents\Tencent Files\360223993\Image\C2C\}XFNJMMA{S`3N]L4(_[`1`1.jpg"/>
                          <pic:cNvPicPr>
                            <a:picLocks noChangeAspect="1" noChangeArrowheads="1"/>
                          </pic:cNvPicPr>
                        </pic:nvPicPr>
                        <pic:blipFill>
                          <a:blip r:embed="rId7"/>
                          <a:srcRect/>
                          <a:stretch>
                            <a:fillRect/>
                          </a:stretch>
                        </pic:blipFill>
                        <pic:spPr>
                          <a:xfrm>
                            <a:off x="0" y="0"/>
                            <a:ext cx="658495" cy="953770"/>
                          </a:xfrm>
                          <a:prstGeom prst="rect">
                            <a:avLst/>
                          </a:prstGeom>
                          <a:noFill/>
                        </pic:spPr>
                      </pic:pic>
                    </a:graphicData>
                  </a:graphic>
                </wp:inline>
              </w:drawing>
            </w:r>
          </w:p>
        </w:tc>
        <w:tc>
          <w:tcPr>
            <w:tcW w:w="549" w:type="pct"/>
            <w:tcBorders>
              <w:top w:val="single" w:color="auto" w:sz="4" w:space="0"/>
              <w:left w:val="single" w:color="000000" w:sz="4" w:space="0"/>
              <w:bottom w:val="single" w:color="000000"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i w:val="0"/>
                <w:iCs w:val="0"/>
                <w:caps w:val="0"/>
                <w:color w:val="333333"/>
                <w:spacing w:val="0"/>
                <w:sz w:val="21"/>
                <w:szCs w:val="21"/>
                <w:highlight w:val="none"/>
              </w:rPr>
              <w:t>550*600*950-1010</w:t>
            </w:r>
          </w:p>
        </w:tc>
        <w:tc>
          <w:tcPr>
            <w:tcW w:w="1574"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left"/>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i w:val="0"/>
                <w:iCs w:val="0"/>
                <w:caps w:val="0"/>
                <w:color w:val="333333"/>
                <w:spacing w:val="0"/>
                <w:sz w:val="21"/>
                <w:szCs w:val="21"/>
                <w:highlight w:val="none"/>
              </w:rPr>
              <w:t>1）坐板基材:整体采用优质E1级实木多层板，甲醛释放量符合国家标准（GB18580）小于1.5mg/L，可承受 250kg压力,经过耐酸碱、防虫、防腐特殊处理。 2）面材：优质网状布艺饰面，坐感舒适、透气性强 3）海绵：高回弹45#PU发泡海绵，拉伸强度（KPa）≥180，伸长率（%）≥120，回弹率（%）≥40，撕裂强度（N/cm）≥2产品符合GB/T 10802-2006《通用软质聚醚型聚氨酯泡沫塑料》标准要求，回弹率 ≥44，检验依据须符合国家最新标准《GB/T 10802-2006通用软质聚醮型聚氨酯泡沫塑料》。 4）脚架：优质不锈钢脚架；采用1.2mm厚不锈钢管压铸成型；经磷化，酸洗，固化，清洗后镀铬处理，增加轴表面的防腐蚀性能。 5）工艺：面料缝线无跳针或明显浮线；无断线脱线现象或外露线头，嵌线圆滑顺直，圆弧处均匀对称；皮料包覆平服饱满无明显皱折，松紧均匀无明显松弛现象；</w:t>
            </w:r>
          </w:p>
        </w:tc>
        <w:tc>
          <w:tcPr>
            <w:tcW w:w="270" w:type="pct"/>
            <w:tcBorders>
              <w:top w:val="single" w:color="auto" w:sz="4" w:space="0"/>
              <w:left w:val="single" w:color="auto" w:sz="4" w:space="0"/>
              <w:bottom w:val="single" w:color="auto" w:sz="4" w:space="0"/>
              <w:right w:val="single" w:color="auto" w:sz="4" w:space="0"/>
            </w:tcBorders>
            <w:vAlign w:val="center"/>
          </w:tcPr>
          <w:p>
            <w:pPr>
              <w:pStyle w:val="6"/>
              <w:pageBreakBefore w:val="0"/>
              <w:kinsoku/>
              <w:wordWrap/>
              <w:overflowPunct/>
              <w:topLinePunct w:val="0"/>
              <w:autoSpaceDE/>
              <w:autoSpaceDN/>
              <w:bidi w:val="0"/>
              <w:snapToGrid/>
              <w:spacing w:line="240" w:lineRule="auto"/>
              <w:ind w:left="0"/>
              <w:jc w:val="center"/>
              <w:outlineLvl w:val="0"/>
              <w:rPr>
                <w:rFonts w:hint="default" w:ascii="Times New Roman" w:hAnsi="Times New Roman" w:eastAsia="宋体" w:cs="Times New Roman"/>
                <w:b w:val="0"/>
                <w:bCs w:val="0"/>
                <w:sz w:val="21"/>
                <w:szCs w:val="21"/>
                <w:highlight w:val="none"/>
                <w:lang w:eastAsia="zh-CN"/>
              </w:rPr>
            </w:pPr>
            <w:r>
              <w:rPr>
                <w:rFonts w:hint="default" w:ascii="Times New Roman" w:hAnsi="Times New Roman" w:eastAsia="宋体" w:cs="Times New Roman"/>
                <w:b w:val="0"/>
                <w:bCs w:val="0"/>
                <w:sz w:val="21"/>
                <w:szCs w:val="21"/>
                <w:highlight w:val="none"/>
                <w:lang w:val="en-US" w:eastAsia="zh-CN"/>
              </w:rPr>
              <w:t>1</w:t>
            </w:r>
          </w:p>
        </w:tc>
        <w:tc>
          <w:tcPr>
            <w:tcW w:w="217"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color w:val="000000"/>
                <w:sz w:val="21"/>
                <w:szCs w:val="21"/>
                <w:highlight w:val="none"/>
                <w:lang w:eastAsia="zh-CN"/>
              </w:rPr>
            </w:pPr>
            <w:r>
              <w:rPr>
                <w:rFonts w:hint="default" w:ascii="Times New Roman" w:hAnsi="Times New Roman" w:eastAsia="宋体" w:cs="Times New Roman"/>
                <w:b w:val="0"/>
                <w:bCs w:val="0"/>
                <w:color w:val="000000"/>
                <w:sz w:val="21"/>
                <w:szCs w:val="21"/>
                <w:highlight w:val="none"/>
                <w:lang w:val="en-US" w:eastAsia="zh-CN"/>
              </w:rPr>
              <w:t>把</w:t>
            </w:r>
          </w:p>
        </w:tc>
        <w:tc>
          <w:tcPr>
            <w:tcW w:w="555"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r>
      <w:tr>
        <w:tblPrEx>
          <w:tblCellMar>
            <w:top w:w="0" w:type="dxa"/>
            <w:left w:w="108" w:type="dxa"/>
            <w:bottom w:w="0" w:type="dxa"/>
            <w:right w:w="108" w:type="dxa"/>
          </w:tblCellMar>
        </w:tblPrEx>
        <w:trPr>
          <w:trHeight w:val="2876"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lang w:eastAsia="zh-CN"/>
              </w:rPr>
            </w:pPr>
            <w:r>
              <w:rPr>
                <w:rFonts w:hint="default" w:ascii="Times New Roman" w:hAnsi="Times New Roman" w:eastAsia="宋体" w:cs="Times New Roman"/>
                <w:b w:val="0"/>
                <w:bCs w:val="0"/>
                <w:sz w:val="21"/>
                <w:szCs w:val="21"/>
                <w:highlight w:val="none"/>
                <w:lang w:val="en-US" w:eastAsia="zh-CN"/>
              </w:rPr>
              <w:t>3</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i w:val="0"/>
                <w:iCs w:val="0"/>
                <w:caps w:val="0"/>
                <w:color w:val="333333"/>
                <w:spacing w:val="0"/>
                <w:sz w:val="21"/>
                <w:szCs w:val="21"/>
                <w:highlight w:val="none"/>
              </w:rPr>
              <w:t>五节铁皮柜</w:t>
            </w:r>
          </w:p>
        </w:tc>
        <w:tc>
          <w:tcPr>
            <w:tcW w:w="1140" w:type="pct"/>
            <w:gridSpan w:val="2"/>
            <w:tcBorders>
              <w:top w:val="single" w:color="000000" w:sz="4" w:space="0"/>
              <w:left w:val="single" w:color="000000" w:sz="4" w:space="0"/>
              <w:bottom w:val="single" w:color="000000" w:sz="4" w:space="0"/>
              <w:right w:val="single" w:color="000000"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953135" cy="1148715"/>
                  <wp:effectExtent l="0" t="0" r="12065" b="698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8">
                            <a:lum bright="-12000"/>
                          </a:blip>
                          <a:srcRect/>
                          <a:stretch>
                            <a:fillRect/>
                          </a:stretch>
                        </pic:blipFill>
                        <pic:spPr>
                          <a:xfrm>
                            <a:off x="0" y="0"/>
                            <a:ext cx="953135" cy="1148715"/>
                          </a:xfrm>
                          <a:prstGeom prst="rect">
                            <a:avLst/>
                          </a:prstGeom>
                          <a:noFill/>
                          <a:ln w="9525">
                            <a:noFill/>
                            <a:miter lim="800000"/>
                            <a:headEnd/>
                            <a:tailEnd/>
                          </a:ln>
                        </pic:spPr>
                      </pic:pic>
                    </a:graphicData>
                  </a:graphic>
                </wp:inline>
              </w:drawing>
            </w: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i w:val="0"/>
                <w:iCs w:val="0"/>
                <w:caps w:val="0"/>
                <w:color w:val="333333"/>
                <w:spacing w:val="0"/>
                <w:sz w:val="21"/>
                <w:szCs w:val="21"/>
                <w:highlight w:val="none"/>
              </w:rPr>
              <w:t>850*390*1950</w:t>
            </w:r>
          </w:p>
        </w:tc>
        <w:tc>
          <w:tcPr>
            <w:tcW w:w="1574" w:type="pct"/>
            <w:tcBorders>
              <w:top w:val="single" w:color="auto" w:sz="4" w:space="0"/>
              <w:left w:val="single" w:color="000000" w:sz="4" w:space="0"/>
              <w:bottom w:val="single" w:color="000000" w:sz="4" w:space="0"/>
              <w:right w:val="single" w:color="000000" w:sz="4" w:space="0"/>
            </w:tcBorders>
            <w:vAlign w:val="center"/>
          </w:tcPr>
          <w:p>
            <w:pPr>
              <w:pageBreakBefore w:val="0"/>
              <w:widowControl/>
              <w:numPr>
                <w:ilvl w:val="0"/>
                <w:numId w:val="1"/>
              </w:numPr>
              <w:kinsoku/>
              <w:wordWrap/>
              <w:overflowPunct/>
              <w:topLinePunct w:val="0"/>
              <w:autoSpaceDE/>
              <w:autoSpaceDN/>
              <w:bidi w:val="0"/>
              <w:snapToGrid/>
              <w:spacing w:line="240" w:lineRule="auto"/>
              <w:ind w:left="0" w:leftChars="0" w:firstLine="0" w:firstLineChars="0"/>
              <w:jc w:val="left"/>
              <w:textAlignment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i w:val="0"/>
                <w:iCs w:val="0"/>
                <w:caps w:val="0"/>
                <w:color w:val="333333"/>
                <w:spacing w:val="0"/>
                <w:sz w:val="21"/>
                <w:szCs w:val="21"/>
                <w:highlight w:val="none"/>
              </w:rPr>
              <w:t>采用优质品牌冷钆钢； 3、柜体：优质冷轧钢板，钢板厚度采用≥0.8mm标准，表面采用酸洗淋化、静电粉末喷涂处理；</w:t>
            </w:r>
          </w:p>
          <w:p>
            <w:pPr>
              <w:pageBreakBefore w:val="0"/>
              <w:widowControl/>
              <w:numPr>
                <w:ilvl w:val="0"/>
                <w:numId w:val="0"/>
              </w:numPr>
              <w:kinsoku/>
              <w:wordWrap/>
              <w:overflowPunct/>
              <w:topLinePunct w:val="0"/>
              <w:autoSpaceDE/>
              <w:autoSpaceDN/>
              <w:bidi w:val="0"/>
              <w:snapToGrid/>
              <w:spacing w:line="240" w:lineRule="auto"/>
              <w:ind w:leftChars="0"/>
              <w:jc w:val="both"/>
              <w:textAlignment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i w:val="0"/>
                <w:iCs w:val="0"/>
                <w:caps w:val="0"/>
                <w:color w:val="333333"/>
                <w:spacing w:val="0"/>
                <w:sz w:val="21"/>
                <w:szCs w:val="21"/>
                <w:highlight w:val="none"/>
              </w:rPr>
              <w:t>4、柜门：优质冷轧钢板，钢板厚度采用足1.0mm标准，表面采用酸洗淋化、静电粉末喷涂处理，上下门采用铁皮门，均配锁；</w:t>
            </w:r>
          </w:p>
          <w:p>
            <w:pPr>
              <w:pageBreakBefore w:val="0"/>
              <w:widowControl/>
              <w:numPr>
                <w:ilvl w:val="0"/>
                <w:numId w:val="0"/>
              </w:numPr>
              <w:kinsoku/>
              <w:wordWrap/>
              <w:overflowPunct/>
              <w:topLinePunct w:val="0"/>
              <w:autoSpaceDE/>
              <w:autoSpaceDN/>
              <w:bidi w:val="0"/>
              <w:snapToGrid/>
              <w:spacing w:line="240" w:lineRule="auto"/>
              <w:ind w:leftChars="0"/>
              <w:jc w:val="both"/>
              <w:textAlignment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i w:val="0"/>
                <w:iCs w:val="0"/>
                <w:caps w:val="0"/>
                <w:color w:val="333333"/>
                <w:spacing w:val="0"/>
                <w:sz w:val="21"/>
                <w:szCs w:val="21"/>
                <w:highlight w:val="none"/>
              </w:rPr>
              <w:t>5、搁板：优质冷轧钢板，钢板厚度采用足1.0mm标准，表面采用酸洗淋化、静电粉末喷涂处理，搁板底部加横梁处理，加大承重力，同时搁板支撑架加固。柜体由五节拼接而成，每层可独立使用</w:t>
            </w:r>
          </w:p>
          <w:p>
            <w:pPr>
              <w:pageBreakBefore w:val="0"/>
              <w:widowControl/>
              <w:numPr>
                <w:ilvl w:val="0"/>
                <w:numId w:val="0"/>
              </w:numPr>
              <w:kinsoku/>
              <w:wordWrap/>
              <w:overflowPunct/>
              <w:topLinePunct w:val="0"/>
              <w:autoSpaceDE/>
              <w:autoSpaceDN/>
              <w:bidi w:val="0"/>
              <w:snapToGrid/>
              <w:spacing w:line="240" w:lineRule="auto"/>
              <w:ind w:leftChars="0"/>
              <w:jc w:val="both"/>
              <w:textAlignment w:val="center"/>
              <w:rPr>
                <w:rFonts w:hint="default" w:ascii="Times New Roman" w:hAnsi="Times New Roman" w:eastAsia="宋体" w:cs="Times New Roman"/>
                <w:b w:val="0"/>
                <w:bCs w:val="0"/>
                <w:i w:val="0"/>
                <w:iCs w:val="0"/>
                <w:caps w:val="0"/>
                <w:color w:val="333333"/>
                <w:spacing w:val="0"/>
                <w:sz w:val="21"/>
                <w:szCs w:val="21"/>
                <w:highlight w:val="none"/>
                <w:lang w:eastAsia="zh-CN"/>
              </w:rPr>
            </w:pPr>
            <w:r>
              <w:rPr>
                <w:rFonts w:hint="default" w:ascii="Times New Roman" w:hAnsi="Times New Roman" w:eastAsia="宋体" w:cs="Times New Roman"/>
                <w:b w:val="0"/>
                <w:bCs w:val="0"/>
                <w:i w:val="0"/>
                <w:iCs w:val="0"/>
                <w:caps w:val="0"/>
                <w:color w:val="333333"/>
                <w:spacing w:val="0"/>
                <w:sz w:val="21"/>
                <w:szCs w:val="21"/>
                <w:highlight w:val="none"/>
              </w:rPr>
              <w:t>6、整体毛重≧40KG/个</w:t>
            </w:r>
            <w:r>
              <w:rPr>
                <w:rFonts w:hint="default" w:ascii="Times New Roman" w:hAnsi="Times New Roman" w:eastAsia="宋体" w:cs="Times New Roman"/>
                <w:b w:val="0"/>
                <w:bCs w:val="0"/>
                <w:i w:val="0"/>
                <w:iCs w:val="0"/>
                <w:caps w:val="0"/>
                <w:color w:val="333333"/>
                <w:spacing w:val="0"/>
                <w:sz w:val="21"/>
                <w:szCs w:val="21"/>
                <w:highlight w:val="none"/>
                <w:lang w:eastAsia="zh-CN"/>
              </w:rPr>
              <w:t>。</w:t>
            </w:r>
          </w:p>
          <w:p>
            <w:pPr>
              <w:pageBreakBefore w:val="0"/>
              <w:widowControl/>
              <w:numPr>
                <w:ilvl w:val="0"/>
                <w:numId w:val="0"/>
              </w:numPr>
              <w:kinsoku/>
              <w:wordWrap/>
              <w:overflowPunct/>
              <w:topLinePunct w:val="0"/>
              <w:autoSpaceDE/>
              <w:autoSpaceDN/>
              <w:bidi w:val="0"/>
              <w:snapToGrid/>
              <w:spacing w:line="240" w:lineRule="auto"/>
              <w:ind w:leftChars="0"/>
              <w:jc w:val="both"/>
              <w:textAlignment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i w:val="0"/>
                <w:iCs w:val="0"/>
                <w:caps w:val="0"/>
                <w:color w:val="333333"/>
                <w:spacing w:val="0"/>
                <w:sz w:val="21"/>
                <w:szCs w:val="21"/>
                <w:highlight w:val="none"/>
              </w:rPr>
              <w:t>7、五金件：优质定位铰链；（开启角度为125°）；柜门拉手采用内嵌拉手。</w:t>
            </w:r>
          </w:p>
          <w:p>
            <w:pPr>
              <w:pageBreakBefore w:val="0"/>
              <w:widowControl/>
              <w:numPr>
                <w:ilvl w:val="0"/>
                <w:numId w:val="0"/>
              </w:numPr>
              <w:kinsoku/>
              <w:wordWrap/>
              <w:overflowPunct/>
              <w:topLinePunct w:val="0"/>
              <w:autoSpaceDE/>
              <w:autoSpaceDN/>
              <w:bidi w:val="0"/>
              <w:snapToGrid/>
              <w:spacing w:line="240" w:lineRule="auto"/>
              <w:ind w:leftChars="0"/>
              <w:jc w:val="both"/>
              <w:textAlignment w:val="center"/>
              <w:rPr>
                <w:rFonts w:hint="default" w:ascii="Times New Roman" w:hAnsi="Times New Roman" w:eastAsia="宋体" w:cs="Times New Roman"/>
                <w:b w:val="0"/>
                <w:bCs w:val="0"/>
                <w:i w:val="0"/>
                <w:iCs w:val="0"/>
                <w:caps w:val="0"/>
                <w:color w:val="333333"/>
                <w:spacing w:val="0"/>
                <w:sz w:val="21"/>
                <w:szCs w:val="21"/>
                <w:highlight w:val="none"/>
                <w:lang w:val="en-US" w:eastAsia="zh-CN"/>
              </w:rPr>
            </w:pPr>
            <w:r>
              <w:rPr>
                <w:rFonts w:hint="default" w:ascii="Times New Roman" w:hAnsi="Times New Roman" w:eastAsia="宋体" w:cs="Times New Roman"/>
                <w:b w:val="0"/>
                <w:bCs w:val="0"/>
                <w:i w:val="0"/>
                <w:iCs w:val="0"/>
                <w:caps w:val="0"/>
                <w:color w:val="333333"/>
                <w:spacing w:val="0"/>
                <w:sz w:val="21"/>
                <w:szCs w:val="21"/>
                <w:highlight w:val="none"/>
              </w:rPr>
              <w:t>8、外表处理：磨砂静电喷塑工艺</w:t>
            </w:r>
            <w:r>
              <w:rPr>
                <w:rFonts w:hint="default" w:ascii="Times New Roman" w:hAnsi="Times New Roman" w:eastAsia="宋体" w:cs="Times New Roman"/>
                <w:b w:val="0"/>
                <w:bCs w:val="0"/>
                <w:i w:val="0"/>
                <w:iCs w:val="0"/>
                <w:caps w:val="0"/>
                <w:color w:val="333333"/>
                <w:spacing w:val="0"/>
                <w:sz w:val="21"/>
                <w:szCs w:val="21"/>
                <w:highlight w:val="none"/>
                <w:lang w:val="en-US" w:eastAsia="zh-CN"/>
              </w:rPr>
              <w:t xml:space="preserve"> </w:t>
            </w:r>
          </w:p>
          <w:p>
            <w:pPr>
              <w:pageBreakBefore w:val="0"/>
              <w:widowControl/>
              <w:numPr>
                <w:ilvl w:val="0"/>
                <w:numId w:val="0"/>
              </w:numPr>
              <w:kinsoku/>
              <w:wordWrap/>
              <w:overflowPunct/>
              <w:topLinePunct w:val="0"/>
              <w:autoSpaceDE/>
              <w:autoSpaceDN/>
              <w:bidi w:val="0"/>
              <w:snapToGrid/>
              <w:spacing w:line="240" w:lineRule="auto"/>
              <w:ind w:leftChars="0"/>
              <w:jc w:val="both"/>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i w:val="0"/>
                <w:iCs w:val="0"/>
                <w:caps w:val="0"/>
                <w:color w:val="333333"/>
                <w:spacing w:val="0"/>
                <w:sz w:val="21"/>
                <w:szCs w:val="21"/>
                <w:highlight w:val="none"/>
              </w:rPr>
              <w:t>9、颜色：灰白色</w:t>
            </w:r>
            <w:r>
              <w:rPr>
                <w:rFonts w:hint="default" w:ascii="Times New Roman" w:hAnsi="Times New Roman" w:eastAsia="宋体" w:cs="Times New Roman"/>
                <w:b w:val="0"/>
                <w:bCs w:val="0"/>
                <w:color w:val="000000"/>
                <w:kern w:val="0"/>
                <w:sz w:val="21"/>
                <w:szCs w:val="21"/>
                <w:highlight w:val="none"/>
                <w:lang w:val="en-US" w:eastAsia="zh-CN" w:bidi="ar"/>
              </w:rPr>
              <w:t xml:space="preserve"> </w:t>
            </w:r>
          </w:p>
          <w:p>
            <w:pPr>
              <w:pageBreakBefore w:val="0"/>
              <w:widowControl/>
              <w:numPr>
                <w:ilvl w:val="0"/>
                <w:numId w:val="0"/>
              </w:numPr>
              <w:kinsoku/>
              <w:wordWrap/>
              <w:overflowPunct/>
              <w:topLinePunct w:val="0"/>
              <w:autoSpaceDE/>
              <w:autoSpaceDN/>
              <w:bidi w:val="0"/>
              <w:snapToGrid/>
              <w:spacing w:line="240" w:lineRule="auto"/>
              <w:ind w:leftChars="0"/>
              <w:jc w:val="both"/>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color w:val="000000"/>
                <w:kern w:val="0"/>
                <w:sz w:val="21"/>
                <w:szCs w:val="21"/>
                <w:highlight w:val="none"/>
                <w:lang w:val="en-US" w:eastAsia="zh-CN" w:bidi="ar"/>
              </w:rPr>
              <w:t>10、</w:t>
            </w:r>
            <w:r>
              <w:rPr>
                <w:rFonts w:hint="default" w:ascii="Times New Roman" w:hAnsi="Times New Roman" w:eastAsia="宋体" w:cs="Times New Roman"/>
                <w:b w:val="0"/>
                <w:bCs w:val="0"/>
                <w:color w:val="000000"/>
                <w:kern w:val="0"/>
                <w:sz w:val="21"/>
                <w:szCs w:val="21"/>
                <w:highlight w:val="none"/>
                <w:lang w:bidi="ar"/>
              </w:rPr>
              <w:t>工艺：经磷化，酸洗，固化，清洗后镀铬处理，增加轴表面的防腐蚀性能。</w:t>
            </w:r>
          </w:p>
        </w:tc>
        <w:tc>
          <w:tcPr>
            <w:tcW w:w="270" w:type="pct"/>
            <w:tcBorders>
              <w:top w:val="single" w:color="auto" w:sz="4" w:space="0"/>
              <w:left w:val="single" w:color="000000" w:sz="4" w:space="0"/>
              <w:bottom w:val="single" w:color="000000" w:sz="4" w:space="0"/>
              <w:right w:val="single" w:color="000000" w:sz="4" w:space="0"/>
            </w:tcBorders>
            <w:vAlign w:val="center"/>
          </w:tcPr>
          <w:p>
            <w:pPr>
              <w:pStyle w:val="6"/>
              <w:pageBreakBefore w:val="0"/>
              <w:kinsoku/>
              <w:wordWrap/>
              <w:overflowPunct/>
              <w:topLinePunct w:val="0"/>
              <w:autoSpaceDE/>
              <w:autoSpaceDN/>
              <w:bidi w:val="0"/>
              <w:snapToGrid/>
              <w:spacing w:line="240" w:lineRule="auto"/>
              <w:ind w:left="0"/>
              <w:jc w:val="center"/>
              <w:outlineLvl w:val="0"/>
              <w:rPr>
                <w:rFonts w:hint="default" w:ascii="Times New Roman" w:hAnsi="Times New Roman" w:eastAsia="宋体" w:cs="Times New Roman"/>
                <w:b w:val="0"/>
                <w:bCs w:val="0"/>
                <w:sz w:val="21"/>
                <w:szCs w:val="21"/>
                <w:highlight w:val="none"/>
                <w:lang w:eastAsia="zh-CN"/>
              </w:rPr>
            </w:pPr>
            <w:r>
              <w:rPr>
                <w:rFonts w:hint="default" w:ascii="Times New Roman" w:hAnsi="Times New Roman" w:eastAsia="宋体" w:cs="Times New Roman"/>
                <w:b w:val="0"/>
                <w:bCs w:val="0"/>
                <w:sz w:val="21"/>
                <w:szCs w:val="21"/>
                <w:highlight w:val="none"/>
                <w:lang w:val="en-US" w:eastAsia="zh-CN"/>
              </w:rPr>
              <w:t>1</w:t>
            </w:r>
          </w:p>
        </w:tc>
        <w:tc>
          <w:tcPr>
            <w:tcW w:w="217" w:type="pct"/>
            <w:tcBorders>
              <w:top w:val="single" w:color="auto"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eastAsia="宋体" w:cs="Times New Roman"/>
                <w:b w:val="0"/>
                <w:bCs w:val="0"/>
                <w:color w:val="000000"/>
                <w:sz w:val="21"/>
                <w:szCs w:val="21"/>
                <w:highlight w:val="none"/>
                <w:lang w:val="en-US" w:eastAsia="zh-CN"/>
              </w:rPr>
              <w:t>组</w:t>
            </w:r>
          </w:p>
        </w:tc>
        <w:tc>
          <w:tcPr>
            <w:tcW w:w="555" w:type="pct"/>
            <w:tcBorders>
              <w:top w:val="single" w:color="auto"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r>
      <w:tr>
        <w:tblPrEx>
          <w:tblCellMar>
            <w:top w:w="0" w:type="dxa"/>
            <w:left w:w="108" w:type="dxa"/>
            <w:bottom w:w="0" w:type="dxa"/>
            <w:right w:w="108" w:type="dxa"/>
          </w:tblCellMar>
        </w:tblPrEx>
        <w:trPr>
          <w:trHeight w:val="373"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经管中心</w:t>
            </w:r>
            <w:r>
              <w:rPr>
                <w:rFonts w:hint="default" w:ascii="Times New Roman" w:hAnsi="Times New Roman" w:eastAsia="宋体" w:cs="Times New Roman"/>
                <w:b/>
                <w:bCs/>
                <w:sz w:val="21"/>
                <w:szCs w:val="21"/>
                <w:highlight w:val="none"/>
              </w:rPr>
              <w:t>（联系人：</w:t>
            </w:r>
            <w:r>
              <w:rPr>
                <w:rFonts w:hint="default" w:ascii="Times New Roman" w:hAnsi="Times New Roman" w:eastAsia="宋体" w:cs="Times New Roman"/>
                <w:b/>
                <w:bCs/>
                <w:sz w:val="21"/>
                <w:szCs w:val="21"/>
                <w:highlight w:val="none"/>
                <w:lang w:val="en-US" w:eastAsia="zh-CN"/>
              </w:rPr>
              <w:t>范</w:t>
            </w:r>
            <w:r>
              <w:rPr>
                <w:rFonts w:hint="default" w:ascii="Times New Roman" w:hAnsi="Times New Roman" w:eastAsia="宋体" w:cs="Times New Roman"/>
                <w:b/>
                <w:bCs/>
                <w:sz w:val="21"/>
                <w:szCs w:val="21"/>
                <w:highlight w:val="none"/>
              </w:rPr>
              <w:t>老师</w:t>
            </w:r>
            <w:r>
              <w:rPr>
                <w:rFonts w:hint="default" w:ascii="Times New Roman" w:hAnsi="Times New Roman" w:eastAsia="宋体" w:cs="Times New Roman"/>
                <w:b/>
                <w:bCs/>
                <w:sz w:val="21"/>
                <w:szCs w:val="21"/>
                <w:highlight w:val="none"/>
                <w:lang w:eastAsia="zh-CN"/>
              </w:rPr>
              <w:t>，</w:t>
            </w:r>
            <w:r>
              <w:rPr>
                <w:rFonts w:hint="default" w:ascii="Times New Roman" w:hAnsi="Times New Roman" w:eastAsia="宋体" w:cs="Times New Roman"/>
                <w:b/>
                <w:bCs/>
                <w:sz w:val="21"/>
                <w:szCs w:val="21"/>
                <w:highlight w:val="none"/>
              </w:rPr>
              <w:t>13983438183）</w:t>
            </w:r>
          </w:p>
        </w:tc>
      </w:tr>
      <w:tr>
        <w:tblPrEx>
          <w:tblCellMar>
            <w:top w:w="0" w:type="dxa"/>
            <w:left w:w="108" w:type="dxa"/>
            <w:bottom w:w="0" w:type="dxa"/>
            <w:right w:w="108" w:type="dxa"/>
          </w:tblCellMar>
        </w:tblPrEx>
        <w:trPr>
          <w:trHeight w:val="90"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1</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color w:val="000000"/>
                <w:kern w:val="0"/>
                <w:sz w:val="21"/>
                <w:szCs w:val="21"/>
                <w:highlight w:val="none"/>
                <w:lang w:bidi="ar"/>
              </w:rPr>
              <w:t>展示柜</w:t>
            </w:r>
          </w:p>
        </w:tc>
        <w:tc>
          <w:tcPr>
            <w:tcW w:w="1140" w:type="pct"/>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1053465" cy="1410970"/>
                  <wp:effectExtent l="0" t="0" r="13335" b="635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tretch>
                            <a:fillRect/>
                          </a:stretch>
                        </pic:blipFill>
                        <pic:spPr>
                          <a:xfrm>
                            <a:off x="0" y="0"/>
                            <a:ext cx="1053465" cy="1410970"/>
                          </a:xfrm>
                          <a:prstGeom prst="rect">
                            <a:avLst/>
                          </a:prstGeom>
                          <a:noFill/>
                          <a:ln w="9525">
                            <a:noFill/>
                          </a:ln>
                        </pic:spPr>
                      </pic:pic>
                    </a:graphicData>
                  </a:graphic>
                </wp:inline>
              </w:drawing>
            </w:r>
          </w:p>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1283970" cy="831215"/>
                  <wp:effectExtent l="0" t="0" r="11430" b="6985"/>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10"/>
                          <a:stretch>
                            <a:fillRect/>
                          </a:stretch>
                        </pic:blipFill>
                        <pic:spPr>
                          <a:xfrm flipV="1">
                            <a:off x="0" y="0"/>
                            <a:ext cx="1283970" cy="831215"/>
                          </a:xfrm>
                          <a:prstGeom prst="rect">
                            <a:avLst/>
                          </a:prstGeom>
                          <a:noFill/>
                          <a:ln w="9525">
                            <a:noFill/>
                          </a:ln>
                        </pic:spPr>
                      </pic:pic>
                    </a:graphicData>
                  </a:graphic>
                </wp:inline>
              </w:drawing>
            </w: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eastAsia="zh-CN" w:bidi="ar"/>
              </w:rPr>
            </w:pPr>
            <w:r>
              <w:rPr>
                <w:rFonts w:hint="default" w:ascii="Times New Roman" w:hAnsi="Times New Roman" w:eastAsia="宋体" w:cs="Times New Roman"/>
                <w:b w:val="0"/>
                <w:bCs w:val="0"/>
                <w:color w:val="000000"/>
                <w:kern w:val="0"/>
                <w:sz w:val="21"/>
                <w:szCs w:val="21"/>
                <w:highlight w:val="none"/>
                <w:lang w:bidi="ar"/>
              </w:rPr>
              <w:t>4200*390*2200</w:t>
            </w:r>
            <w:r>
              <w:rPr>
                <w:rFonts w:hint="default" w:ascii="Times New Roman" w:hAnsi="Times New Roman" w:eastAsia="宋体" w:cs="Times New Roman"/>
                <w:b w:val="0"/>
                <w:bCs w:val="0"/>
                <w:color w:val="000000"/>
                <w:kern w:val="0"/>
                <w:sz w:val="21"/>
                <w:szCs w:val="21"/>
                <w:highlight w:val="none"/>
                <w:lang w:val="en-US" w:eastAsia="zh-CN" w:bidi="ar"/>
              </w:rPr>
              <w:t>cm</w:t>
            </w:r>
          </w:p>
        </w:tc>
        <w:tc>
          <w:tcPr>
            <w:tcW w:w="1574" w:type="pct"/>
            <w:tcBorders>
              <w:top w:val="single" w:color="000000" w:sz="4" w:space="0"/>
              <w:left w:val="single" w:color="000000" w:sz="4" w:space="0"/>
              <w:bottom w:val="single" w:color="000000" w:sz="4" w:space="0"/>
              <w:right w:val="single" w:color="000000" w:sz="4" w:space="0"/>
            </w:tcBorders>
            <w:vAlign w:val="center"/>
          </w:tcPr>
          <w:p>
            <w:pPr>
              <w:pageBreakBefore w:val="0"/>
              <w:widowControl/>
              <w:numPr>
                <w:ilvl w:val="0"/>
                <w:numId w:val="2"/>
              </w:numPr>
              <w:kinsoku/>
              <w:wordWrap/>
              <w:overflowPunct/>
              <w:topLinePunct w:val="0"/>
              <w:autoSpaceDE/>
              <w:autoSpaceDN/>
              <w:bidi w:val="0"/>
              <w:snapToGrid/>
              <w:spacing w:line="240" w:lineRule="auto"/>
              <w:jc w:val="left"/>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color w:val="000000"/>
                <w:kern w:val="0"/>
                <w:sz w:val="21"/>
                <w:szCs w:val="21"/>
                <w:highlight w:val="none"/>
                <w:lang w:bidi="ar"/>
              </w:rPr>
              <w:t>基材：选用E1级浸渍胶膜纸饰面刨花板，浸渍胶膜纸饰面刨花板符合GB 18580-2017、GB/T 15102-2017 标准，判定依据为浸渍胶膜纸饰面纤维板和浸渍胶膜纸饰面刨花板产品质量监督抽查实施细则；其中静曲强度(MPa)≥11，2h吸水厚度膨胀率≤8%，表面胶合强度(MPa)≥0.6，表面耐磨检验合格，表面耐干热、表面耐龟裂≥5级，甲醛释放量≤0.08mg/m3；</w:t>
            </w:r>
          </w:p>
          <w:p>
            <w:pPr>
              <w:pageBreakBefore w:val="0"/>
              <w:widowControl/>
              <w:numPr>
                <w:ilvl w:val="0"/>
                <w:numId w:val="0"/>
              </w:numPr>
              <w:kinsoku/>
              <w:wordWrap/>
              <w:overflowPunct/>
              <w:topLinePunct w:val="0"/>
              <w:autoSpaceDE/>
              <w:autoSpaceDN/>
              <w:bidi w:val="0"/>
              <w:snapToGrid/>
              <w:spacing w:line="240" w:lineRule="auto"/>
              <w:jc w:val="both"/>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color w:val="000000"/>
                <w:kern w:val="0"/>
                <w:sz w:val="21"/>
                <w:szCs w:val="21"/>
                <w:highlight w:val="none"/>
                <w:lang w:bidi="ar"/>
              </w:rPr>
              <w:t>2、封边：采用2.0mm厚PVC同色封边条，热熔胶（环保，一级）180℃ 高温全自动机封边，表面无划痕、粘固牢固，符合QB/T4463-2013标准，甲醛释放量≤0.1mg/L；</w:t>
            </w:r>
          </w:p>
          <w:p>
            <w:pPr>
              <w:pageBreakBefore w:val="0"/>
              <w:widowControl/>
              <w:numPr>
                <w:ilvl w:val="0"/>
                <w:numId w:val="0"/>
              </w:numPr>
              <w:kinsoku/>
              <w:wordWrap/>
              <w:overflowPunct/>
              <w:topLinePunct w:val="0"/>
              <w:autoSpaceDE/>
              <w:autoSpaceDN/>
              <w:bidi w:val="0"/>
              <w:snapToGrid/>
              <w:spacing w:line="240" w:lineRule="auto"/>
              <w:ind w:leftChars="0"/>
              <w:jc w:val="both"/>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color w:val="000000"/>
                <w:kern w:val="0"/>
                <w:sz w:val="21"/>
                <w:szCs w:val="21"/>
                <w:highlight w:val="none"/>
                <w:lang w:val="en-US" w:eastAsia="zh-CN" w:bidi="ar"/>
              </w:rPr>
              <w:t>3、</w:t>
            </w:r>
            <w:r>
              <w:rPr>
                <w:rFonts w:hint="default" w:ascii="Times New Roman" w:hAnsi="Times New Roman" w:eastAsia="宋体" w:cs="Times New Roman"/>
                <w:b w:val="0"/>
                <w:bCs w:val="0"/>
                <w:color w:val="000000"/>
                <w:kern w:val="0"/>
                <w:sz w:val="21"/>
                <w:szCs w:val="21"/>
                <w:highlight w:val="none"/>
                <w:lang w:bidi="ar"/>
              </w:rPr>
              <w:t>粘胶剂：采用品牌环保乳白胶，符合GB18583-2008标准， 游离甲醛(g/kg)≤1.0,苯(g/kg)≤0.2，甲苯+二甲苯(g/kg)≤5，总挥发有机物（g/L）≤100。</w:t>
            </w:r>
          </w:p>
          <w:p>
            <w:pPr>
              <w:pageBreakBefore w:val="0"/>
              <w:widowControl/>
              <w:numPr>
                <w:ilvl w:val="0"/>
                <w:numId w:val="0"/>
              </w:numPr>
              <w:kinsoku/>
              <w:wordWrap/>
              <w:overflowPunct/>
              <w:topLinePunct w:val="0"/>
              <w:autoSpaceDE/>
              <w:autoSpaceDN/>
              <w:bidi w:val="0"/>
              <w:snapToGrid/>
              <w:spacing w:line="240" w:lineRule="auto"/>
              <w:ind w:leftChars="0"/>
              <w:jc w:val="both"/>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color w:val="000000"/>
                <w:kern w:val="0"/>
                <w:sz w:val="21"/>
                <w:szCs w:val="21"/>
                <w:highlight w:val="none"/>
                <w:lang w:bidi="ar"/>
              </w:rPr>
              <w:t>4、五金配件：采用品牌五金配件，所有五金件作电解处理，可以防锈、防腐，经久耐用。</w:t>
            </w:r>
          </w:p>
          <w:p>
            <w:pPr>
              <w:pageBreakBefore w:val="0"/>
              <w:widowControl/>
              <w:numPr>
                <w:ilvl w:val="0"/>
                <w:numId w:val="0"/>
              </w:numPr>
              <w:kinsoku/>
              <w:wordWrap/>
              <w:overflowPunct/>
              <w:topLinePunct w:val="0"/>
              <w:autoSpaceDE/>
              <w:autoSpaceDN/>
              <w:bidi w:val="0"/>
              <w:snapToGrid/>
              <w:spacing w:line="240" w:lineRule="auto"/>
              <w:ind w:leftChars="0"/>
              <w:jc w:val="both"/>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color w:val="000000"/>
                <w:kern w:val="0"/>
                <w:sz w:val="21"/>
                <w:szCs w:val="21"/>
                <w:highlight w:val="none"/>
                <w:lang w:bidi="ar"/>
              </w:rPr>
              <w:t>5</w:t>
            </w:r>
            <w:r>
              <w:rPr>
                <w:rFonts w:hint="default" w:ascii="Times New Roman" w:hAnsi="Times New Roman" w:eastAsia="宋体" w:cs="Times New Roman"/>
                <w:b w:val="0"/>
                <w:bCs w:val="0"/>
                <w:color w:val="000000"/>
                <w:kern w:val="0"/>
                <w:sz w:val="21"/>
                <w:szCs w:val="21"/>
                <w:highlight w:val="none"/>
                <w:lang w:eastAsia="zh-CN" w:bidi="ar"/>
              </w:rPr>
              <w:t>、</w:t>
            </w:r>
            <w:r>
              <w:rPr>
                <w:rFonts w:hint="default" w:ascii="Times New Roman" w:hAnsi="Times New Roman" w:eastAsia="宋体" w:cs="Times New Roman"/>
                <w:b w:val="0"/>
                <w:bCs w:val="0"/>
                <w:color w:val="000000"/>
                <w:kern w:val="0"/>
                <w:sz w:val="21"/>
                <w:szCs w:val="21"/>
                <w:highlight w:val="none"/>
                <w:lang w:bidi="ar"/>
              </w:rPr>
              <w:t>边侧板、底板、门板、背板16mm板，其它25mm板</w:t>
            </w: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1</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组</w:t>
            </w:r>
          </w:p>
        </w:tc>
        <w:tc>
          <w:tcPr>
            <w:tcW w:w="555"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安装重庆工商大学主校区商智楼1406</w:t>
            </w:r>
          </w:p>
        </w:tc>
      </w:tr>
      <w:tr>
        <w:tblPrEx>
          <w:tblCellMar>
            <w:top w:w="0" w:type="dxa"/>
            <w:left w:w="108" w:type="dxa"/>
            <w:bottom w:w="0" w:type="dxa"/>
            <w:right w:w="108" w:type="dxa"/>
          </w:tblCellMar>
        </w:tblPrEx>
        <w:trPr>
          <w:trHeight w:val="435"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bCs/>
                <w:sz w:val="21"/>
                <w:szCs w:val="21"/>
                <w:highlight w:val="none"/>
                <w:lang w:val="en-US" w:eastAsia="zh-CN"/>
              </w:rPr>
              <w:t>党政办</w:t>
            </w:r>
            <w:r>
              <w:rPr>
                <w:rFonts w:hint="default" w:ascii="Times New Roman" w:hAnsi="Times New Roman" w:eastAsia="宋体" w:cs="Times New Roman"/>
                <w:b/>
                <w:bCs/>
                <w:sz w:val="21"/>
                <w:szCs w:val="21"/>
                <w:highlight w:val="none"/>
              </w:rPr>
              <w:t>（联系人：</w:t>
            </w:r>
            <w:r>
              <w:rPr>
                <w:rFonts w:hint="default" w:ascii="Times New Roman" w:hAnsi="Times New Roman" w:eastAsia="宋体" w:cs="Times New Roman"/>
                <w:b/>
                <w:bCs/>
                <w:sz w:val="21"/>
                <w:szCs w:val="21"/>
                <w:highlight w:val="none"/>
                <w:lang w:val="en-US" w:eastAsia="zh-CN"/>
              </w:rPr>
              <w:t>莫</w:t>
            </w:r>
            <w:r>
              <w:rPr>
                <w:rFonts w:hint="default" w:ascii="Times New Roman" w:hAnsi="Times New Roman" w:eastAsia="宋体" w:cs="Times New Roman"/>
                <w:b/>
                <w:bCs/>
                <w:sz w:val="21"/>
                <w:szCs w:val="21"/>
                <w:highlight w:val="none"/>
              </w:rPr>
              <w:t>老师</w:t>
            </w:r>
            <w:r>
              <w:rPr>
                <w:rFonts w:hint="default" w:ascii="Times New Roman" w:hAnsi="Times New Roman" w:eastAsia="宋体" w:cs="Times New Roman"/>
                <w:b/>
                <w:bCs/>
                <w:sz w:val="21"/>
                <w:szCs w:val="21"/>
                <w:highlight w:val="none"/>
                <w:lang w:eastAsia="zh-CN"/>
              </w:rPr>
              <w:t>，</w:t>
            </w:r>
            <w:r>
              <w:rPr>
                <w:rFonts w:hint="default" w:ascii="Times New Roman" w:hAnsi="Times New Roman" w:eastAsia="宋体" w:cs="Times New Roman"/>
                <w:b/>
                <w:bCs/>
                <w:sz w:val="21"/>
                <w:szCs w:val="21"/>
                <w:highlight w:val="none"/>
              </w:rPr>
              <w:t>13996071408）</w:t>
            </w:r>
          </w:p>
        </w:tc>
      </w:tr>
      <w:tr>
        <w:tblPrEx>
          <w:tblCellMar>
            <w:top w:w="0" w:type="dxa"/>
            <w:left w:w="108" w:type="dxa"/>
            <w:bottom w:w="0" w:type="dxa"/>
            <w:right w:w="108" w:type="dxa"/>
          </w:tblCellMar>
        </w:tblPrEx>
        <w:trPr>
          <w:trHeight w:val="695"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1</w:t>
            </w:r>
          </w:p>
        </w:tc>
        <w:tc>
          <w:tcPr>
            <w:tcW w:w="517" w:type="pct"/>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lang w:val="en-US" w:eastAsia="zh-CN"/>
              </w:rPr>
              <w:t>会议桌</w:t>
            </w:r>
          </w:p>
        </w:tc>
        <w:tc>
          <w:tcPr>
            <w:tcW w:w="1024"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1037590" cy="589280"/>
                  <wp:effectExtent l="0" t="0" r="3810" b="7620"/>
                  <wp:docPr id="2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pic:cNvPicPr>
                            <a:picLocks noChangeAspect="1"/>
                          </pic:cNvPicPr>
                        </pic:nvPicPr>
                        <pic:blipFill>
                          <a:blip r:embed="rId11" cstate="print"/>
                          <a:stretch>
                            <a:fillRect/>
                          </a:stretch>
                        </pic:blipFill>
                        <pic:spPr>
                          <a:xfrm>
                            <a:off x="0" y="0"/>
                            <a:ext cx="1037590" cy="589280"/>
                          </a:xfrm>
                          <a:prstGeom prst="rect">
                            <a:avLst/>
                          </a:prstGeom>
                        </pic:spPr>
                      </pic:pic>
                    </a:graphicData>
                  </a:graphic>
                </wp:inline>
              </w:drawing>
            </w: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bidi="ar"/>
              </w:rPr>
            </w:pPr>
          </w:p>
        </w:tc>
        <w:tc>
          <w:tcPr>
            <w:tcW w:w="1574" w:type="pct"/>
            <w:tcBorders>
              <w:top w:val="single" w:color="000000" w:sz="4" w:space="0"/>
              <w:left w:val="single" w:color="000000" w:sz="4" w:space="0"/>
              <w:bottom w:val="single" w:color="000000" w:sz="4" w:space="0"/>
              <w:right w:val="single" w:color="000000" w:sz="4" w:space="0"/>
            </w:tcBorders>
            <w:vAlign w:val="center"/>
          </w:tcPr>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1.规格：4500*1400*760</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2.板材：优质E1级多层实木板，厚度32mm，经防虫、防腐等化学处理；符合GB 18580-2017、GB 8624-2012标准要求，提供合格佐证资料；甲醛释放量≤0.08mg/m³，燃烧性能达到B1级要求。</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3.封边：采用厚度≥2.2mm PVC直封边，无缝、防水；封边颜色为台面近似色；</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4.热熔胶：优质热溶胶封边。胶合性能极佳，抗温差候变较强、不易老化，不脱胶，不褪色、柔韧适中，无异味，产品质量均符合国家标准；甲醛释放量均低于(mg/L)≤0.3。</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5.五金配件：采用品牌五金配件，所有五金件作电解处理，可以防锈、防腐，经久耐用。</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6.颜色可选</w:t>
            </w:r>
          </w:p>
          <w:p>
            <w:pPr>
              <w:pageBreakBefore w:val="0"/>
              <w:widowControl/>
              <w:kinsoku/>
              <w:wordWrap/>
              <w:overflowPunct/>
              <w:topLinePunct w:val="0"/>
              <w:autoSpaceDE/>
              <w:autoSpaceDN/>
              <w:bidi w:val="0"/>
              <w:snapToGrid/>
              <w:spacing w:line="240" w:lineRule="auto"/>
              <w:ind w:left="0" w:leftChars="0" w:firstLine="0" w:firstLineChars="0"/>
              <w:jc w:val="left"/>
              <w:textAlignment w:val="center"/>
              <w:rPr>
                <w:rFonts w:hint="default" w:ascii="Times New Roman" w:hAnsi="Times New Roman" w:eastAsia="宋体" w:cs="Times New Roman"/>
                <w:b w:val="0"/>
                <w:bCs w:val="0"/>
                <w:color w:val="000000"/>
                <w:kern w:val="0"/>
                <w:sz w:val="21"/>
                <w:szCs w:val="21"/>
                <w:highlight w:val="none"/>
                <w:lang w:bidi="ar"/>
              </w:rPr>
            </w:pP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lang w:val="en-US" w:eastAsia="zh-CN"/>
              </w:rPr>
              <w:t>1</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lang w:val="en-US" w:eastAsia="zh-CN"/>
              </w:rPr>
              <w:t>张</w:t>
            </w:r>
          </w:p>
        </w:tc>
        <w:tc>
          <w:tcPr>
            <w:tcW w:w="555"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p>
        </w:tc>
      </w:tr>
      <w:tr>
        <w:tblPrEx>
          <w:tblCellMar>
            <w:top w:w="0" w:type="dxa"/>
            <w:left w:w="108" w:type="dxa"/>
            <w:bottom w:w="0" w:type="dxa"/>
            <w:right w:w="108" w:type="dxa"/>
          </w:tblCellMar>
        </w:tblPrEx>
        <w:trPr>
          <w:trHeight w:val="595"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2</w:t>
            </w:r>
          </w:p>
        </w:tc>
        <w:tc>
          <w:tcPr>
            <w:tcW w:w="517" w:type="pct"/>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lang w:val="en-US" w:eastAsia="zh-CN"/>
              </w:rPr>
              <w:t>会议椅</w:t>
            </w:r>
          </w:p>
        </w:tc>
        <w:tc>
          <w:tcPr>
            <w:tcW w:w="1024"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937895" cy="1149350"/>
                  <wp:effectExtent l="0" t="0" r="1905" b="6350"/>
                  <wp:docPr id="29"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8"/>
                          <pic:cNvPicPr>
                            <a:picLocks noChangeAspect="1"/>
                          </pic:cNvPicPr>
                        </pic:nvPicPr>
                        <pic:blipFill>
                          <a:blip r:embed="rId12" cstate="print"/>
                          <a:stretch>
                            <a:fillRect/>
                          </a:stretch>
                        </pic:blipFill>
                        <pic:spPr>
                          <a:xfrm>
                            <a:off x="0" y="0"/>
                            <a:ext cx="937895" cy="1149350"/>
                          </a:xfrm>
                          <a:prstGeom prst="rect">
                            <a:avLst/>
                          </a:prstGeom>
                        </pic:spPr>
                      </pic:pic>
                    </a:graphicData>
                  </a:graphic>
                </wp:inline>
              </w:drawing>
            </w: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bidi="ar"/>
              </w:rPr>
            </w:pPr>
          </w:p>
        </w:tc>
        <w:tc>
          <w:tcPr>
            <w:tcW w:w="1574" w:type="pct"/>
            <w:tcBorders>
              <w:top w:val="single" w:color="000000" w:sz="4" w:space="0"/>
              <w:left w:val="single" w:color="000000" w:sz="4" w:space="0"/>
              <w:bottom w:val="single" w:color="000000" w:sz="4" w:space="0"/>
              <w:right w:val="single" w:color="000000" w:sz="4" w:space="0"/>
            </w:tcBorders>
            <w:vAlign w:val="center"/>
          </w:tcPr>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1.规格：565*620*1020</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2.面料：表层选用优质西皮，皮面无明显色彩、表面无龟裂、手感柔软光泽度好，透气性强。</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3.海绵：高回弹阻燃橡塑海绵，软硬适中，回弹性能好，燃烧性能符合GB 8624-2012标准，提供合格佐证资料，燃烧性能检验达到B1要求。</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4.脚架：钢制弓形脚架，经磷化，酸洗，固化，清洗后镀铬处理，增加轴表面的防腐蚀性能。</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5.工艺：面料缝线无跳针或明显浮线；无断线脱线现象或外露线头，嵌线圆滑顺直，圆弧处均匀对称；皮料包覆平服饱满无明显皱折，松紧均匀无明显松弛现象。</w:t>
            </w:r>
          </w:p>
          <w:p>
            <w:pPr>
              <w:pageBreakBefore w:val="0"/>
              <w:widowControl/>
              <w:kinsoku/>
              <w:wordWrap/>
              <w:overflowPunct/>
              <w:topLinePunct w:val="0"/>
              <w:autoSpaceDE/>
              <w:autoSpaceDN/>
              <w:bidi w:val="0"/>
              <w:snapToGrid/>
              <w:spacing w:line="240" w:lineRule="auto"/>
              <w:ind w:left="0" w:leftChars="0" w:firstLine="0" w:firstLineChars="0"/>
              <w:jc w:val="left"/>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lang w:val="en-US" w:eastAsia="zh-CN"/>
              </w:rPr>
              <w:t>6.颜色可选</w:t>
            </w: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lang w:val="en-US" w:eastAsia="zh-CN"/>
              </w:rPr>
              <w:t>18</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lang w:val="en-US" w:eastAsia="zh-CN"/>
              </w:rPr>
              <w:t>把</w:t>
            </w:r>
          </w:p>
        </w:tc>
        <w:tc>
          <w:tcPr>
            <w:tcW w:w="555"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p>
        </w:tc>
      </w:tr>
      <w:tr>
        <w:tblPrEx>
          <w:tblCellMar>
            <w:top w:w="0" w:type="dxa"/>
            <w:left w:w="108" w:type="dxa"/>
            <w:bottom w:w="0" w:type="dxa"/>
            <w:right w:w="108" w:type="dxa"/>
          </w:tblCellMar>
        </w:tblPrEx>
        <w:trPr>
          <w:trHeight w:val="595" w:hRule="atLeast"/>
          <w:jc w:val="center"/>
        </w:trPr>
        <w:tc>
          <w:tcPr>
            <w:tcW w:w="291" w:type="pct"/>
            <w:tcBorders>
              <w:top w:val="single" w:color="000000" w:sz="4" w:space="0"/>
              <w:left w:val="single" w:color="000000" w:sz="4" w:space="0"/>
              <w:bottom w:val="single" w:color="auto"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3</w:t>
            </w:r>
          </w:p>
        </w:tc>
        <w:tc>
          <w:tcPr>
            <w:tcW w:w="517" w:type="pct"/>
            <w:gridSpan w:val="2"/>
            <w:tcBorders>
              <w:top w:val="single" w:color="000000" w:sz="4" w:space="0"/>
              <w:left w:val="single" w:color="000000" w:sz="4" w:space="0"/>
              <w:bottom w:val="single" w:color="auto"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lang w:val="en-US" w:eastAsia="zh-CN"/>
              </w:rPr>
              <w:t>茶水柜</w:t>
            </w:r>
          </w:p>
        </w:tc>
        <w:tc>
          <w:tcPr>
            <w:tcW w:w="1024" w:type="pct"/>
            <w:tcBorders>
              <w:top w:val="single" w:color="000000" w:sz="4" w:space="0"/>
              <w:left w:val="single" w:color="000000" w:sz="4" w:space="0"/>
              <w:bottom w:val="single" w:color="auto"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986155" cy="955040"/>
                  <wp:effectExtent l="0" t="0" r="4445" b="10160"/>
                  <wp:docPr id="30"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pic:cNvPicPr>
                            <a:picLocks noChangeAspect="1"/>
                          </pic:cNvPicPr>
                        </pic:nvPicPr>
                        <pic:blipFill>
                          <a:blip r:embed="rId13" cstate="print"/>
                          <a:stretch>
                            <a:fillRect/>
                          </a:stretch>
                        </pic:blipFill>
                        <pic:spPr>
                          <a:xfrm>
                            <a:off x="0" y="0"/>
                            <a:ext cx="986155" cy="955040"/>
                          </a:xfrm>
                          <a:prstGeom prst="rect">
                            <a:avLst/>
                          </a:prstGeom>
                        </pic:spPr>
                      </pic:pic>
                    </a:graphicData>
                  </a:graphic>
                </wp:inline>
              </w:drawing>
            </w:r>
          </w:p>
        </w:tc>
        <w:tc>
          <w:tcPr>
            <w:tcW w:w="549" w:type="pct"/>
            <w:tcBorders>
              <w:top w:val="single" w:color="000000" w:sz="4" w:space="0"/>
              <w:left w:val="single" w:color="000000" w:sz="4" w:space="0"/>
              <w:bottom w:val="single" w:color="auto" w:sz="4" w:space="0"/>
              <w:right w:val="single" w:color="000000" w:sz="4" w:space="0"/>
            </w:tcBorders>
            <w:vAlign w:val="center"/>
          </w:tcPr>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800*400*815</w:t>
            </w:r>
          </w:p>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bidi="ar"/>
              </w:rPr>
            </w:pPr>
          </w:p>
        </w:tc>
        <w:tc>
          <w:tcPr>
            <w:tcW w:w="1574" w:type="pct"/>
            <w:tcBorders>
              <w:top w:val="single" w:color="000000" w:sz="4" w:space="0"/>
              <w:left w:val="single" w:color="000000" w:sz="4" w:space="0"/>
              <w:bottom w:val="single" w:color="auto" w:sz="4" w:space="0"/>
              <w:right w:val="single" w:color="000000" w:sz="4" w:space="0"/>
            </w:tcBorders>
            <w:vAlign w:val="center"/>
          </w:tcPr>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1.规格：800*400*815</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2.板材：优质E1级多层实木板，经防虫、防腐等化学处理；符合GB 18580-2017、GB 8624-2012标准要求，提供合格佐证资料；甲醛释放量≤0.08mg/m³，燃烧性能达到B1级要求。</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3.封边：采用厚度≥2.2mm PVC直封边，无缝、防水；封边颜色为台面近似色；</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4.热熔胶：优质热溶胶封边。胶合性能极佳，抗温差候变较强、不易老化，不脱胶，不褪色、柔韧适中，无异味，产品质量均符合国家标准；甲醛释放量均低于(mg/L)≤0.3。</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5.五金配件：采用品牌五金配件，所有五金件作电解处理，可以防锈、防腐，经久耐用。</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6.颜色可选</w:t>
            </w:r>
          </w:p>
          <w:p>
            <w:pPr>
              <w:pageBreakBefore w:val="0"/>
              <w:widowControl/>
              <w:kinsoku/>
              <w:wordWrap/>
              <w:overflowPunct/>
              <w:topLinePunct w:val="0"/>
              <w:autoSpaceDE/>
              <w:autoSpaceDN/>
              <w:bidi w:val="0"/>
              <w:snapToGrid/>
              <w:spacing w:line="240" w:lineRule="auto"/>
              <w:ind w:left="0" w:leftChars="0" w:firstLine="0" w:firstLineChars="0"/>
              <w:jc w:val="left"/>
              <w:textAlignment w:val="center"/>
              <w:rPr>
                <w:rFonts w:hint="default" w:ascii="Times New Roman" w:hAnsi="Times New Roman" w:eastAsia="宋体" w:cs="Times New Roman"/>
                <w:b w:val="0"/>
                <w:bCs w:val="0"/>
                <w:color w:val="000000"/>
                <w:kern w:val="0"/>
                <w:sz w:val="21"/>
                <w:szCs w:val="21"/>
                <w:highlight w:val="none"/>
                <w:lang w:bidi="ar"/>
              </w:rPr>
            </w:pPr>
          </w:p>
        </w:tc>
        <w:tc>
          <w:tcPr>
            <w:tcW w:w="270" w:type="pct"/>
            <w:tcBorders>
              <w:top w:val="single" w:color="000000" w:sz="4" w:space="0"/>
              <w:left w:val="single" w:color="000000" w:sz="4" w:space="0"/>
              <w:bottom w:val="single" w:color="auto"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lang w:val="en-US" w:eastAsia="zh-CN"/>
              </w:rPr>
              <w:t>1</w:t>
            </w:r>
          </w:p>
        </w:tc>
        <w:tc>
          <w:tcPr>
            <w:tcW w:w="217" w:type="pct"/>
            <w:tcBorders>
              <w:top w:val="single" w:color="000000" w:sz="4" w:space="0"/>
              <w:left w:val="single" w:color="000000" w:sz="4" w:space="0"/>
              <w:bottom w:val="single" w:color="auto"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lang w:val="en-US" w:eastAsia="zh-CN"/>
              </w:rPr>
              <w:t>张</w:t>
            </w:r>
          </w:p>
        </w:tc>
        <w:tc>
          <w:tcPr>
            <w:tcW w:w="555" w:type="pct"/>
            <w:tcBorders>
              <w:top w:val="single" w:color="000000" w:sz="4" w:space="0"/>
              <w:left w:val="single" w:color="000000" w:sz="4" w:space="0"/>
              <w:bottom w:val="single" w:color="auto"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p>
        </w:tc>
      </w:tr>
      <w:tr>
        <w:tblPrEx>
          <w:tblCellMar>
            <w:top w:w="0" w:type="dxa"/>
            <w:left w:w="108" w:type="dxa"/>
            <w:bottom w:w="0" w:type="dxa"/>
            <w:right w:w="108" w:type="dxa"/>
          </w:tblCellMar>
        </w:tblPrEx>
        <w:trPr>
          <w:trHeight w:val="90" w:hRule="atLeast"/>
          <w:jc w:val="center"/>
        </w:trPr>
        <w:tc>
          <w:tcPr>
            <w:tcW w:w="291" w:type="pc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4</w:t>
            </w:r>
          </w:p>
        </w:tc>
        <w:tc>
          <w:tcPr>
            <w:tcW w:w="517" w:type="pct"/>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办公桌</w:t>
            </w:r>
          </w:p>
        </w:tc>
        <w:tc>
          <w:tcPr>
            <w:tcW w:w="1024" w:type="pc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1247775" cy="920750"/>
                  <wp:effectExtent l="0" t="0" r="9525" b="6350"/>
                  <wp:docPr id="16" name="图片 15" descr="A)_VY_J}381NX3B6($]8Q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A)_VY_J}381NX3B6($]8QBD"/>
                          <pic:cNvPicPr>
                            <a:picLocks noChangeAspect="1"/>
                          </pic:cNvPicPr>
                        </pic:nvPicPr>
                        <pic:blipFill>
                          <a:blip r:embed="rId14"/>
                          <a:stretch>
                            <a:fillRect/>
                          </a:stretch>
                        </pic:blipFill>
                        <pic:spPr>
                          <a:xfrm>
                            <a:off x="0" y="0"/>
                            <a:ext cx="1247775" cy="920750"/>
                          </a:xfrm>
                          <a:prstGeom prst="rect">
                            <a:avLst/>
                          </a:prstGeom>
                        </pic:spPr>
                      </pic:pic>
                    </a:graphicData>
                  </a:graphic>
                </wp:inline>
              </w:drawing>
            </w:r>
          </w:p>
        </w:tc>
        <w:tc>
          <w:tcPr>
            <w:tcW w:w="549" w:type="pc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vertAlign w:val="baseline"/>
                <w:lang w:val="en-US" w:eastAsia="zh-CN"/>
              </w:rPr>
              <w:t>2000*1000*760</w:t>
            </w:r>
          </w:p>
        </w:tc>
        <w:tc>
          <w:tcPr>
            <w:tcW w:w="1574" w:type="pct"/>
            <w:tcBorders>
              <w:top w:val="single" w:color="auto" w:sz="4" w:space="0"/>
              <w:left w:val="single" w:color="auto" w:sz="4" w:space="0"/>
              <w:bottom w:val="single" w:color="auto" w:sz="4" w:space="0"/>
              <w:right w:val="single" w:color="auto" w:sz="4" w:space="0"/>
            </w:tcBorders>
            <w:vAlign w:val="center"/>
          </w:tcPr>
          <w:p>
            <w:pPr>
              <w:pStyle w:val="2"/>
              <w:pageBreakBefore w:val="0"/>
              <w:numPr>
                <w:ilvl w:val="0"/>
                <w:numId w:val="0"/>
              </w:numPr>
              <w:kinsoku/>
              <w:wordWrap/>
              <w:overflowPunct/>
              <w:topLinePunct w:val="0"/>
              <w:autoSpaceDE/>
              <w:autoSpaceDN/>
              <w:bidi w:val="0"/>
              <w:snapToGrid/>
              <w:spacing w:line="240" w:lineRule="auto"/>
              <w:ind w:leftChars="0"/>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kern w:val="2"/>
                <w:sz w:val="21"/>
                <w:szCs w:val="21"/>
                <w:highlight w:val="none"/>
                <w:lang w:val="en-US" w:eastAsia="zh-CN" w:bidi="ar-SA"/>
              </w:rPr>
              <w:t>1.基材:采用优质E1级高密度板基材,经过防虫、防腐等处理，强度高、刚性好，不易变形，各项技术指标均应达到国家标准，甲醛、苯释放量≤1.5mg/100L。2.面材：表面使用美国进口优质胡桃木皮贴面,厚≥0.6mm。3.封边：桌面四周采用实木封边，以防止桌面变型；4.油漆：油漆喷涂，采用七次无灰工艺，色泽光亮、温润，漆膜硬度达到或优于3H，有效对木纹形成保护作用；5.表面经过木磨、油磨、防裂、干燥、9底、7面27道工序精细作业完成。产品表面油漆均为水溶性特级环保产品，涂层丰满厚重，纹理通透清晰，耐黄变、耐划伤、质地手感细腻，强度高、刚性好，不易变形，各项技术指标均应达到国家标准，甲醛、苯释放量≤1.5mg/100L。6.热熔胶：优质热溶胶封边。胶合性能极佳，抗温差候变较强、不易老化，不脱胶，不褪色、柔韧适中，无异味，甲醛释放量均低于(mg/L)≤0.3。7.五金配件：所有五金配件均精选于国内著名家具五金配件生产厂家，不生锈，不变形，耐磨损，健康环保。8.设计说明：书柜采用6门设计，边上设计木制通门，内设挂衣杆；两个玻璃门加两个木门。</w:t>
            </w:r>
          </w:p>
        </w:tc>
        <w:tc>
          <w:tcPr>
            <w:tcW w:w="2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217" w:type="pc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套</w:t>
            </w:r>
          </w:p>
        </w:tc>
        <w:tc>
          <w:tcPr>
            <w:tcW w:w="555" w:type="pc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p>
        </w:tc>
      </w:tr>
      <w:tr>
        <w:tblPrEx>
          <w:tblCellMar>
            <w:top w:w="0" w:type="dxa"/>
            <w:left w:w="108" w:type="dxa"/>
            <w:bottom w:w="0" w:type="dxa"/>
            <w:right w:w="108" w:type="dxa"/>
          </w:tblCellMar>
        </w:tblPrEx>
        <w:trPr>
          <w:trHeight w:val="29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5</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办公椅</w:t>
            </w:r>
          </w:p>
        </w:tc>
        <w:tc>
          <w:tcPr>
            <w:tcW w:w="1024" w:type="pc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970915" cy="1242060"/>
                  <wp:effectExtent l="0" t="0" r="6985" b="254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15"/>
                          <a:stretch>
                            <a:fillRect/>
                          </a:stretch>
                        </pic:blipFill>
                        <pic:spPr>
                          <a:xfrm>
                            <a:off x="0" y="0"/>
                            <a:ext cx="970915" cy="1242060"/>
                          </a:xfrm>
                          <a:prstGeom prst="rect">
                            <a:avLst/>
                          </a:prstGeom>
                        </pic:spPr>
                      </pic:pic>
                    </a:graphicData>
                  </a:graphic>
                </wp:inline>
              </w:drawing>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vertAlign w:val="baseline"/>
                <w:lang w:val="en-US" w:eastAsia="zh-CN"/>
              </w:rPr>
              <w:t>500*600*950-1100</w:t>
            </w:r>
          </w:p>
        </w:tc>
        <w:tc>
          <w:tcPr>
            <w:tcW w:w="1574" w:type="pct"/>
            <w:tcBorders>
              <w:top w:val="single" w:color="auto" w:sz="4" w:space="0"/>
              <w:left w:val="single" w:color="auto" w:sz="4" w:space="0"/>
              <w:bottom w:val="single" w:color="auto" w:sz="4" w:space="0"/>
              <w:right w:val="single" w:color="auto" w:sz="4" w:space="0"/>
            </w:tcBorders>
            <w:vAlign w:val="center"/>
          </w:tcPr>
          <w:p>
            <w:pPr>
              <w:pStyle w:val="2"/>
              <w:pageBreakBefore w:val="0"/>
              <w:numPr>
                <w:ilvl w:val="0"/>
                <w:numId w:val="0"/>
              </w:numPr>
              <w:kinsoku/>
              <w:wordWrap/>
              <w:overflowPunct/>
              <w:topLinePunct w:val="0"/>
              <w:autoSpaceDE/>
              <w:autoSpaceDN/>
              <w:bidi w:val="0"/>
              <w:snapToGrid/>
              <w:spacing w:line="240" w:lineRule="auto"/>
              <w:ind w:leftChars="0"/>
              <w:jc w:val="left"/>
              <w:rPr>
                <w:rFonts w:hint="default" w:ascii="Times New Roman" w:hAnsi="Times New Roman" w:eastAsia="宋体" w:cs="Times New Roman"/>
                <w:b w:val="0"/>
                <w:bCs w:val="0"/>
                <w:kern w:val="2"/>
                <w:sz w:val="21"/>
                <w:szCs w:val="21"/>
                <w:highlight w:val="none"/>
                <w:vertAlign w:val="baseline"/>
                <w:lang w:val="en-US" w:eastAsia="zh-CN" w:bidi="ar-SA"/>
              </w:rPr>
            </w:pPr>
            <w:r>
              <w:rPr>
                <w:rFonts w:hint="default" w:ascii="Times New Roman" w:hAnsi="Times New Roman" w:eastAsia="宋体" w:cs="Times New Roman"/>
                <w:b w:val="0"/>
                <w:bCs w:val="0"/>
                <w:sz w:val="21"/>
                <w:szCs w:val="21"/>
                <w:highlight w:val="none"/>
                <w:vertAlign w:val="baseline"/>
              </w:rPr>
              <w:t>1.面料：表层选用优质头层细牛皮，厚度≥1.0mm，皮面无明显色彩、表面无龟裂、手感柔软光泽度好，透气性强。2.扶手：优质实木扶手，表面油漆处理，和办公台工艺和颜色均一直。3.海绵：高回弹45#PU定型海绵，拉伸强度（KPa）≥180，伸长率（%）≥120，回弹率（%）≥40，撕裂强度（N/cm）≥2，回弹率 ≥44。4.气泵：质量符合国家标准，烤漆颜色、亮度一致，无碰伤、掉漆现象。5.脚架：优质实木五星脚架，表面油漆处理，和办公台工艺和颜色均一致。轮子表面清洁干净，无碰伤现象；6.工艺：面料缝线无跳针或明显浮线；无断线脱线现象或外露线头，嵌线圆滑顺直，圆弧处均匀对称；皮料包覆平服饱满无明显皱折，松紧均匀无明显松弛现象；</w:t>
            </w:r>
          </w:p>
        </w:tc>
        <w:tc>
          <w:tcPr>
            <w:tcW w:w="2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套</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p>
        </w:tc>
      </w:tr>
      <w:tr>
        <w:tblPrEx>
          <w:tblCellMar>
            <w:top w:w="0" w:type="dxa"/>
            <w:left w:w="108" w:type="dxa"/>
            <w:bottom w:w="0" w:type="dxa"/>
            <w:right w:w="108" w:type="dxa"/>
          </w:tblCellMar>
        </w:tblPrEx>
        <w:trPr>
          <w:trHeight w:val="1016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6</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书柜</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1259840" cy="923290"/>
                  <wp:effectExtent l="0" t="0" r="10160" b="3810"/>
                  <wp:docPr id="2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pic:cNvPicPr>
                            <a:picLocks noChangeAspect="1"/>
                          </pic:cNvPicPr>
                        </pic:nvPicPr>
                        <pic:blipFill>
                          <a:blip r:embed="rId16"/>
                          <a:stretch>
                            <a:fillRect/>
                          </a:stretch>
                        </pic:blipFill>
                        <pic:spPr>
                          <a:xfrm>
                            <a:off x="0" y="0"/>
                            <a:ext cx="1259840" cy="923290"/>
                          </a:xfrm>
                          <a:prstGeom prst="rect">
                            <a:avLst/>
                          </a:prstGeom>
                        </pic:spPr>
                      </pic:pic>
                    </a:graphicData>
                  </a:graphic>
                </wp:inline>
              </w:drawing>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vertAlign w:val="baseline"/>
                <w:lang w:val="en-US" w:eastAsia="zh-CN"/>
              </w:rPr>
              <w:t>2400*400*2000</w:t>
            </w:r>
          </w:p>
        </w:tc>
        <w:tc>
          <w:tcPr>
            <w:tcW w:w="1574" w:type="pct"/>
            <w:tcBorders>
              <w:top w:val="single" w:color="auto" w:sz="4" w:space="0"/>
              <w:left w:val="single" w:color="auto" w:sz="4" w:space="0"/>
              <w:bottom w:val="single" w:color="auto" w:sz="4" w:space="0"/>
              <w:right w:val="single" w:color="auto" w:sz="4" w:space="0"/>
            </w:tcBorders>
            <w:vAlign w:val="center"/>
          </w:tcPr>
          <w:p>
            <w:pPr>
              <w:pStyle w:val="2"/>
              <w:pageBreakBefore w:val="0"/>
              <w:numPr>
                <w:ilvl w:val="0"/>
                <w:numId w:val="0"/>
              </w:numPr>
              <w:kinsoku/>
              <w:wordWrap/>
              <w:overflowPunct/>
              <w:topLinePunct w:val="0"/>
              <w:autoSpaceDE/>
              <w:autoSpaceDN/>
              <w:bidi w:val="0"/>
              <w:snapToGrid/>
              <w:spacing w:line="240" w:lineRule="auto"/>
              <w:ind w:leftChars="0"/>
              <w:jc w:val="left"/>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vertAlign w:val="baseline"/>
              </w:rPr>
              <w:t>1.基材:采用优质E1级高密度板基材,经过防虫、防腐等处理，强度高、刚性好，不易变形，各项技术指标均应达到国家标准，甲醛、苯释放量≤1.5mg/100L。2.面材：表面使用美国进口优质胡桃木皮贴面,厚≥0.6mm。3.封边：桌面四周采用实木封边，以防止桌面变型；4.油漆：油漆喷涂，采用七次无灰工艺，色泽光亮、温润，漆膜硬度达到或优于3H，有效对木纹形成保护作用；5.表面经过木磨、油磨、防裂、干燥、9底、7面27道工序精细作业完成。产品表面油漆均为水溶性特级环保产品，涂层丰满厚重，纹理通透清晰，耐黄变、耐划伤、质地手感细腻，强度高、刚性好，不易变形，各项技术指标均应达到国家标准，甲醛、苯释放量≤1.5mg/100L。6.热熔胶：优质热溶胶封边。胶合性能极佳，抗温差候变较强、不易老化，不脱胶，不褪色、柔韧适中，无异味，甲醛释放量均低于(mg/L)≤0.3。7.五金配件：所有五金配件均精选于国内著名家具五金配件生产厂家，不生锈，不变形，耐磨损，健康环保。8.设计说明：书柜采用6门设计，边上设计木制通门，内设挂衣杆；两个玻璃门加两个木门。</w:t>
            </w:r>
          </w:p>
        </w:tc>
        <w:tc>
          <w:tcPr>
            <w:tcW w:w="2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套</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p>
        </w:tc>
      </w:tr>
      <w:tr>
        <w:tblPrEx>
          <w:tblCellMar>
            <w:top w:w="0" w:type="dxa"/>
            <w:left w:w="108" w:type="dxa"/>
            <w:bottom w:w="0" w:type="dxa"/>
            <w:right w:w="108" w:type="dxa"/>
          </w:tblCellMar>
        </w:tblPrEx>
        <w:trPr>
          <w:trHeight w:val="59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7</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接待椅</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795655" cy="1043940"/>
                  <wp:effectExtent l="0" t="0" r="4445" b="10160"/>
                  <wp:docPr id="7" name="Picture 80" descr="6358"/>
                  <wp:cNvGraphicFramePr/>
                  <a:graphic xmlns:a="http://schemas.openxmlformats.org/drawingml/2006/main">
                    <a:graphicData uri="http://schemas.openxmlformats.org/drawingml/2006/picture">
                      <pic:pic xmlns:pic="http://schemas.openxmlformats.org/drawingml/2006/picture">
                        <pic:nvPicPr>
                          <pic:cNvPr id="7" name="Picture 80" descr="6358"/>
                          <pic:cNvPicPr/>
                        </pic:nvPicPr>
                        <pic:blipFill>
                          <a:blip r:embed="rId17"/>
                          <a:srcRect l="14444" t="9000" r="8888"/>
                          <a:stretch>
                            <a:fillRect/>
                          </a:stretch>
                        </pic:blipFill>
                        <pic:spPr>
                          <a:xfrm>
                            <a:off x="0" y="0"/>
                            <a:ext cx="795655" cy="1043940"/>
                          </a:xfrm>
                          <a:prstGeom prst="rect">
                            <a:avLst/>
                          </a:prstGeom>
                          <a:noFill/>
                          <a:ln w="9525">
                            <a:noFill/>
                          </a:ln>
                        </pic:spPr>
                      </pic:pic>
                    </a:graphicData>
                  </a:graphic>
                </wp:inline>
              </w:drawing>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vertAlign w:val="baseline"/>
                <w:lang w:val="en-US" w:eastAsia="zh-CN"/>
              </w:rPr>
              <w:t>620*540*900</w:t>
            </w:r>
          </w:p>
        </w:tc>
        <w:tc>
          <w:tcPr>
            <w:tcW w:w="1574" w:type="pct"/>
            <w:tcBorders>
              <w:top w:val="single" w:color="auto" w:sz="4" w:space="0"/>
              <w:left w:val="single" w:color="auto" w:sz="4" w:space="0"/>
              <w:bottom w:val="single" w:color="auto" w:sz="4" w:space="0"/>
              <w:right w:val="single" w:color="auto" w:sz="4" w:space="0"/>
            </w:tcBorders>
            <w:vAlign w:val="center"/>
          </w:tcPr>
          <w:p>
            <w:pPr>
              <w:pStyle w:val="2"/>
              <w:pageBreakBefore w:val="0"/>
              <w:numPr>
                <w:ilvl w:val="0"/>
                <w:numId w:val="0"/>
              </w:numPr>
              <w:kinsoku/>
              <w:wordWrap/>
              <w:overflowPunct/>
              <w:topLinePunct w:val="0"/>
              <w:autoSpaceDE/>
              <w:autoSpaceDN/>
              <w:bidi w:val="0"/>
              <w:snapToGrid/>
              <w:spacing w:line="240" w:lineRule="auto"/>
              <w:ind w:leftChars="0"/>
              <w:jc w:val="left"/>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vertAlign w:val="baseline"/>
              </w:rPr>
              <w:t>1、面料：表层选用优质西皮。2、海绵：高回弹45#PU定型海绵，拉伸强度（KPa）≥180，伸长率（%）≥120，回弹率（%）≥40，撕裂强度（N/cm）≥2，回弹率 ≥44。3、气泵：质量符合国家标准，烤漆颜色、亮度一致，无碰伤、掉漆现象。4、脚架：优质曲木弓形脚架带扶手，表面油漆处理，和办公台工艺和颜色均一致。5、工艺：面料缝线无跳针或明显浮线；无断线脱线现象或外露线头，嵌线圆滑顺直，圆弧处均匀对称；皮料包覆平服饱满无明显皱折，松紧均匀无明显松弛现象。</w:t>
            </w:r>
          </w:p>
        </w:tc>
        <w:tc>
          <w:tcPr>
            <w:tcW w:w="2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8</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套</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p>
        </w:tc>
      </w:tr>
      <w:tr>
        <w:tblPrEx>
          <w:tblCellMar>
            <w:top w:w="0" w:type="dxa"/>
            <w:left w:w="108" w:type="dxa"/>
            <w:bottom w:w="0" w:type="dxa"/>
            <w:right w:w="108" w:type="dxa"/>
          </w:tblCellMar>
        </w:tblPrEx>
        <w:trPr>
          <w:trHeight w:val="59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8</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沙发（3+1+1）</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1169035" cy="923290"/>
                  <wp:effectExtent l="0" t="0" r="12065" b="3810"/>
                  <wp:docPr id="6" name="Picture 35" descr="N%WEX9RRUZANAO87UHDDXD8"/>
                  <wp:cNvGraphicFramePr/>
                  <a:graphic xmlns:a="http://schemas.openxmlformats.org/drawingml/2006/main">
                    <a:graphicData uri="http://schemas.openxmlformats.org/drawingml/2006/picture">
                      <pic:pic xmlns:pic="http://schemas.openxmlformats.org/drawingml/2006/picture">
                        <pic:nvPicPr>
                          <pic:cNvPr id="6" name="Picture 35" descr="N%WEX9RRUZANAO87UHDDXD8"/>
                          <pic:cNvPicPr/>
                        </pic:nvPicPr>
                        <pic:blipFill>
                          <a:blip r:embed="rId18" cstate="print"/>
                          <a:stretch>
                            <a:fillRect/>
                          </a:stretch>
                        </pic:blipFill>
                        <pic:spPr>
                          <a:xfrm>
                            <a:off x="0" y="0"/>
                            <a:ext cx="1169035" cy="923290"/>
                          </a:xfrm>
                          <a:prstGeom prst="rect">
                            <a:avLst/>
                          </a:prstGeom>
                          <a:noFill/>
                          <a:ln w="9525">
                            <a:noFill/>
                          </a:ln>
                        </pic:spPr>
                      </pic:pic>
                    </a:graphicData>
                  </a:graphic>
                </wp:inline>
              </w:drawing>
            </w:r>
          </w:p>
        </w:tc>
        <w:tc>
          <w:tcPr>
            <w:tcW w:w="0" w:type="auto"/>
            <w:tcBorders>
              <w:top w:val="single" w:color="auto" w:sz="4" w:space="0"/>
              <w:left w:val="single" w:color="auto" w:sz="4" w:space="0"/>
              <w:bottom w:val="single" w:color="auto" w:sz="4" w:space="0"/>
              <w:right w:val="single" w:color="auto"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vertAlign w:val="baseline"/>
              </w:rPr>
            </w:pPr>
            <w:r>
              <w:rPr>
                <w:rFonts w:hint="default" w:ascii="Times New Roman" w:hAnsi="Times New Roman" w:eastAsia="宋体" w:cs="Times New Roman"/>
                <w:b w:val="0"/>
                <w:bCs w:val="0"/>
                <w:sz w:val="21"/>
                <w:szCs w:val="21"/>
                <w:highlight w:val="none"/>
                <w:vertAlign w:val="baseline"/>
                <w:lang w:val="en-US" w:eastAsia="zh-CN"/>
              </w:rPr>
              <w:t>单</w:t>
            </w:r>
            <w:r>
              <w:rPr>
                <w:rFonts w:hint="default" w:ascii="Times New Roman" w:hAnsi="Times New Roman" w:eastAsia="宋体" w:cs="Times New Roman"/>
                <w:b w:val="0"/>
                <w:bCs w:val="0"/>
                <w:sz w:val="21"/>
                <w:szCs w:val="21"/>
                <w:highlight w:val="none"/>
                <w:vertAlign w:val="baseline"/>
              </w:rPr>
              <w:t>位1160*900*860</w:t>
            </w:r>
          </w:p>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vertAlign w:val="baseline"/>
              </w:rPr>
              <w:t>三位2160*900*860</w:t>
            </w:r>
          </w:p>
        </w:tc>
        <w:tc>
          <w:tcPr>
            <w:tcW w:w="1574" w:type="pct"/>
            <w:tcBorders>
              <w:top w:val="single" w:color="auto" w:sz="4" w:space="0"/>
              <w:left w:val="single" w:color="auto" w:sz="4" w:space="0"/>
              <w:bottom w:val="single" w:color="auto" w:sz="4" w:space="0"/>
              <w:right w:val="single" w:color="auto" w:sz="4" w:space="0"/>
            </w:tcBorders>
            <w:vAlign w:val="center"/>
          </w:tcPr>
          <w:p>
            <w:pPr>
              <w:pStyle w:val="2"/>
              <w:pageBreakBefore w:val="0"/>
              <w:numPr>
                <w:ilvl w:val="0"/>
                <w:numId w:val="0"/>
              </w:numPr>
              <w:kinsoku/>
              <w:wordWrap/>
              <w:overflowPunct/>
              <w:topLinePunct w:val="0"/>
              <w:autoSpaceDE/>
              <w:autoSpaceDN/>
              <w:bidi w:val="0"/>
              <w:snapToGrid/>
              <w:spacing w:line="240" w:lineRule="auto"/>
              <w:ind w:leftChars="0"/>
              <w:jc w:val="center"/>
              <w:rPr>
                <w:rFonts w:hint="default" w:ascii="Times New Roman" w:hAnsi="Times New Roman" w:eastAsia="宋体" w:cs="Times New Roman"/>
                <w:b w:val="0"/>
                <w:bCs w:val="0"/>
                <w:kern w:val="2"/>
                <w:sz w:val="21"/>
                <w:szCs w:val="21"/>
                <w:highlight w:val="none"/>
                <w:vertAlign w:val="baseline"/>
                <w:lang w:val="en-US" w:eastAsia="zh-CN" w:bidi="ar-SA"/>
              </w:rPr>
            </w:pPr>
            <w:r>
              <w:rPr>
                <w:rFonts w:hint="default" w:ascii="Times New Roman" w:hAnsi="Times New Roman" w:eastAsia="宋体" w:cs="Times New Roman"/>
                <w:b w:val="0"/>
                <w:bCs w:val="0"/>
                <w:sz w:val="21"/>
                <w:szCs w:val="21"/>
                <w:highlight w:val="none"/>
                <w:vertAlign w:val="baseline"/>
              </w:rPr>
              <w:t>1.沙发架：全实木架（实木框架+实木夹板结构），木料框架四面刨削处理，粗光；木制构件全部经过木材防虫防腐处理及烘干处理含水率8%-13%；表面油漆处理，和办公台工艺和颜色均一致。2.面料：表层选用优质合成皮，厚度≥1.0mm，皮面无明显色彩、表面无龟裂、手感柔软光泽度好，透气性强；游离甲醛释(mg/L)≤10。3.4.0mm蛇形弹簧密度说明：蛇形弹簧及绷带以90㎜为间隔，固定在沙发的座前和座后的结构木方上，并在蛇形弹簧的底部，用5㎜的定位绷带以150㎜为间隔横排固定在蛇形弹簧上；4.工艺：面料缝线无跳针或明显浮线；无断线脱线现象或外露线头，嵌线圆滑顺直，圆弧处均匀对称；皮料包覆平服饱满无明显皱折，松紧均匀无明显松弛现象；</w:t>
            </w:r>
          </w:p>
        </w:tc>
        <w:tc>
          <w:tcPr>
            <w:tcW w:w="2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套</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p>
        </w:tc>
      </w:tr>
      <w:tr>
        <w:tblPrEx>
          <w:tblCellMar>
            <w:top w:w="0" w:type="dxa"/>
            <w:left w:w="108" w:type="dxa"/>
            <w:bottom w:w="0" w:type="dxa"/>
            <w:right w:w="108" w:type="dxa"/>
          </w:tblCellMar>
        </w:tblPrEx>
        <w:trPr>
          <w:trHeight w:val="59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9</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茶几</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1023620" cy="838200"/>
                  <wp:effectExtent l="0" t="0" r="5080" b="0"/>
                  <wp:docPr id="8" name="图片 6"/>
                  <wp:cNvGraphicFramePr/>
                  <a:graphic xmlns:a="http://schemas.openxmlformats.org/drawingml/2006/main">
                    <a:graphicData uri="http://schemas.openxmlformats.org/drawingml/2006/picture">
                      <pic:pic xmlns:pic="http://schemas.openxmlformats.org/drawingml/2006/picture">
                        <pic:nvPicPr>
                          <pic:cNvPr id="8" name="图片 6"/>
                          <pic:cNvPicPr/>
                        </pic:nvPicPr>
                        <pic:blipFill>
                          <a:blip r:embed="rId19">
                            <a:clrChange>
                              <a:clrFrom>
                                <a:srgbClr val="FCFCFC"/>
                              </a:clrFrom>
                              <a:clrTo>
                                <a:srgbClr val="FCFCFC">
                                  <a:alpha val="0"/>
                                </a:srgbClr>
                              </a:clrTo>
                            </a:clrChange>
                          </a:blip>
                          <a:stretch>
                            <a:fillRect/>
                          </a:stretch>
                        </pic:blipFill>
                        <pic:spPr>
                          <a:xfrm>
                            <a:off x="0" y="0"/>
                            <a:ext cx="1023620" cy="838200"/>
                          </a:xfrm>
                          <a:prstGeom prst="rect">
                            <a:avLst/>
                          </a:prstGeom>
                          <a:noFill/>
                          <a:ln w="9525">
                            <a:noFill/>
                          </a:ln>
                        </pic:spPr>
                      </pic:pic>
                    </a:graphicData>
                  </a:graphic>
                </wp:inline>
              </w:drawing>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vertAlign w:val="baseline"/>
              </w:rPr>
              <w:t>1200*600*420</w:t>
            </w:r>
          </w:p>
        </w:tc>
        <w:tc>
          <w:tcPr>
            <w:tcW w:w="1574" w:type="pct"/>
            <w:tcBorders>
              <w:top w:val="single" w:color="auto" w:sz="4" w:space="0"/>
              <w:left w:val="single" w:color="auto" w:sz="4" w:space="0"/>
              <w:bottom w:val="single" w:color="auto" w:sz="4" w:space="0"/>
              <w:right w:val="single" w:color="auto" w:sz="4" w:space="0"/>
            </w:tcBorders>
            <w:vAlign w:val="center"/>
          </w:tcPr>
          <w:p>
            <w:pPr>
              <w:pStyle w:val="2"/>
              <w:pageBreakBefore w:val="0"/>
              <w:numPr>
                <w:ilvl w:val="0"/>
                <w:numId w:val="0"/>
              </w:numPr>
              <w:kinsoku/>
              <w:wordWrap/>
              <w:overflowPunct/>
              <w:topLinePunct w:val="0"/>
              <w:autoSpaceDE/>
              <w:autoSpaceDN/>
              <w:bidi w:val="0"/>
              <w:snapToGrid/>
              <w:spacing w:line="240" w:lineRule="auto"/>
              <w:ind w:leftChars="0"/>
              <w:jc w:val="left"/>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vertAlign w:val="baseline"/>
              </w:rPr>
              <w:t>1.基材:采用优质E1级高密度板基材,经过防虫、防腐等处理，强度高、刚性好，不易变形，各项技术指标均应达到国家标准，甲醛、苯释放量≤1.5mg/100L。2.面材：表面使用美国进口优质胡桃木皮贴面,厚≥0.8mm。3.封边：桌面四周采用实木封边，以防止桌面变型；4.油漆：油漆喷涂，采用七次无灰工艺，色泽光亮、温润，漆膜硬度达到或优于3H，有效对木纹形成保护作用；5.表面经过木磨、油磨、防裂、干燥、9底、7面27道工序精细作业完成。产品表面油漆均为水溶性特级环保产品，涂层丰满厚重，纹理通透清晰，耐黄变、耐划伤、质地手感细腻，强度高、刚性好，不易变形，各项技术指标均应达到国家标准，甲醛、苯释放量≤1.5mg/100L。6.热熔胶：优质热溶胶封边。胶合性能极佳，抗温差候变较强、不易老化，不脱胶，不褪色、柔韧适中，无异味，甲醛释放量≤0.3(mg/L)。7.五金配件：所有五金配件均精选于国内著名家具五金配件生产厂家，不生锈，不变形，耐磨损，健康环保。</w:t>
            </w:r>
          </w:p>
        </w:tc>
        <w:tc>
          <w:tcPr>
            <w:tcW w:w="2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套</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p>
        </w:tc>
      </w:tr>
      <w:tr>
        <w:tblPrEx>
          <w:tblCellMar>
            <w:top w:w="0" w:type="dxa"/>
            <w:left w:w="108" w:type="dxa"/>
            <w:bottom w:w="0" w:type="dxa"/>
            <w:right w:w="108" w:type="dxa"/>
          </w:tblCellMar>
        </w:tblPrEx>
        <w:trPr>
          <w:trHeight w:val="59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10</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茶水柜</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977900" cy="799465"/>
                  <wp:effectExtent l="0" t="0" r="0" b="635"/>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20"/>
                          <a:stretch>
                            <a:fillRect/>
                          </a:stretch>
                        </pic:blipFill>
                        <pic:spPr>
                          <a:xfrm>
                            <a:off x="0" y="0"/>
                            <a:ext cx="977900" cy="799465"/>
                          </a:xfrm>
                          <a:prstGeom prst="rect">
                            <a:avLst/>
                          </a:prstGeom>
                        </pic:spPr>
                      </pic:pic>
                    </a:graphicData>
                  </a:graphic>
                </wp:inline>
              </w:drawing>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vertAlign w:val="baseline"/>
              </w:rPr>
              <w:t>1200*400*815</w:t>
            </w:r>
          </w:p>
        </w:tc>
        <w:tc>
          <w:tcPr>
            <w:tcW w:w="1574" w:type="pct"/>
            <w:tcBorders>
              <w:top w:val="single" w:color="auto" w:sz="4" w:space="0"/>
              <w:left w:val="single" w:color="auto" w:sz="4" w:space="0"/>
              <w:bottom w:val="single" w:color="auto" w:sz="4" w:space="0"/>
              <w:right w:val="single" w:color="auto" w:sz="4" w:space="0"/>
            </w:tcBorders>
            <w:vAlign w:val="center"/>
          </w:tcPr>
          <w:p>
            <w:pPr>
              <w:pStyle w:val="2"/>
              <w:pageBreakBefore w:val="0"/>
              <w:numPr>
                <w:ilvl w:val="0"/>
                <w:numId w:val="0"/>
              </w:numPr>
              <w:kinsoku/>
              <w:wordWrap/>
              <w:overflowPunct/>
              <w:topLinePunct w:val="0"/>
              <w:autoSpaceDE/>
              <w:autoSpaceDN/>
              <w:bidi w:val="0"/>
              <w:snapToGrid/>
              <w:spacing w:line="240" w:lineRule="auto"/>
              <w:ind w:leftChars="0"/>
              <w:jc w:val="left"/>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vertAlign w:val="baseline"/>
              </w:rPr>
              <w:t>1.基材:采用优质E1级高密度板基材,经过防虫、防腐等处理，强度高、刚性好，不易变形，各项技术指标均应达到国家标准，甲醛、苯释放量≤1.5mg/100L。2.封边：桌面四周采用实木封边，以防止桌面变型；3.油漆：油漆喷涂，采用七次无灰工艺，色泽光亮、温润，漆膜硬度达到或优于3H，有效对木纹形成保护作用；3.表面经过木磨、油磨、防裂、干燥、9底、7面27道工序精细作业完成。产品表面油漆均为水溶性特级环保产品，涂层丰满厚重，纹理通透清晰，耐黄变、耐划伤、质地手感细腻，强度高、刚性好，不易变形，各项技术指标均应达到国家标准，甲醛、苯释放量≤1.5mg/100L。4.热熔胶：优质热溶胶封边。胶合性能极佳，抗温差候变较强、不易老化，不脱胶，不褪色、柔韧适中，无异味，甲醛释放量均≤0.3 (mg/L)。6.五金配件：所有五金配件均精选于国内著名家具五金配件生产厂家，不生锈，不变形，耐磨损，健康环保。</w:t>
            </w:r>
          </w:p>
        </w:tc>
        <w:tc>
          <w:tcPr>
            <w:tcW w:w="2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套</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p>
        </w:tc>
      </w:tr>
      <w:tr>
        <w:tblPrEx>
          <w:tblCellMar>
            <w:top w:w="0" w:type="dxa"/>
            <w:left w:w="108" w:type="dxa"/>
            <w:bottom w:w="0" w:type="dxa"/>
            <w:right w:w="108" w:type="dxa"/>
          </w:tblCellMar>
        </w:tblPrEx>
        <w:trPr>
          <w:trHeight w:val="59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11</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洽谈桌</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1607820" cy="941070"/>
                  <wp:effectExtent l="0" t="0" r="5080" b="11430"/>
                  <wp:docPr id="19" name="图片 18" descr="BMH[[UFX1ON5A~IVCAQ[9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BMH[[UFX1ON5A~IVCAQ[9UJ"/>
                          <pic:cNvPicPr>
                            <a:picLocks noChangeAspect="1"/>
                          </pic:cNvPicPr>
                        </pic:nvPicPr>
                        <pic:blipFill>
                          <a:blip r:embed="rId21"/>
                          <a:stretch>
                            <a:fillRect/>
                          </a:stretch>
                        </pic:blipFill>
                        <pic:spPr>
                          <a:xfrm>
                            <a:off x="0" y="0"/>
                            <a:ext cx="1607820" cy="941070"/>
                          </a:xfrm>
                          <a:prstGeom prst="rect">
                            <a:avLst/>
                          </a:prstGeom>
                        </pic:spPr>
                      </pic:pic>
                    </a:graphicData>
                  </a:graphic>
                </wp:inline>
              </w:drawing>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vertAlign w:val="baseline"/>
              </w:rPr>
              <w:t>2000*1050*760</w:t>
            </w:r>
          </w:p>
        </w:tc>
        <w:tc>
          <w:tcPr>
            <w:tcW w:w="1574" w:type="pct"/>
            <w:tcBorders>
              <w:top w:val="single" w:color="auto" w:sz="4" w:space="0"/>
              <w:left w:val="single" w:color="auto" w:sz="4" w:space="0"/>
              <w:bottom w:val="single" w:color="auto" w:sz="4" w:space="0"/>
              <w:right w:val="single" w:color="auto" w:sz="4" w:space="0"/>
            </w:tcBorders>
            <w:vAlign w:val="center"/>
          </w:tcPr>
          <w:p>
            <w:pPr>
              <w:pStyle w:val="2"/>
              <w:pageBreakBefore w:val="0"/>
              <w:numPr>
                <w:ilvl w:val="0"/>
                <w:numId w:val="0"/>
              </w:numPr>
              <w:kinsoku/>
              <w:wordWrap/>
              <w:overflowPunct/>
              <w:topLinePunct w:val="0"/>
              <w:autoSpaceDE/>
              <w:autoSpaceDN/>
              <w:bidi w:val="0"/>
              <w:snapToGrid/>
              <w:spacing w:line="240" w:lineRule="auto"/>
              <w:ind w:leftChars="0"/>
              <w:jc w:val="left"/>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vertAlign w:val="baseline"/>
              </w:rPr>
              <w:t>1.基材:采用优质E1级高密度板基材,经过防虫、防腐等处理，强度高、刚性好，不易变形，各项技术指标均应达到国家标准，甲醛、苯释放量≤1.5mg/100L。2.面材：表面使用美国进口优质胡桃木皮贴面,厚≥0.6mm。3.封边：桌面四周采用实木封边，以防止桌面变型；4.油漆：油漆喷涂，采用七次无灰工艺，色泽光亮、温润，漆膜硬度达到或优于3H，有效对木纹形成保护作用；4.表面经过木磨、油磨、防裂、干燥、9底、7面27道工序精细作业完成。5.热熔胶：优质热溶胶封边。胶合性能极佳，抗温差候变较强、不易老化，不脱胶，不褪色、柔韧适中，无异味；甲醛释放量均≤0.3(mg/L)。6.五金配件：所有五金配件均精选于国内著名家具五金配件生产厂家，不生锈，不变形，耐磨损，健康环保。</w:t>
            </w:r>
          </w:p>
        </w:tc>
        <w:tc>
          <w:tcPr>
            <w:tcW w:w="2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套</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p>
        </w:tc>
      </w:tr>
    </w:tbl>
    <w:p>
      <w:pPr>
        <w:widowControl/>
        <w:jc w:val="left"/>
        <w:rPr>
          <w:sz w:val="24"/>
          <w:highlight w:val="none"/>
        </w:rPr>
      </w:pPr>
      <w:r>
        <w:rPr>
          <w:sz w:val="24"/>
          <w:highlight w:val="none"/>
        </w:rPr>
        <w:br w:type="page"/>
      </w:r>
    </w:p>
    <w:bookmarkEnd w:id="3"/>
    <w:p>
      <w:pPr>
        <w:rPr>
          <w:rFonts w:ascii="黑体" w:hAnsi="黑体" w:eastAsia="黑体"/>
          <w:sz w:val="30"/>
          <w:szCs w:val="30"/>
          <w:highlight w:val="none"/>
        </w:rPr>
      </w:pPr>
      <w:r>
        <w:rPr>
          <w:rFonts w:hint="eastAsia" w:ascii="黑体" w:hAnsi="黑体" w:eastAsia="黑体" w:cs="宋体"/>
          <w:sz w:val="30"/>
          <w:szCs w:val="30"/>
          <w:highlight w:val="none"/>
        </w:rPr>
        <w:t>合同格式</w:t>
      </w:r>
    </w:p>
    <w:p>
      <w:pPr>
        <w:spacing w:line="500" w:lineRule="exact"/>
        <w:jc w:val="center"/>
        <w:rPr>
          <w:rFonts w:hint="default" w:ascii="Times New Roman" w:hAnsi="Times New Roman" w:cs="Times New Roman"/>
          <w:b/>
          <w:color w:val="000000" w:themeColor="text1"/>
          <w:sz w:val="32"/>
          <w:szCs w:val="18"/>
          <w:highlight w:val="none"/>
          <w14:textFill>
            <w14:solidFill>
              <w14:schemeClr w14:val="tx1"/>
            </w14:solidFill>
          </w14:textFill>
        </w:rPr>
      </w:pPr>
      <w:r>
        <w:rPr>
          <w:rFonts w:hint="default" w:ascii="Times New Roman" w:hAnsi="Times New Roman" w:cs="Times New Roman"/>
          <w:b/>
          <w:color w:val="000000" w:themeColor="text1"/>
          <w:sz w:val="32"/>
          <w:szCs w:val="18"/>
          <w:highlight w:val="none"/>
          <w14:textFill>
            <w14:solidFill>
              <w14:schemeClr w14:val="tx1"/>
            </w14:solidFill>
          </w14:textFill>
        </w:rPr>
        <w:t>重庆工商大学</w:t>
      </w:r>
      <w:r>
        <w:rPr>
          <w:rFonts w:hint="default" w:ascii="Times New Roman" w:hAnsi="Times New Roman" w:cs="Times New Roman"/>
          <w:b/>
          <w:bCs/>
          <w:sz w:val="28"/>
          <w:szCs w:val="28"/>
          <w:highlight w:val="none"/>
        </w:rPr>
        <w:t>国合基地、人工智能学院</w:t>
      </w:r>
      <w:r>
        <w:rPr>
          <w:rFonts w:hint="default" w:ascii="Times New Roman" w:hAnsi="Times New Roman" w:cs="Times New Roman"/>
          <w:b/>
          <w:bCs/>
          <w:sz w:val="28"/>
          <w:szCs w:val="28"/>
          <w:highlight w:val="none"/>
          <w:lang w:eastAsia="zh-CN"/>
        </w:rPr>
        <w:t>、</w:t>
      </w:r>
      <w:r>
        <w:rPr>
          <w:rFonts w:hint="default" w:ascii="Times New Roman" w:hAnsi="Times New Roman" w:cs="Times New Roman"/>
          <w:b/>
          <w:bCs/>
          <w:sz w:val="28"/>
          <w:szCs w:val="28"/>
          <w:highlight w:val="none"/>
          <w:lang w:val="en-US" w:eastAsia="zh-CN"/>
        </w:rPr>
        <w:t>经管中心、党政办家具</w:t>
      </w:r>
      <w:r>
        <w:rPr>
          <w:rFonts w:hint="default" w:ascii="Times New Roman" w:hAnsi="Times New Roman" w:cs="Times New Roman"/>
          <w:b/>
          <w:bCs/>
          <w:sz w:val="28"/>
          <w:szCs w:val="28"/>
          <w:highlight w:val="none"/>
        </w:rPr>
        <w:t>采购合同</w:t>
      </w:r>
    </w:p>
    <w:p>
      <w:pPr>
        <w:spacing w:line="500" w:lineRule="exact"/>
        <w:jc w:val="center"/>
        <w:rPr>
          <w:rFonts w:hint="default" w:ascii="Times New Roman" w:hAnsi="Times New Roman" w:cs="Times New Roman"/>
          <w:b/>
          <w:color w:val="FF0000"/>
          <w:sz w:val="36"/>
          <w:szCs w:val="20"/>
          <w:highlight w:val="none"/>
        </w:rPr>
      </w:pPr>
      <w:r>
        <w:rPr>
          <w:rFonts w:hint="default" w:ascii="Times New Roman" w:hAnsi="Times New Roman" w:cs="Times New Roman"/>
          <w:sz w:val="28"/>
          <w:szCs w:val="20"/>
          <w:highlight w:val="none"/>
        </w:rPr>
        <w:t>（采购项目编号：CTBU-JZ202303</w:t>
      </w:r>
      <w:r>
        <w:rPr>
          <w:rFonts w:hint="default" w:ascii="Times New Roman" w:hAnsi="Times New Roman" w:cs="Times New Roman"/>
          <w:sz w:val="28"/>
          <w:szCs w:val="20"/>
          <w:highlight w:val="none"/>
          <w:lang w:val="en-US" w:eastAsia="zh-CN"/>
        </w:rPr>
        <w:t>8</w:t>
      </w:r>
      <w:r>
        <w:rPr>
          <w:rFonts w:hint="default" w:ascii="Times New Roman" w:hAnsi="Times New Roman" w:cs="Times New Roman"/>
          <w:sz w:val="28"/>
          <w:szCs w:val="20"/>
          <w:highlight w:val="none"/>
        </w:rPr>
        <w:t>）</w:t>
      </w:r>
    </w:p>
    <w:p>
      <w:pPr>
        <w:spacing w:line="500" w:lineRule="exact"/>
        <w:jc w:val="center"/>
        <w:rPr>
          <w:rFonts w:hint="default" w:ascii="Times New Roman" w:hAnsi="Times New Roman" w:cs="Times New Roman"/>
          <w:sz w:val="24"/>
          <w:szCs w:val="24"/>
          <w:highlight w:val="none"/>
        </w:rPr>
      </w:pPr>
    </w:p>
    <w:p>
      <w:pPr>
        <w:spacing w:line="5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甲方（需方）：__</w:t>
      </w:r>
      <w:r>
        <w:rPr>
          <w:rFonts w:hint="default" w:ascii="Times New Roman" w:hAnsi="Times New Roman" w:cs="Times New Roman"/>
          <w:sz w:val="24"/>
          <w:szCs w:val="24"/>
          <w:highlight w:val="none"/>
          <w:u w:val="single"/>
        </w:rPr>
        <w:t>重庆工商大学</w:t>
      </w:r>
      <w:r>
        <w:rPr>
          <w:rFonts w:hint="default" w:ascii="Times New Roman" w:hAnsi="Times New Roman" w:cs="Times New Roman"/>
          <w:sz w:val="24"/>
          <w:szCs w:val="24"/>
          <w:highlight w:val="none"/>
        </w:rPr>
        <w:t>_______      计价单位：______</w:t>
      </w:r>
      <w:r>
        <w:rPr>
          <w:rFonts w:hint="default" w:ascii="Times New Roman" w:hAnsi="Times New Roman" w:cs="Times New Roman"/>
          <w:sz w:val="24"/>
          <w:szCs w:val="24"/>
          <w:highlight w:val="none"/>
          <w:u w:val="single"/>
        </w:rPr>
        <w:t>元_</w:t>
      </w:r>
      <w:r>
        <w:rPr>
          <w:rFonts w:hint="default" w:ascii="Times New Roman" w:hAnsi="Times New Roman" w:cs="Times New Roman"/>
          <w:sz w:val="24"/>
          <w:szCs w:val="24"/>
          <w:highlight w:val="none"/>
        </w:rPr>
        <w:t>____</w:t>
      </w:r>
    </w:p>
    <w:p>
      <w:pPr>
        <w:spacing w:line="5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乙方（供方）：_____________________      计量单位：_____________</w:t>
      </w:r>
    </w:p>
    <w:p>
      <w:pPr>
        <w:spacing w:line="500" w:lineRule="exact"/>
        <w:rPr>
          <w:rFonts w:hint="default" w:ascii="Times New Roman" w:hAnsi="Times New Roman" w:cs="Times New Roman"/>
          <w:sz w:val="24"/>
          <w:highlight w:val="none"/>
        </w:rPr>
      </w:pPr>
    </w:p>
    <w:p>
      <w:pPr>
        <w:spacing w:line="500" w:lineRule="exact"/>
        <w:rPr>
          <w:rFonts w:hint="default" w:ascii="Times New Roman" w:hAnsi="Times New Roman" w:cs="Times New Roman"/>
          <w:sz w:val="24"/>
          <w:highlight w:val="none"/>
        </w:rPr>
      </w:pPr>
      <w:r>
        <w:rPr>
          <w:rFonts w:hint="default" w:ascii="Times New Roman" w:hAnsi="Times New Roman" w:cs="Times New Roman"/>
          <w:sz w:val="24"/>
          <w:highlight w:val="none"/>
        </w:rPr>
        <w:t>经双方协商一致，达成以下购销合同：</w:t>
      </w:r>
    </w:p>
    <w:tbl>
      <w:tblPr>
        <w:tblStyle w:val="10"/>
        <w:tblW w:w="9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765"/>
        <w:gridCol w:w="1348"/>
        <w:gridCol w:w="1333"/>
        <w:gridCol w:w="569"/>
        <w:gridCol w:w="688"/>
        <w:gridCol w:w="912"/>
        <w:gridCol w:w="851"/>
        <w:gridCol w:w="1046"/>
        <w:gridCol w:w="77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28"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商品名称</w:t>
            </w:r>
          </w:p>
        </w:tc>
        <w:tc>
          <w:tcPr>
            <w:tcW w:w="765"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品牌</w:t>
            </w:r>
          </w:p>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产地</w:t>
            </w:r>
          </w:p>
        </w:tc>
        <w:tc>
          <w:tcPr>
            <w:tcW w:w="1348"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生产</w:t>
            </w:r>
          </w:p>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厂商</w:t>
            </w:r>
          </w:p>
        </w:tc>
        <w:tc>
          <w:tcPr>
            <w:tcW w:w="1902" w:type="dxa"/>
            <w:gridSpan w:val="2"/>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规格型号</w:t>
            </w:r>
          </w:p>
        </w:tc>
        <w:tc>
          <w:tcPr>
            <w:tcW w:w="688"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数量</w:t>
            </w:r>
          </w:p>
        </w:tc>
        <w:tc>
          <w:tcPr>
            <w:tcW w:w="912"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单价（元）</w:t>
            </w:r>
          </w:p>
        </w:tc>
        <w:tc>
          <w:tcPr>
            <w:tcW w:w="851"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总价（元）</w:t>
            </w:r>
          </w:p>
        </w:tc>
        <w:tc>
          <w:tcPr>
            <w:tcW w:w="1046"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交货时间</w:t>
            </w:r>
          </w:p>
        </w:tc>
        <w:tc>
          <w:tcPr>
            <w:tcW w:w="777"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794" w:type="dxa"/>
            <w:gridSpan w:val="8"/>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eastAsiaTheme="minorEastAsia"/>
                <w:sz w:val="24"/>
                <w:szCs w:val="24"/>
                <w:highlight w:val="none"/>
                <w:lang w:eastAsia="zh-CN"/>
              </w:rPr>
            </w:pPr>
            <w:r>
              <w:rPr>
                <w:rFonts w:hint="default" w:ascii="Times New Roman" w:hAnsi="Times New Roman" w:cs="Times New Roman"/>
                <w:b/>
                <w:sz w:val="24"/>
                <w:szCs w:val="24"/>
                <w:highlight w:val="none"/>
                <w:lang w:val="en-US" w:eastAsia="zh-CN"/>
              </w:rPr>
              <w:t>国合基地</w:t>
            </w:r>
          </w:p>
        </w:tc>
        <w:tc>
          <w:tcPr>
            <w:tcW w:w="1046" w:type="dxa"/>
            <w:vMerge w:val="restart"/>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成交公告发布后15个工作日内交货并完成安装调试</w:t>
            </w:r>
          </w:p>
        </w:tc>
        <w:tc>
          <w:tcPr>
            <w:tcW w:w="777" w:type="dxa"/>
            <w:vMerge w:val="restart"/>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重庆工商大学指定地点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28" w:type="dxa"/>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b/>
                <w:sz w:val="24"/>
                <w:szCs w:val="24"/>
                <w:highlight w:val="none"/>
              </w:rPr>
            </w:pPr>
          </w:p>
        </w:tc>
        <w:tc>
          <w:tcPr>
            <w:tcW w:w="765" w:type="dxa"/>
            <w:vAlign w:val="center"/>
          </w:tcPr>
          <w:p>
            <w:pPr>
              <w:keepNext w:val="0"/>
              <w:keepLines w:val="0"/>
              <w:pageBreakBefore w:val="0"/>
              <w:tabs>
                <w:tab w:val="left" w:pos="222"/>
              </w:tabs>
              <w:kinsoku/>
              <w:wordWrap/>
              <w:overflowPunct/>
              <w:topLinePunct w:val="0"/>
              <w:autoSpaceDE/>
              <w:autoSpaceDN/>
              <w:bidi w:val="0"/>
              <w:spacing w:line="400" w:lineRule="exact"/>
              <w:rPr>
                <w:rFonts w:hint="default" w:ascii="Times New Roman" w:hAnsi="Times New Roman" w:cs="Times New Roman"/>
                <w:sz w:val="24"/>
                <w:szCs w:val="24"/>
                <w:highlight w:val="none"/>
              </w:rPr>
            </w:pPr>
          </w:p>
        </w:tc>
        <w:tc>
          <w:tcPr>
            <w:tcW w:w="1348"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c>
          <w:tcPr>
            <w:tcW w:w="1902" w:type="dxa"/>
            <w:gridSpan w:val="2"/>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688" w:type="dxa"/>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912" w:type="dxa"/>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851" w:type="dxa"/>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1046"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c>
          <w:tcPr>
            <w:tcW w:w="777"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72" w:hRule="atLeast"/>
          <w:jc w:val="center"/>
        </w:trPr>
        <w:tc>
          <w:tcPr>
            <w:tcW w:w="7794" w:type="dxa"/>
            <w:gridSpan w:val="8"/>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eastAsiaTheme="minorEastAsia"/>
                <w:sz w:val="24"/>
                <w:szCs w:val="24"/>
                <w:highlight w:val="none"/>
                <w:lang w:eastAsia="zh-CN"/>
              </w:rPr>
            </w:pPr>
            <w:r>
              <w:rPr>
                <w:rFonts w:hint="default" w:ascii="Times New Roman" w:hAnsi="Times New Roman" w:cs="Times New Roman"/>
                <w:b/>
                <w:sz w:val="24"/>
                <w:szCs w:val="24"/>
                <w:highlight w:val="none"/>
                <w:lang w:val="en-US" w:eastAsia="zh-CN"/>
              </w:rPr>
              <w:t>人工智能学院</w:t>
            </w:r>
          </w:p>
        </w:tc>
        <w:tc>
          <w:tcPr>
            <w:tcW w:w="1046"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c>
          <w:tcPr>
            <w:tcW w:w="777"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28" w:type="dxa"/>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b/>
                <w:sz w:val="24"/>
                <w:szCs w:val="24"/>
                <w:highlight w:val="none"/>
              </w:rPr>
            </w:pPr>
          </w:p>
        </w:tc>
        <w:tc>
          <w:tcPr>
            <w:tcW w:w="765" w:type="dxa"/>
            <w:vAlign w:val="center"/>
          </w:tcPr>
          <w:p>
            <w:pPr>
              <w:keepNext w:val="0"/>
              <w:keepLines w:val="0"/>
              <w:pageBreakBefore w:val="0"/>
              <w:tabs>
                <w:tab w:val="left" w:pos="222"/>
              </w:tabs>
              <w:kinsoku/>
              <w:wordWrap/>
              <w:overflowPunct/>
              <w:topLinePunct w:val="0"/>
              <w:autoSpaceDE/>
              <w:autoSpaceDN/>
              <w:bidi w:val="0"/>
              <w:spacing w:line="400" w:lineRule="exact"/>
              <w:rPr>
                <w:rFonts w:hint="default" w:ascii="Times New Roman" w:hAnsi="Times New Roman" w:cs="Times New Roman"/>
                <w:sz w:val="24"/>
                <w:szCs w:val="24"/>
                <w:highlight w:val="none"/>
              </w:rPr>
            </w:pPr>
          </w:p>
        </w:tc>
        <w:tc>
          <w:tcPr>
            <w:tcW w:w="1348"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c>
          <w:tcPr>
            <w:tcW w:w="1902" w:type="dxa"/>
            <w:gridSpan w:val="2"/>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688" w:type="dxa"/>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912" w:type="dxa"/>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851" w:type="dxa"/>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1046"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c>
          <w:tcPr>
            <w:tcW w:w="777"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794" w:type="dxa"/>
            <w:gridSpan w:val="8"/>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eastAsiaTheme="minorEastAsia"/>
                <w:sz w:val="24"/>
                <w:szCs w:val="24"/>
                <w:highlight w:val="none"/>
                <w:lang w:val="en-US" w:eastAsia="zh-CN"/>
              </w:rPr>
            </w:pPr>
            <w:r>
              <w:rPr>
                <w:rFonts w:hint="default" w:ascii="Times New Roman" w:hAnsi="Times New Roman" w:cs="Times New Roman"/>
                <w:b/>
                <w:bCs/>
                <w:sz w:val="24"/>
                <w:szCs w:val="24"/>
                <w:highlight w:val="none"/>
                <w:lang w:val="en-US" w:eastAsia="zh-CN"/>
              </w:rPr>
              <w:t>经管中心</w:t>
            </w:r>
          </w:p>
        </w:tc>
        <w:tc>
          <w:tcPr>
            <w:tcW w:w="1046"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c>
          <w:tcPr>
            <w:tcW w:w="777"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28" w:type="dxa"/>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b/>
                <w:sz w:val="24"/>
                <w:szCs w:val="24"/>
                <w:highlight w:val="none"/>
              </w:rPr>
            </w:pPr>
          </w:p>
        </w:tc>
        <w:tc>
          <w:tcPr>
            <w:tcW w:w="765" w:type="dxa"/>
            <w:vAlign w:val="center"/>
          </w:tcPr>
          <w:p>
            <w:pPr>
              <w:keepNext w:val="0"/>
              <w:keepLines w:val="0"/>
              <w:pageBreakBefore w:val="0"/>
              <w:tabs>
                <w:tab w:val="left" w:pos="222"/>
              </w:tabs>
              <w:kinsoku/>
              <w:wordWrap/>
              <w:overflowPunct/>
              <w:topLinePunct w:val="0"/>
              <w:autoSpaceDE/>
              <w:autoSpaceDN/>
              <w:bidi w:val="0"/>
              <w:spacing w:line="400" w:lineRule="exact"/>
              <w:rPr>
                <w:rFonts w:hint="default" w:ascii="Times New Roman" w:hAnsi="Times New Roman" w:cs="Times New Roman"/>
                <w:sz w:val="24"/>
                <w:szCs w:val="24"/>
                <w:highlight w:val="none"/>
              </w:rPr>
            </w:pPr>
          </w:p>
        </w:tc>
        <w:tc>
          <w:tcPr>
            <w:tcW w:w="1348"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c>
          <w:tcPr>
            <w:tcW w:w="1902" w:type="dxa"/>
            <w:gridSpan w:val="2"/>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688" w:type="dxa"/>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912" w:type="dxa"/>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851" w:type="dxa"/>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1046"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c>
          <w:tcPr>
            <w:tcW w:w="777"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794" w:type="dxa"/>
            <w:gridSpan w:val="8"/>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eastAsiaTheme="minorEastAsia"/>
                <w:sz w:val="24"/>
                <w:szCs w:val="24"/>
                <w:highlight w:val="none"/>
                <w:lang w:val="en-US" w:eastAsia="zh-CN"/>
              </w:rPr>
            </w:pPr>
            <w:r>
              <w:rPr>
                <w:rFonts w:hint="default" w:ascii="Times New Roman" w:hAnsi="Times New Roman" w:cs="Times New Roman"/>
                <w:b/>
                <w:bCs/>
                <w:sz w:val="24"/>
                <w:szCs w:val="24"/>
                <w:highlight w:val="none"/>
                <w:lang w:val="en-US" w:eastAsia="zh-CN"/>
              </w:rPr>
              <w:t>党政办</w:t>
            </w:r>
          </w:p>
        </w:tc>
        <w:tc>
          <w:tcPr>
            <w:tcW w:w="1046"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c>
          <w:tcPr>
            <w:tcW w:w="777"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28" w:type="dxa"/>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b/>
                <w:sz w:val="24"/>
                <w:szCs w:val="24"/>
                <w:highlight w:val="none"/>
              </w:rPr>
            </w:pPr>
          </w:p>
        </w:tc>
        <w:tc>
          <w:tcPr>
            <w:tcW w:w="765" w:type="dxa"/>
            <w:vAlign w:val="center"/>
          </w:tcPr>
          <w:p>
            <w:pPr>
              <w:keepNext w:val="0"/>
              <w:keepLines w:val="0"/>
              <w:pageBreakBefore w:val="0"/>
              <w:tabs>
                <w:tab w:val="left" w:pos="222"/>
              </w:tabs>
              <w:kinsoku/>
              <w:wordWrap/>
              <w:overflowPunct/>
              <w:topLinePunct w:val="0"/>
              <w:autoSpaceDE/>
              <w:autoSpaceDN/>
              <w:bidi w:val="0"/>
              <w:spacing w:line="400" w:lineRule="exact"/>
              <w:rPr>
                <w:rFonts w:hint="default" w:ascii="Times New Roman" w:hAnsi="Times New Roman" w:cs="Times New Roman"/>
                <w:sz w:val="24"/>
                <w:szCs w:val="24"/>
                <w:highlight w:val="none"/>
              </w:rPr>
            </w:pPr>
          </w:p>
        </w:tc>
        <w:tc>
          <w:tcPr>
            <w:tcW w:w="1348"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c>
          <w:tcPr>
            <w:tcW w:w="1902" w:type="dxa"/>
            <w:gridSpan w:val="2"/>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688" w:type="dxa"/>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912" w:type="dxa"/>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851" w:type="dxa"/>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1046"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c>
          <w:tcPr>
            <w:tcW w:w="777"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9617" w:type="dxa"/>
            <w:gridSpan w:val="10"/>
            <w:vAlign w:val="center"/>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9617" w:type="dxa"/>
            <w:gridSpan w:val="10"/>
            <w:vAlign w:val="center"/>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9617" w:type="dxa"/>
            <w:gridSpan w:val="10"/>
            <w:vAlign w:val="center"/>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合同价为包干价，包括产品购买（制造）费、辅材费、运输费（含装卸费）、保险费、税费、安装费、检测费、因检测被破坏货物的补货费等货到需方指定地点并完成安装、调试直至验收合格的所有费用。因供方自身原因造成漏报、少报皆由其自行承担责任，需方不再补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9617" w:type="dxa"/>
            <w:gridSpan w:val="10"/>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一、质量要求和技术标准</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供方的质量保证及售后服务承诺如下：</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1.供方交付的产品必须是全新的，完全符合国家有关技术标准，详细技术参数详见附件。</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2.供方对交付的产品提供原厂免费质量保证期为</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年，自项目验收合格之日起计算。</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3.售后服务内容</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供方提供的售后服务应符合GB/T 37652-2019《家具售后服务要求》。</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供方应在质量保证期内应当为需方提供以下技术支持和服务：</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（1）电话咨询</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供方应当为需方提供技术援助电话，解答需方在使用中遇到的问题，及时为需方提出解决问题的建议。</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（2）现场响应</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需方遇到所有使用及技术问题，电话咨询不能解决的，供方应在4小内到达现场免费进行处理，确保产品正常工作。</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4.质保期外服务要求：</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（1）质量保证期过后，供方应同样提供免费电话咨询服务，并应承诺提供产品上门维护服务。</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（2）质量保证期过后，需方需要继续由原供方提供售后服务的，供方应以优惠价格提供售后服务。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9617" w:type="dxa"/>
            <w:gridSpan w:val="10"/>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二、家具制作及安装要求</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1.执行标准</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GB/T3324-2017《木家具通用技术标准》</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GB/T3325-2017《金属家具通用技术条件》</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 18580-2017《室内装饰装修材料人造板及其制品中甲醛释放限量》</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 18584-2001《室内装饰装修材料 木家具中有害物质限量》</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QB/T 1951.1-2010《木质家具质量检验及质量评定》</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QB/T1951.2-2013《金属家具质量检验及质量评定》</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GB/T 34722-2017《浸渍胶膜纸饰面胶合板和细木工板》</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GB/T18259-2009《人造板及表面装饰术语》</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GB/T 18583-2008《室内装饰材料胶粘剂中害物质限量》</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 18581- 2020《木器涂料中有害物质限量》</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GB/T 10802-2006《通用软质聚醚型聚氨酯泡沫塑料》</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GB/T 3324-2017《木家具通用技术条件》</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bCs/>
                <w:sz w:val="24"/>
                <w:szCs w:val="24"/>
                <w:highlight w:val="none"/>
              </w:rPr>
            </w:pPr>
            <w:r>
              <w:rPr>
                <w:rFonts w:hint="default" w:ascii="Times New Roman" w:hAnsi="Times New Roman" w:cs="Times New Roman"/>
                <w:sz w:val="24"/>
                <w:szCs w:val="24"/>
                <w:highlight w:val="none"/>
              </w:rPr>
              <w:t>注：如有未特别注明需执行的国家相关标准、行业标准、地方标准或其他标准、规范，则统一执行最新标准、规范。项目需求清单及参数要求中已明确规定的标准也须一并执行。</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2.制作</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家具色板及家具加工方案细化后需要需方使用部门进行书面确认，一旦确认后，供方严格按确认的设计方案、施工方案进行批量加工生产。</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3.施工交底</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相关家具及设施、设备到校后，由需方使用部门组织安装、调试。</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4.安全及环境管理</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本项目的物品保管、施工安全、消防安全、环境卫生等均由供方自行负责，如因管理不善造成的损失由供方全部承担。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9617" w:type="dxa"/>
            <w:gridSpan w:val="10"/>
          </w:tcPr>
          <w:p>
            <w:pPr>
              <w:keepNext w:val="0"/>
              <w:keepLines w:val="0"/>
              <w:pageBreakBefore w:val="0"/>
              <w:numPr>
                <w:ilvl w:val="0"/>
                <w:numId w:val="3"/>
              </w:numPr>
              <w:kinsoku/>
              <w:wordWrap/>
              <w:overflowPunct/>
              <w:topLinePunct w:val="0"/>
              <w:autoSpaceDE/>
              <w:autoSpaceDN/>
              <w:bidi w:val="0"/>
              <w:snapToGrid w:val="0"/>
              <w:spacing w:line="400" w:lineRule="exact"/>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交提货方式</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供方在成交公告发布后15个工作日内交货并完成安装调试，全部货物由供方免费送货到需方指定点并安装调试完毕。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2" w:type="dxa"/>
            <w:gridSpan w:val="11"/>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四、验收标准、方法</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1.出厂核验：供方供货前，做好所投产品的出厂核验，确保其技术参数和规格型号完全满足采购文件的相关要求。</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2.到货验收。由需方需求部门牵头进行。货物到达现场后，需方需求部门应做好到货验收，严格按照合同及招标文件的产品清单核实查验到货产品的品牌、型号及规格参数。供方应在需方需求部门在场情况下当面开箱，共同清点、检查外观，作出开箱记录，双方签字确认。若到货产品品牌、型号及规格参数等与合同及招标文件的规定不符的，供方不得进行设备安装，需方需求部门应及时告知需方采购管理部门与归口管理部门。</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2.供方应保证货物到达需方所在地完好无损，如有缺漏、损坏，由供应商负责调换、补齐或赔偿。</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3.供方应提供完备的技术资料、装箱单和合格证等，并派遣专业技术人员进行现场安装调试。验收合格条件如下：</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3.1设备品种、规格、数量、技术参数以及商品品牌、生产厂家等与采购合同一致，性能指标达到采购文件规定的标准。</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3.2货物技术资料、装箱单、合格证等资料齐全。</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3.3在系统试运行期间所出现的问题得到解决，并运行正常。</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3.4在规定时间内完成交货并验收，并经需方确认。</w:t>
            </w:r>
          </w:p>
          <w:p>
            <w:pPr>
              <w:keepNext w:val="0"/>
              <w:keepLines w:val="0"/>
              <w:pageBreakBefore w:val="0"/>
              <w:kinsoku/>
              <w:wordWrap/>
              <w:overflowPunct/>
              <w:topLinePunct w:val="0"/>
              <w:autoSpaceDE/>
              <w:autoSpaceDN/>
              <w:bidi w:val="0"/>
              <w:spacing w:line="240" w:lineRule="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4.产品在安装调试并试运行符合合同及招标文件相关要求后，方可进行最终验收</w:t>
            </w:r>
            <w:r>
              <w:rPr>
                <w:rFonts w:hint="eastAsia" w:ascii="Times New Roman" w:hAnsi="Times New Roman" w:cs="Times New Roman"/>
                <w:sz w:val="24"/>
                <w:szCs w:val="24"/>
                <w:highlight w:val="none"/>
                <w:lang w:val="en-US" w:eastAsia="zh-CN"/>
              </w:rPr>
              <w:t>，</w:t>
            </w:r>
            <w:r>
              <w:rPr>
                <w:rFonts w:hint="eastAsia"/>
                <w:sz w:val="24"/>
                <w:highlight w:val="none"/>
                <w:lang w:val="en-US" w:eastAsia="zh-CN"/>
              </w:rPr>
              <w:t>由资产管理处组织最终验收</w:t>
            </w:r>
            <w:r>
              <w:rPr>
                <w:rFonts w:hint="default" w:ascii="Times New Roman" w:hAnsi="Times New Roman" w:cs="Times New Roman"/>
                <w:sz w:val="24"/>
                <w:szCs w:val="24"/>
                <w:highlight w:val="none"/>
                <w:lang w:val="en-US" w:eastAsia="zh-CN"/>
              </w:rPr>
              <w:t>。</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5.供方提供的货物未达到招标文件规定要求，且对需方造成损失的，由供方承担一切责任，并赔偿所造成的损失。</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6.大型或者复杂的政府采购项目，需方应当邀请国家认可的质量检测机构参加验收工作。</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7.需方需要制造商对供方交付的产品（包括质量、技术参数等）进行确认的，制造商应予以配合，并出具书面意见。</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8.产品包装材料归需方所有。</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eastAsia" w:ascii="宋体" w:hAnsi="宋体" w:cs="宋体"/>
                <w:color w:val="000000"/>
                <w:sz w:val="24"/>
                <w:highlight w:val="none"/>
                <w:u w:color="000000"/>
                <w:lang w:val="zh-TW" w:eastAsia="zh-TW"/>
              </w:rPr>
              <w:t>验收咨询电话：023-62769260；资产入库咨询电话：023-62769051。</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如有异议，请于5日内提出。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2" w:type="dxa"/>
            <w:gridSpan w:val="11"/>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eastAsiaTheme="minorEastAsia"/>
                <w:sz w:val="24"/>
                <w:szCs w:val="24"/>
                <w:highlight w:val="none"/>
                <w:lang w:eastAsia="zh-CN"/>
              </w:rPr>
            </w:pPr>
            <w:r>
              <w:rPr>
                <w:rFonts w:hint="default" w:ascii="Times New Roman" w:hAnsi="Times New Roman" w:cs="Times New Roman"/>
                <w:sz w:val="24"/>
                <w:szCs w:val="24"/>
                <w:highlight w:val="none"/>
              </w:rPr>
              <w:t>五、付款方式</w:t>
            </w:r>
            <w:r>
              <w:rPr>
                <w:rFonts w:hint="default" w:ascii="Times New Roman" w:hAnsi="Times New Roman" w:cs="Times New Roman"/>
                <w:b/>
                <w:bCs/>
                <w:sz w:val="24"/>
                <w:szCs w:val="24"/>
                <w:highlight w:val="none"/>
                <w:lang w:eastAsia="zh-CN"/>
              </w:rPr>
              <w:t>（</w:t>
            </w:r>
            <w:r>
              <w:rPr>
                <w:rFonts w:hint="default" w:ascii="Times New Roman" w:hAnsi="Times New Roman" w:cs="Times New Roman"/>
                <w:b/>
                <w:bCs/>
                <w:sz w:val="24"/>
                <w:szCs w:val="24"/>
                <w:highlight w:val="none"/>
                <w:lang w:val="en-US" w:eastAsia="zh-CN"/>
              </w:rPr>
              <w:t>各学院均分开开票</w:t>
            </w:r>
            <w:r>
              <w:rPr>
                <w:rFonts w:hint="default" w:ascii="Times New Roman" w:hAnsi="Times New Roman" w:cs="Times New Roman"/>
                <w:b/>
                <w:bCs/>
                <w:sz w:val="24"/>
                <w:szCs w:val="24"/>
                <w:highlight w:val="none"/>
                <w:lang w:eastAsia="zh-CN"/>
              </w:rPr>
              <w:t>）</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1.供方按采购合同交货并安装调试完成，经验收合格后需方出具项目验收报告；</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2.供方向需方开具增值税专用发票含抵扣联和记账联（若项目为硬件和软件一体的，应分别开具硬件、软件（服务）的发票），协助使用部门办理入库手续后，需方以转账方式一次性向供方支付合同全款。</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u w:val="single"/>
              </w:rPr>
            </w:pPr>
            <w:r>
              <w:rPr>
                <w:rFonts w:hint="default" w:ascii="Times New Roman" w:hAnsi="Times New Roman" w:cs="Times New Roman"/>
                <w:sz w:val="24"/>
                <w:szCs w:val="24"/>
                <w:highlight w:val="none"/>
              </w:rPr>
              <w:t>注：如遇寒暑假或国家重大事件，则顺延至开学或条件允许后支付。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2" w:type="dxa"/>
            <w:gridSpan w:val="11"/>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六、违约责任</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（一）</w:t>
            </w:r>
            <w:r>
              <w:rPr>
                <w:rFonts w:hint="eastAsia" w:ascii="Times New Roman" w:hAnsi="Times New Roman" w:cs="Times New Roman"/>
                <w:sz w:val="24"/>
                <w:szCs w:val="24"/>
                <w:highlight w:val="none"/>
                <w:lang w:val="en-US" w:eastAsia="zh-CN"/>
              </w:rPr>
              <w:t>评审</w:t>
            </w:r>
            <w:r>
              <w:rPr>
                <w:rFonts w:hint="default" w:ascii="Times New Roman" w:hAnsi="Times New Roman" w:cs="Times New Roman"/>
                <w:sz w:val="24"/>
                <w:szCs w:val="24"/>
                <w:highlight w:val="none"/>
                <w:lang w:val="en-US" w:eastAsia="zh-CN"/>
              </w:rPr>
              <w:t>结束后，需方可通过现场考察、函询等多种方式对供方的投标文件响应情况予以核查，供方须无条件配合并提供有关证明材料，证明其响应内容的真实有效性。需方若发现供方进行虚假响应或提供虚假材料的，有权取消供方的中标资格，全额没收投标保证金；若在合同签订后查实供方进行虚假响应或提供虚假材料的，需方有权单方面终止合同，全额没收履约保证金。</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（二）若供方发生部分违约现象，需方从履约保证金中扣除相应金额的违约金；若发现严重违约现象，需方有充分理由没收其全额保证金。</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1.非不可抗力情况下，因供方自身原因终止履行合同的，履约保证金全额不予退还；</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2.若供方未能按合同和采购文件要求供货或提供服务的，履约保证金全额不予退还；</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3.非不可抗力情况下，因供方自身原因超过合同交货期限仍未送货安装调试达到验收要求的，超期1天，需方扣除供方履约保证金的3%作为违约惩罚，以此类推；</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4.因不可抗力，或需方自身原因，致使交货期限延后的，供方不承担相应违约责任。但供方须提供需方使用部门出具的同意延迟交货以及确定延迟交货期的书面情况说明，需方使用部门负责人签字并加盖需方使用部门鲜章。</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（三）</w:t>
            </w:r>
            <w:r>
              <w:rPr>
                <w:rFonts w:hint="eastAsia" w:ascii="宋体" w:hAnsi="宋体" w:cs="宋体"/>
                <w:color w:val="000000"/>
                <w:sz w:val="24"/>
                <w:highlight w:val="none"/>
                <w:u w:color="000000"/>
              </w:rPr>
              <w:t>若供方在投标或履约过程中有虚假响应或合同违约行为的，或正式验收或使用过程中，若经</w:t>
            </w:r>
            <w:r>
              <w:rPr>
                <w:rFonts w:hint="eastAsia" w:ascii="宋体" w:hAnsi="宋体" w:cs="宋体"/>
                <w:color w:val="000000"/>
                <w:sz w:val="24"/>
                <w:highlight w:val="none"/>
                <w:u w:color="000000"/>
                <w:lang w:eastAsia="zh-CN"/>
              </w:rPr>
              <w:t>需方或</w:t>
            </w:r>
            <w:r>
              <w:rPr>
                <w:rFonts w:hint="eastAsia" w:ascii="宋体" w:hAnsi="宋体" w:cs="宋体"/>
                <w:color w:val="000000"/>
                <w:sz w:val="24"/>
                <w:highlight w:val="none"/>
                <w:u w:color="000000"/>
              </w:rPr>
              <w:t>第三方检测机构验证不合格，除须承担相应的经济赔偿责任之外，需方有权终止合同，</w:t>
            </w:r>
            <w:r>
              <w:rPr>
                <w:rFonts w:hint="eastAsia" w:ascii="宋体" w:hAnsi="宋体" w:cs="宋体"/>
                <w:color w:val="000000"/>
                <w:sz w:val="24"/>
                <w:highlight w:val="none"/>
                <w:u w:color="000000"/>
                <w:lang w:eastAsia="zh-CN"/>
              </w:rPr>
              <w:t>并</w:t>
            </w:r>
            <w:r>
              <w:rPr>
                <w:rFonts w:hint="eastAsia" w:ascii="宋体" w:hAnsi="宋体" w:cs="宋体"/>
                <w:color w:val="000000"/>
                <w:sz w:val="24"/>
                <w:highlight w:val="none"/>
                <w:u w:color="000000"/>
              </w:rPr>
              <w:t>报送至重庆市财政局和重庆市政府采购中心，将其列入云平台采购黑名单</w:t>
            </w:r>
            <w:r>
              <w:rPr>
                <w:rFonts w:hint="eastAsia" w:ascii="宋体" w:hAnsi="宋体" w:cs="宋体"/>
                <w:color w:val="000000"/>
                <w:sz w:val="24"/>
                <w:highlight w:val="none"/>
                <w:u w:color="000000"/>
                <w:lang w:eastAsia="zh-CN"/>
              </w:rPr>
              <w:t>，且</w:t>
            </w:r>
            <w:r>
              <w:rPr>
                <w:rFonts w:hint="eastAsia" w:ascii="宋体" w:hAnsi="宋体" w:cs="宋体"/>
                <w:color w:val="000000"/>
                <w:sz w:val="24"/>
                <w:highlight w:val="none"/>
                <w:u w:color="000000"/>
              </w:rPr>
              <w:t>五年内不得参与需方相关项目。</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（四）其他未尽事宜按《中华人民共和国民法典》、《政府采购法》执行。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2" w:type="dxa"/>
            <w:gridSpan w:val="11"/>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七、其他约定事项</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1.竞价文件及其补遗文件、响应文件和承诺是本合同不可分割的部分。</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2.本合同如发生争议由双方协商解决，协商不成向需方所在人民法院提请诉讼。</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3.本合同一式</w:t>
            </w:r>
            <w:r>
              <w:rPr>
                <w:rFonts w:hint="default" w:ascii="Times New Roman" w:hAnsi="Times New Roman" w:cs="Times New Roman"/>
                <w:sz w:val="24"/>
                <w:szCs w:val="24"/>
                <w:highlight w:val="none"/>
                <w:u w:val="single"/>
              </w:rPr>
              <w:t>肆</w:t>
            </w:r>
            <w:r>
              <w:rPr>
                <w:rFonts w:hint="default" w:ascii="Times New Roman" w:hAnsi="Times New Roman" w:cs="Times New Roman"/>
                <w:sz w:val="24"/>
                <w:szCs w:val="24"/>
                <w:highlight w:val="none"/>
              </w:rPr>
              <w:t>份，需方</w:t>
            </w:r>
            <w:r>
              <w:rPr>
                <w:rFonts w:hint="default" w:ascii="Times New Roman" w:hAnsi="Times New Roman" w:cs="Times New Roman"/>
                <w:sz w:val="24"/>
                <w:szCs w:val="24"/>
                <w:highlight w:val="none"/>
                <w:u w:val="single"/>
              </w:rPr>
              <w:t>叁</w:t>
            </w:r>
            <w:r>
              <w:rPr>
                <w:rFonts w:hint="default" w:ascii="Times New Roman" w:hAnsi="Times New Roman" w:cs="Times New Roman"/>
                <w:sz w:val="24"/>
                <w:szCs w:val="24"/>
                <w:highlight w:val="none"/>
              </w:rPr>
              <w:t>份，供方</w:t>
            </w:r>
            <w:r>
              <w:rPr>
                <w:rFonts w:hint="default" w:ascii="Times New Roman" w:hAnsi="Times New Roman" w:cs="Times New Roman"/>
                <w:sz w:val="24"/>
                <w:szCs w:val="24"/>
                <w:highlight w:val="none"/>
                <w:u w:val="single"/>
              </w:rPr>
              <w:t>壹</w:t>
            </w:r>
            <w:r>
              <w:rPr>
                <w:rFonts w:hint="default" w:ascii="Times New Roman" w:hAnsi="Times New Roman" w:cs="Times New Roman"/>
                <w:sz w:val="24"/>
                <w:szCs w:val="24"/>
                <w:highlight w:val="none"/>
              </w:rPr>
              <w:t>份，具同等法律效力。</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4.需方在中华人民共和国境内使用供方提供的货物及服务时免受第三方提出的侵犯其专利权或其它知识产权的起诉。如果第三方提出侵权指控，供方应承担由此而引起的一切法律责任和费用。</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5.其</w:t>
            </w:r>
            <w:r>
              <w:rPr>
                <w:rFonts w:hint="default" w:ascii="Times New Roman" w:hAnsi="Times New Roman" w:cs="Times New Roman"/>
                <w:b/>
                <w:bCs/>
                <w:sz w:val="24"/>
                <w:szCs w:val="24"/>
                <w:highlight w:val="none"/>
                <w:lang w:val="en-US" w:eastAsia="zh-CN"/>
              </w:rPr>
              <w:t xml:space="preserve">他：供方项目负责人：国合基地联系人：肖老师，13452342648；人工智能学院联系人：熊老师，13983882331）；经管中心联系人，范老师：13983438183；党政办联系人：莫老师，13996071408。需方项目负责人：       </w:t>
            </w:r>
            <w:r>
              <w:rPr>
                <w:rFonts w:hint="default" w:ascii="Times New Roman" w:hAnsi="Times New Roman" w:cs="Times New Roman"/>
                <w:b/>
                <w:bCs/>
                <w:sz w:val="24"/>
                <w:szCs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4" w:type="dxa"/>
            <w:gridSpan w:val="4"/>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需方：重庆工商大学</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地址：重庆市南岸区学府大道19号</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联系电话：023-62929085</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传真：023-62769774</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开户行：工行重庆南岸学府支行</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账号：3100027609024907533</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统一社会信用代码：125000007428748822</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法定代表：</w:t>
            </w:r>
          </w:p>
          <w:p>
            <w:pPr>
              <w:pStyle w:val="4"/>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授权代表：</w:t>
            </w:r>
          </w:p>
        </w:tc>
        <w:tc>
          <w:tcPr>
            <w:tcW w:w="4858" w:type="dxa"/>
            <w:gridSpan w:val="7"/>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供方：</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地址： </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联系电话：</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传真：</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开户行：</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账号：</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统一社会信用代码：</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法定代表：</w:t>
            </w:r>
          </w:p>
          <w:p>
            <w:pPr>
              <w:pStyle w:val="4"/>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授权代表：</w:t>
            </w:r>
          </w:p>
          <w:p>
            <w:pPr>
              <w:pStyle w:val="4"/>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632" w:type="dxa"/>
            <w:gridSpan w:val="11"/>
            <w:vAlign w:val="center"/>
          </w:tcPr>
          <w:p>
            <w:pPr>
              <w:keepNext w:val="0"/>
              <w:keepLines w:val="0"/>
              <w:pageBreakBefore w:val="0"/>
              <w:kinsoku/>
              <w:wordWrap/>
              <w:overflowPunct/>
              <w:topLinePunct w:val="0"/>
              <w:autoSpaceDE/>
              <w:autoSpaceDN/>
              <w:bidi w:val="0"/>
              <w:spacing w:line="400" w:lineRule="exact"/>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备注：附件：技术参数</w:t>
            </w:r>
          </w:p>
        </w:tc>
      </w:tr>
    </w:tbl>
    <w:p>
      <w:pPr>
        <w:rPr>
          <w:rFonts w:hint="default" w:ascii="Times New Roman" w:hAnsi="Times New Roman" w:cs="Times New Roman"/>
          <w:sz w:val="24"/>
          <w:highlight w:val="none"/>
        </w:rPr>
      </w:pPr>
      <w:r>
        <w:rPr>
          <w:rFonts w:hint="default" w:ascii="Times New Roman" w:hAnsi="Times New Roman" w:cs="Times New Roman"/>
          <w:sz w:val="24"/>
          <w:highlight w:val="none"/>
        </w:rPr>
        <w:t>签约时间：2023年</w:t>
      </w:r>
      <w:r>
        <w:rPr>
          <w:rFonts w:hint="default" w:ascii="Times New Roman" w:hAnsi="Times New Roman" w:cs="Times New Roman"/>
          <w:sz w:val="24"/>
          <w:highlight w:val="none"/>
          <w:lang w:val="en-US" w:eastAsia="zh-CN"/>
        </w:rPr>
        <w:t>5</w:t>
      </w:r>
      <w:r>
        <w:rPr>
          <w:rFonts w:hint="default" w:ascii="Times New Roman" w:hAnsi="Times New Roman" w:cs="Times New Roman"/>
          <w:sz w:val="24"/>
          <w:highlight w:val="none"/>
        </w:rPr>
        <w:t>月   日                签约地点：重庆工商大学</w:t>
      </w:r>
    </w:p>
    <w:p>
      <w:pPr>
        <w:tabs>
          <w:tab w:val="left" w:pos="6300"/>
        </w:tabs>
        <w:snapToGrid w:val="0"/>
        <w:spacing w:line="500" w:lineRule="exact"/>
        <w:ind w:firstLine="570"/>
        <w:jc w:val="left"/>
        <w:rPr>
          <w:rFonts w:hint="default" w:ascii="Times New Roman" w:hAnsi="Times New Roman" w:cs="Times New Roman"/>
          <w:sz w:val="24"/>
          <w:highlight w:val="none"/>
        </w:rPr>
      </w:pPr>
    </w:p>
    <w:p>
      <w:pPr>
        <w:widowControl/>
        <w:jc w:val="left"/>
        <w:rPr>
          <w:rFonts w:ascii="黑体" w:hAnsi="黑体" w:eastAsia="黑体" w:cs="宋体"/>
          <w:sz w:val="30"/>
          <w:szCs w:val="30"/>
          <w:highlight w:val="none"/>
        </w:rPr>
      </w:pPr>
      <w:r>
        <w:rPr>
          <w:rFonts w:ascii="宋体" w:hAnsi="宋体" w:cs="宋体"/>
          <w:sz w:val="24"/>
          <w:szCs w:val="18"/>
          <w:highlight w:val="none"/>
        </w:rPr>
        <w:br w:type="page"/>
      </w:r>
      <w:r>
        <w:rPr>
          <w:rFonts w:hint="eastAsia" w:ascii="黑体" w:hAnsi="黑体" w:eastAsia="黑体" w:cs="宋体"/>
          <w:sz w:val="30"/>
          <w:szCs w:val="30"/>
          <w:highlight w:val="none"/>
        </w:rPr>
        <w:t>响应文件格式</w:t>
      </w:r>
    </w:p>
    <w:p>
      <w:pPr>
        <w:tabs>
          <w:tab w:val="left" w:pos="6300"/>
        </w:tabs>
        <w:snapToGrid w:val="0"/>
        <w:spacing w:line="500" w:lineRule="exact"/>
        <w:ind w:firstLine="570"/>
        <w:jc w:val="left"/>
        <w:rPr>
          <w:rFonts w:ascii="宋体" w:hAnsi="宋体" w:cs="宋体"/>
          <w:sz w:val="24"/>
          <w:szCs w:val="18"/>
          <w:highlight w:val="none"/>
        </w:rPr>
      </w:pPr>
      <w:r>
        <w:rPr>
          <w:rFonts w:hint="eastAsia" w:ascii="宋体" w:hAnsi="宋体" w:cs="宋体"/>
          <w:sz w:val="24"/>
          <w:szCs w:val="18"/>
          <w:highlight w:val="none"/>
        </w:rPr>
        <w:t>附件1：</w:t>
      </w:r>
    </w:p>
    <w:p>
      <w:pPr>
        <w:tabs>
          <w:tab w:val="left" w:pos="6300"/>
        </w:tabs>
        <w:snapToGrid w:val="0"/>
        <w:spacing w:line="500" w:lineRule="exact"/>
        <w:ind w:firstLine="570"/>
        <w:jc w:val="center"/>
        <w:rPr>
          <w:rFonts w:hint="eastAsia" w:ascii="宋体" w:hAnsi="宋体" w:cs="宋体" w:eastAsiaTheme="minorEastAsia"/>
          <w:szCs w:val="21"/>
          <w:highlight w:val="none"/>
          <w:lang w:eastAsia="zh-CN"/>
        </w:rPr>
      </w:pPr>
      <w:r>
        <w:rPr>
          <w:rFonts w:hint="eastAsia" w:ascii="宋体" w:hAnsi="宋体" w:cs="宋体"/>
          <w:sz w:val="32"/>
          <w:szCs w:val="21"/>
          <w:highlight w:val="none"/>
        </w:rPr>
        <w:t xml:space="preserve">书 面 </w:t>
      </w:r>
      <w:r>
        <w:rPr>
          <w:rFonts w:hint="eastAsia" w:ascii="宋体" w:hAnsi="宋体" w:cs="宋体"/>
          <w:sz w:val="32"/>
          <w:szCs w:val="21"/>
          <w:highlight w:val="none"/>
          <w:lang w:eastAsia="zh-CN"/>
        </w:rPr>
        <w:t>承</w:t>
      </w:r>
      <w:r>
        <w:rPr>
          <w:rFonts w:hint="eastAsia" w:ascii="宋体" w:hAnsi="宋体" w:cs="宋体"/>
          <w:sz w:val="32"/>
          <w:szCs w:val="21"/>
          <w:highlight w:val="none"/>
          <w:lang w:val="en-US" w:eastAsia="zh-CN"/>
        </w:rPr>
        <w:t xml:space="preserve"> </w:t>
      </w:r>
      <w:r>
        <w:rPr>
          <w:rFonts w:hint="eastAsia" w:ascii="宋体" w:hAnsi="宋体" w:cs="宋体"/>
          <w:sz w:val="32"/>
          <w:szCs w:val="21"/>
          <w:highlight w:val="none"/>
          <w:lang w:eastAsia="zh-CN"/>
        </w:rPr>
        <w:t>诺</w:t>
      </w:r>
      <w:r>
        <w:rPr>
          <w:rFonts w:hint="eastAsia" w:ascii="宋体" w:hAnsi="宋体" w:cs="宋体"/>
          <w:sz w:val="32"/>
          <w:szCs w:val="21"/>
          <w:highlight w:val="none"/>
          <w:lang w:val="en-US" w:eastAsia="zh-CN"/>
        </w:rPr>
        <w:t xml:space="preserve"> </w:t>
      </w:r>
      <w:r>
        <w:rPr>
          <w:rFonts w:hint="eastAsia" w:ascii="宋体" w:hAnsi="宋体" w:cs="宋体"/>
          <w:sz w:val="32"/>
          <w:szCs w:val="21"/>
          <w:highlight w:val="none"/>
          <w:lang w:eastAsia="zh-CN"/>
        </w:rPr>
        <w:t>书</w:t>
      </w:r>
    </w:p>
    <w:p>
      <w:pPr>
        <w:keepNext w:val="0"/>
        <w:keepLines w:val="0"/>
        <w:pageBreakBefore w:val="0"/>
        <w:widowControl w:val="0"/>
        <w:kinsoku/>
        <w:wordWrap/>
        <w:overflowPunct/>
        <w:topLinePunct w:val="0"/>
        <w:autoSpaceDE/>
        <w:autoSpaceDN/>
        <w:bidi w:val="0"/>
        <w:adjustRightInd/>
        <w:spacing w:line="240" w:lineRule="auto"/>
        <w:textAlignment w:val="auto"/>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致：</w:t>
      </w:r>
      <w:r>
        <w:rPr>
          <w:color w:val="000000" w:themeColor="text1"/>
          <w:sz w:val="24"/>
          <w:highlight w:val="none"/>
          <w:u w:val="single"/>
          <w14:textFill>
            <w14:solidFill>
              <w14:schemeClr w14:val="tx1"/>
            </w14:solidFill>
          </w14:textFill>
        </w:rPr>
        <w:t>重庆工商大学</w:t>
      </w:r>
      <w:r>
        <w:rPr>
          <w:color w:val="000000" w:themeColor="text1"/>
          <w:sz w:val="24"/>
          <w:highlight w:val="none"/>
          <w14:textFill>
            <w14:solidFill>
              <w14:schemeClr w14:val="tx1"/>
            </w14:solidFill>
          </w14:textFill>
        </w:rPr>
        <w:t>（采购人名称）</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480" w:firstLineChars="200"/>
        <w:textAlignment w:val="auto"/>
        <w:rPr>
          <w:rFonts w:ascii="宋体" w:hAnsi="宋体" w:cs="宋体"/>
          <w:sz w:val="24"/>
          <w:highlight w:val="none"/>
        </w:rPr>
      </w:pPr>
      <w:r>
        <w:rPr>
          <w:color w:val="000000" w:themeColor="text1"/>
          <w:sz w:val="24"/>
          <w:highlight w:val="none"/>
          <w14:textFill>
            <w14:solidFill>
              <w14:schemeClr w14:val="tx1"/>
            </w14:solidFill>
          </w14:textFill>
        </w:rPr>
        <w:t>我方在参加</w:t>
      </w:r>
      <w:r>
        <w:rPr>
          <w:rFonts w:hint="eastAsia"/>
          <w:color w:val="000000" w:themeColor="text1"/>
          <w:sz w:val="24"/>
          <w:highlight w:val="none"/>
          <w:u w:val="single"/>
          <w:lang w:val="en-US" w:eastAsia="zh-CN"/>
          <w14:textFill>
            <w14:solidFill>
              <w14:schemeClr w14:val="tx1"/>
            </w14:solidFill>
          </w14:textFill>
        </w:rPr>
        <w:t>重庆工商大学国合基地实验台及配套气柜、人工智能学院新进辅导员办公家具、经管中心展示柜、党政办会议室家具采购项目</w:t>
      </w:r>
      <w:r>
        <w:rPr>
          <w:color w:val="000000" w:themeColor="text1"/>
          <w:sz w:val="24"/>
          <w:highlight w:val="none"/>
          <w14:textFill>
            <w14:solidFill>
              <w14:schemeClr w14:val="tx1"/>
            </w14:solidFill>
          </w14:textFill>
        </w:rPr>
        <w:t>（项目名称）的网上竞采采购活动中承诺如下：</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480" w:firstLineChars="200"/>
        <w:textAlignment w:val="auto"/>
        <w:rPr>
          <w:rFonts w:ascii="宋体" w:hAnsi="宋体" w:cs="宋体"/>
          <w:sz w:val="24"/>
          <w:highlight w:val="none"/>
        </w:rPr>
      </w:pPr>
      <w:r>
        <w:rPr>
          <w:rFonts w:hint="eastAsia" w:ascii="宋体" w:hAnsi="宋体" w:cs="宋体"/>
          <w:sz w:val="24"/>
          <w:highlight w:val="none"/>
          <w:u w:val="none"/>
          <w:lang w:val="en-US" w:eastAsia="zh-CN"/>
        </w:rPr>
        <w:t>1.</w:t>
      </w:r>
      <w:r>
        <w:rPr>
          <w:rFonts w:hint="eastAsia" w:ascii="宋体" w:hAnsi="宋体" w:cs="宋体"/>
          <w:sz w:val="24"/>
          <w:highlight w:val="none"/>
        </w:rPr>
        <w:t>我方为企业法人，承诺满足供应商资格要求中的一般资质条件的全部要求，即：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在合同签订前后随时愿意提供相关证明材料。我公司随时接受采购人、采购代理机构的检查验证，符合合格供应商的资质要求。我方对以上声明负全部法律责任。</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480" w:firstLineChars="200"/>
        <w:textAlignment w:val="auto"/>
        <w:rPr>
          <w:rFonts w:hint="eastAsia" w:ascii="宋体" w:hAnsi="宋体" w:cs="宋体"/>
          <w:sz w:val="24"/>
          <w:highlight w:val="none"/>
        </w:rPr>
      </w:pPr>
      <w:r>
        <w:rPr>
          <w:color w:val="000000" w:themeColor="text1"/>
          <w:sz w:val="24"/>
          <w:highlight w:val="none"/>
          <w14:textFill>
            <w14:solidFill>
              <w14:schemeClr w14:val="tx1"/>
            </w14:solidFill>
          </w14:textFill>
        </w:rPr>
        <w:t>2.我方承诺：本次网上竞采</w:t>
      </w:r>
      <w:r>
        <w:rPr>
          <w:rFonts w:hint="eastAsia" w:ascii="宋体" w:hAnsi="宋体" w:cs="宋体"/>
          <w:sz w:val="24"/>
          <w:highlight w:val="none"/>
        </w:rPr>
        <w:t>的有效期为90天。</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3.我方已熟知本项目网上竞采采购公告及其附件的全部内容，承诺响应本项目网上竞采采购公告及其附件的全部要求。</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4.我方承诺满足供应商资格要求中的特定资格条件的全部要求。</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480" w:firstLineChars="200"/>
        <w:textAlignment w:val="auto"/>
        <w:rPr>
          <w:rFonts w:hint="eastAsia" w:ascii="宋体" w:hAnsi="宋体" w:cs="宋体"/>
          <w:sz w:val="24"/>
          <w:highlight w:val="none"/>
        </w:rPr>
      </w:pPr>
      <w:r>
        <w:rPr>
          <w:rFonts w:hint="eastAsia" w:ascii="宋体" w:hAnsi="宋体" w:cs="宋体"/>
          <w:sz w:val="24"/>
          <w:highlight w:val="none"/>
          <w:lang w:val="en-US" w:eastAsia="zh-CN"/>
        </w:rPr>
        <w:t>5.</w:t>
      </w:r>
      <w:r>
        <w:rPr>
          <w:rFonts w:hint="eastAsia" w:ascii="宋体" w:hAnsi="宋体" w:cs="宋体"/>
          <w:sz w:val="24"/>
          <w:highlight w:val="none"/>
        </w:rPr>
        <w:t>我方若中选，将按照采购人发布的合同条款中的有关要求按时足额缴纳履约保证金</w:t>
      </w:r>
      <w:r>
        <w:rPr>
          <w:rFonts w:hint="eastAsia" w:ascii="宋体" w:hAnsi="宋体" w:cs="宋体"/>
          <w:sz w:val="24"/>
          <w:highlight w:val="none"/>
          <w:lang w:eastAsia="zh-CN"/>
        </w:rPr>
        <w:t>（如有）</w:t>
      </w:r>
      <w:r>
        <w:rPr>
          <w:rFonts w:hint="eastAsia" w:ascii="宋体" w:hAnsi="宋体" w:cs="宋体"/>
          <w:sz w:val="24"/>
          <w:highlight w:val="none"/>
        </w:rPr>
        <w:t>，将按照采购人发布的“合同条款”和网上竞采采购结果、网上竞采公告签订合同，并且严格履行合同义务，否则采购人有权取消我方中选资格。本报价函及承诺书将成为合同不可分割的一部分，与合同具有同等的法律效力。我方理解，最低报价不是成交的唯一条件。</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480" w:firstLineChars="200"/>
        <w:textAlignment w:val="auto"/>
        <w:rPr>
          <w:rFonts w:hint="eastAsia" w:ascii="宋体" w:hAnsi="宋体" w:cs="宋体"/>
          <w:sz w:val="24"/>
          <w:highlight w:val="none"/>
        </w:rPr>
      </w:pPr>
      <w:r>
        <w:rPr>
          <w:rFonts w:hint="eastAsia" w:ascii="宋体" w:hAnsi="宋体" w:cs="宋体"/>
          <w:sz w:val="24"/>
          <w:highlight w:val="none"/>
          <w:lang w:val="en-US" w:eastAsia="zh-CN"/>
        </w:rPr>
        <w:t>6</w:t>
      </w:r>
      <w:r>
        <w:rPr>
          <w:rFonts w:hint="eastAsia" w:ascii="宋体" w:hAnsi="宋体" w:cs="宋体"/>
          <w:sz w:val="24"/>
          <w:highlight w:val="none"/>
        </w:rPr>
        <w:t>.我方若中选，采购人可通过现场考察、函询等多种方式对我方的投标文件响应情况予以核查，我方无条件配合并提供有关证明材料，证明其响应内容的真实有效性。采购人若发现我方进行虚假响应或提供虚假材料的，有权取消我方的中标资格；若在合同签订后查实我方进行虚假响应或提供虚假材料的，采购人有权单方面终止合同，全额没收履约保证金</w:t>
      </w:r>
      <w:r>
        <w:rPr>
          <w:rFonts w:hint="eastAsia" w:ascii="宋体" w:hAnsi="宋体" w:cs="宋体"/>
          <w:sz w:val="24"/>
          <w:highlight w:val="none"/>
          <w:lang w:eastAsia="zh-CN"/>
        </w:rPr>
        <w:t>（如有）</w:t>
      </w:r>
      <w:r>
        <w:rPr>
          <w:rFonts w:hint="eastAsia" w:ascii="宋体" w:hAnsi="宋体" w:cs="宋体"/>
          <w:sz w:val="24"/>
          <w:highlight w:val="none"/>
        </w:rPr>
        <w:t>，给采购人造成经济损失的，依法承担赔偿责任。</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480" w:firstLineChars="200"/>
        <w:textAlignment w:val="auto"/>
        <w:rPr>
          <w:rFonts w:hint="eastAsia" w:ascii="宋体" w:hAnsi="宋体" w:cs="宋体"/>
          <w:sz w:val="24"/>
          <w:highlight w:val="none"/>
        </w:rPr>
      </w:pPr>
      <w:r>
        <w:rPr>
          <w:rFonts w:hint="eastAsia" w:ascii="宋体" w:hAnsi="宋体" w:cs="宋体"/>
          <w:sz w:val="24"/>
          <w:highlight w:val="none"/>
          <w:lang w:val="en-US" w:eastAsia="zh-CN"/>
        </w:rPr>
        <w:t>7</w:t>
      </w:r>
      <w:r>
        <w:rPr>
          <w:rFonts w:hint="eastAsia" w:ascii="宋体" w:hAnsi="宋体" w:cs="宋体"/>
          <w:sz w:val="24"/>
          <w:highlight w:val="none"/>
        </w:rPr>
        <w:t>.在整个网上竞采采购过程中，我方若有违规行为，愿意接受按照《中华人民共和国政府采购法》及其实施条例、重庆市政府采购云平台规定给予惩罚。</w:t>
      </w:r>
    </w:p>
    <w:p>
      <w:pPr>
        <w:tabs>
          <w:tab w:val="left" w:pos="6300"/>
        </w:tabs>
        <w:snapToGrid w:val="0"/>
        <w:spacing w:line="360" w:lineRule="auto"/>
        <w:ind w:firstLine="3542" w:firstLineChars="1476"/>
        <w:rPr>
          <w:color w:val="000000" w:themeColor="text1"/>
          <w:sz w:val="24"/>
          <w:highlight w:val="none"/>
          <w14:textFill>
            <w14:solidFill>
              <w14:schemeClr w14:val="tx1"/>
            </w14:solidFill>
          </w14:textFill>
        </w:rPr>
      </w:pPr>
    </w:p>
    <w:p>
      <w:pPr>
        <w:tabs>
          <w:tab w:val="left" w:pos="6300"/>
        </w:tabs>
        <w:snapToGrid w:val="0"/>
        <w:spacing w:line="360" w:lineRule="auto"/>
        <w:ind w:firstLine="3542" w:firstLineChars="1476"/>
        <w:rPr>
          <w:color w:val="000000" w:themeColor="text1"/>
          <w:sz w:val="24"/>
          <w:highlight w:val="none"/>
          <w14:textFill>
            <w14:solidFill>
              <w14:schemeClr w14:val="tx1"/>
            </w14:solidFill>
          </w14:textFill>
        </w:rPr>
      </w:pPr>
    </w:p>
    <w:p>
      <w:pPr>
        <w:tabs>
          <w:tab w:val="left" w:pos="6300"/>
        </w:tabs>
        <w:snapToGrid w:val="0"/>
        <w:spacing w:line="360" w:lineRule="auto"/>
        <w:ind w:firstLine="3542" w:firstLineChars="1476"/>
        <w:rPr>
          <w:color w:val="000000" w:themeColor="text1"/>
          <w:sz w:val="24"/>
          <w:highlight w:val="none"/>
          <w14:textFill>
            <w14:solidFill>
              <w14:schemeClr w14:val="tx1"/>
            </w14:solidFill>
          </w14:textFill>
        </w:rPr>
      </w:pPr>
    </w:p>
    <w:p>
      <w:pPr>
        <w:tabs>
          <w:tab w:val="left" w:pos="6300"/>
        </w:tabs>
        <w:snapToGrid w:val="0"/>
        <w:spacing w:line="360" w:lineRule="auto"/>
        <w:ind w:firstLine="3542" w:firstLineChars="1476"/>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供应商名称（</w:t>
      </w:r>
      <w:r>
        <w:rPr>
          <w:rFonts w:hint="eastAsia"/>
          <w:color w:val="000000" w:themeColor="text1"/>
          <w:sz w:val="24"/>
          <w:highlight w:val="none"/>
          <w14:textFill>
            <w14:solidFill>
              <w14:schemeClr w14:val="tx1"/>
            </w14:solidFill>
          </w14:textFill>
        </w:rPr>
        <w:t>盖单位</w:t>
      </w:r>
      <w:r>
        <w:rPr>
          <w:color w:val="000000" w:themeColor="text1"/>
          <w:sz w:val="24"/>
          <w:highlight w:val="none"/>
          <w14:textFill>
            <w14:solidFill>
              <w14:schemeClr w14:val="tx1"/>
            </w14:solidFill>
          </w14:textFill>
        </w:rPr>
        <w:t>法人章）：</w:t>
      </w:r>
    </w:p>
    <w:p>
      <w:pPr>
        <w:tabs>
          <w:tab w:val="left" w:pos="6300"/>
        </w:tabs>
        <w:snapToGrid w:val="0"/>
        <w:spacing w:line="360" w:lineRule="auto"/>
        <w:ind w:firstLine="3542" w:firstLineChars="1476"/>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法定代表人或委托代理人签字：</w:t>
      </w:r>
    </w:p>
    <w:p>
      <w:pPr>
        <w:snapToGrid w:val="0"/>
        <w:spacing w:line="360" w:lineRule="auto"/>
        <w:ind w:firstLine="6520" w:firstLineChars="2717"/>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年    月    日</w:t>
      </w:r>
    </w:p>
    <w:p>
      <w:pPr>
        <w:rPr>
          <w:sz w:val="24"/>
          <w:highlight w:val="none"/>
        </w:rPr>
      </w:pPr>
    </w:p>
    <w:p>
      <w:pPr>
        <w:widowControl/>
        <w:jc w:val="left"/>
        <w:rPr>
          <w:sz w:val="24"/>
          <w:highlight w:val="none"/>
        </w:rPr>
      </w:pPr>
      <w:r>
        <w:rPr>
          <w:sz w:val="24"/>
          <w:highlight w:val="none"/>
        </w:rPr>
        <w:br w:type="page"/>
      </w:r>
      <w:r>
        <w:rPr>
          <w:rFonts w:hint="eastAsia"/>
          <w:sz w:val="24"/>
          <w:highlight w:val="none"/>
        </w:rPr>
        <w:t>附件2：</w:t>
      </w:r>
    </w:p>
    <w:p>
      <w:pPr>
        <w:widowControl/>
        <w:jc w:val="center"/>
        <w:rPr>
          <w:b/>
          <w:sz w:val="24"/>
          <w:highlight w:val="none"/>
        </w:rPr>
      </w:pPr>
      <w:r>
        <w:rPr>
          <w:b/>
          <w:sz w:val="24"/>
          <w:highlight w:val="none"/>
        </w:rPr>
        <w:t>授权委托书</w:t>
      </w:r>
    </w:p>
    <w:p>
      <w:pPr>
        <w:spacing w:line="360" w:lineRule="auto"/>
        <w:jc w:val="center"/>
        <w:rPr>
          <w:sz w:val="24"/>
          <w:highlight w:val="none"/>
        </w:rPr>
      </w:pPr>
    </w:p>
    <w:p>
      <w:pPr>
        <w:tabs>
          <w:tab w:val="center" w:pos="4819"/>
        </w:tabs>
        <w:autoSpaceDE w:val="0"/>
        <w:autoSpaceDN w:val="0"/>
        <w:adjustRightInd w:val="0"/>
        <w:snapToGrid w:val="0"/>
        <w:spacing w:line="360" w:lineRule="auto"/>
        <w:jc w:val="left"/>
        <w:rPr>
          <w:kern w:val="0"/>
          <w:sz w:val="24"/>
          <w:highlight w:val="none"/>
        </w:rPr>
      </w:pPr>
      <w:r>
        <w:rPr>
          <w:sz w:val="24"/>
          <w:highlight w:val="none"/>
        </w:rPr>
        <w:t>致：</w:t>
      </w:r>
      <w:r>
        <w:rPr>
          <w:sz w:val="24"/>
          <w:highlight w:val="none"/>
          <w:u w:val="single"/>
        </w:rPr>
        <w:t>重庆工商大学</w:t>
      </w:r>
      <w:r>
        <w:rPr>
          <w:sz w:val="24"/>
          <w:highlight w:val="none"/>
        </w:rPr>
        <w:t>（采购人名称）</w:t>
      </w:r>
      <w:r>
        <w:rPr>
          <w:sz w:val="24"/>
          <w:highlight w:val="none"/>
        </w:rPr>
        <w:tab/>
      </w:r>
    </w:p>
    <w:p>
      <w:pPr>
        <w:tabs>
          <w:tab w:val="left" w:pos="1680"/>
          <w:tab w:val="left" w:pos="4305"/>
          <w:tab w:val="left" w:pos="8000"/>
        </w:tabs>
        <w:autoSpaceDE w:val="0"/>
        <w:autoSpaceDN w:val="0"/>
        <w:adjustRightInd w:val="0"/>
        <w:snapToGrid w:val="0"/>
        <w:spacing w:line="360" w:lineRule="auto"/>
        <w:ind w:firstLine="480" w:firstLineChars="200"/>
        <w:rPr>
          <w:kern w:val="0"/>
          <w:sz w:val="24"/>
          <w:highlight w:val="none"/>
        </w:rPr>
      </w:pPr>
    </w:p>
    <w:p>
      <w:pPr>
        <w:tabs>
          <w:tab w:val="left" w:pos="1680"/>
          <w:tab w:val="left" w:pos="4305"/>
          <w:tab w:val="left" w:pos="8000"/>
        </w:tabs>
        <w:autoSpaceDE w:val="0"/>
        <w:autoSpaceDN w:val="0"/>
        <w:adjustRightInd w:val="0"/>
        <w:snapToGrid w:val="0"/>
        <w:spacing w:line="360" w:lineRule="auto"/>
        <w:ind w:firstLine="480" w:firstLineChars="200"/>
        <w:rPr>
          <w:kern w:val="0"/>
          <w:sz w:val="24"/>
          <w:highlight w:val="none"/>
        </w:rPr>
      </w:pPr>
      <w:r>
        <w:rPr>
          <w:kern w:val="0"/>
          <w:sz w:val="24"/>
          <w:highlight w:val="none"/>
        </w:rPr>
        <w:t>本人</w:t>
      </w:r>
      <w:r>
        <w:rPr>
          <w:kern w:val="0"/>
          <w:sz w:val="24"/>
          <w:highlight w:val="none"/>
          <w:u w:val="single"/>
        </w:rPr>
        <w:tab/>
      </w:r>
      <w:r>
        <w:rPr>
          <w:kern w:val="0"/>
          <w:sz w:val="24"/>
          <w:highlight w:val="none"/>
        </w:rPr>
        <w:t>（姓名）系</w:t>
      </w:r>
      <w:r>
        <w:rPr>
          <w:kern w:val="0"/>
          <w:sz w:val="24"/>
          <w:highlight w:val="none"/>
          <w:u w:val="single"/>
        </w:rPr>
        <w:tab/>
      </w:r>
      <w:r>
        <w:rPr>
          <w:kern w:val="0"/>
          <w:sz w:val="24"/>
          <w:highlight w:val="none"/>
        </w:rPr>
        <w:t>（</w:t>
      </w:r>
      <w:r>
        <w:rPr>
          <w:spacing w:val="-1"/>
          <w:kern w:val="0"/>
          <w:sz w:val="24"/>
          <w:highlight w:val="none"/>
        </w:rPr>
        <w:t>供应商</w:t>
      </w:r>
      <w:r>
        <w:rPr>
          <w:kern w:val="0"/>
          <w:sz w:val="24"/>
          <w:highlight w:val="none"/>
        </w:rPr>
        <w:t>名称</w:t>
      </w:r>
      <w:r>
        <w:rPr>
          <w:spacing w:val="1"/>
          <w:kern w:val="0"/>
          <w:sz w:val="24"/>
          <w:highlight w:val="none"/>
        </w:rPr>
        <w:t>）</w:t>
      </w:r>
      <w:r>
        <w:rPr>
          <w:kern w:val="0"/>
          <w:sz w:val="24"/>
          <w:highlight w:val="none"/>
        </w:rPr>
        <w:t>的法定代</w:t>
      </w:r>
      <w:r>
        <w:rPr>
          <w:spacing w:val="1"/>
          <w:kern w:val="0"/>
          <w:sz w:val="24"/>
          <w:highlight w:val="none"/>
        </w:rPr>
        <w:t>表</w:t>
      </w:r>
      <w:r>
        <w:rPr>
          <w:kern w:val="0"/>
          <w:sz w:val="24"/>
          <w:highlight w:val="none"/>
        </w:rPr>
        <w:t>人，现委托</w:t>
      </w:r>
      <w:r>
        <w:rPr>
          <w:kern w:val="0"/>
          <w:sz w:val="24"/>
          <w:highlight w:val="none"/>
          <w:u w:val="single"/>
        </w:rPr>
        <w:tab/>
      </w:r>
      <w:r>
        <w:rPr>
          <w:kern w:val="0"/>
          <w:sz w:val="24"/>
          <w:highlight w:val="none"/>
          <w:u w:val="single"/>
        </w:rPr>
        <w:t xml:space="preserve">        </w:t>
      </w:r>
      <w:r>
        <w:rPr>
          <w:kern w:val="0"/>
          <w:sz w:val="24"/>
          <w:highlight w:val="none"/>
        </w:rPr>
        <w:t>（姓名）为我方代理人。特授权代理人以我方名义签署、澄清、说明、补正、递交、撤回、修改</w:t>
      </w:r>
      <w:r>
        <w:rPr>
          <w:rFonts w:hint="eastAsia"/>
          <w:kern w:val="0"/>
          <w:sz w:val="24"/>
          <w:highlight w:val="none"/>
          <w:u w:val="single"/>
        </w:rPr>
        <w:t xml:space="preserve">                      </w:t>
      </w:r>
      <w:r>
        <w:rPr>
          <w:kern w:val="0"/>
          <w:sz w:val="24"/>
          <w:highlight w:val="none"/>
        </w:rPr>
        <w:t>（项</w:t>
      </w:r>
      <w:r>
        <w:rPr>
          <w:spacing w:val="-1"/>
          <w:kern w:val="0"/>
          <w:sz w:val="24"/>
          <w:highlight w:val="none"/>
        </w:rPr>
        <w:t>目</w:t>
      </w:r>
      <w:r>
        <w:rPr>
          <w:kern w:val="0"/>
          <w:sz w:val="24"/>
          <w:highlight w:val="none"/>
        </w:rPr>
        <w:t>名称）的响应文件、签订合同和处理有关事宜。</w:t>
      </w:r>
      <w:r>
        <w:rPr>
          <w:sz w:val="24"/>
          <w:highlight w:val="none"/>
        </w:rPr>
        <w:t>我单位对被授权人的签字负全部责任。</w:t>
      </w:r>
    </w:p>
    <w:p>
      <w:pPr>
        <w:snapToGrid w:val="0"/>
        <w:spacing w:line="360" w:lineRule="auto"/>
        <w:ind w:firstLine="480" w:firstLineChars="200"/>
        <w:rPr>
          <w:sz w:val="24"/>
          <w:highlight w:val="none"/>
        </w:rPr>
      </w:pPr>
      <w:r>
        <w:rPr>
          <w:sz w:val="24"/>
          <w:highlight w:val="none"/>
        </w:rPr>
        <w:t>在撤消授权的书面通知以前，本授权书一直有效。被授权人在授权书有效期内签署的所有文件不因授权的撤消而失效。</w:t>
      </w:r>
    </w:p>
    <w:p>
      <w:pPr>
        <w:snapToGrid w:val="0"/>
        <w:spacing w:line="360" w:lineRule="auto"/>
        <w:ind w:firstLine="480" w:firstLineChars="200"/>
        <w:rPr>
          <w:kern w:val="0"/>
          <w:sz w:val="24"/>
          <w:highlight w:val="none"/>
        </w:rPr>
      </w:pPr>
      <w:r>
        <w:rPr>
          <w:kern w:val="0"/>
          <w:sz w:val="24"/>
          <w:highlight w:val="none"/>
        </w:rPr>
        <w:t>代理人无转委托权。</w:t>
      </w:r>
    </w:p>
    <w:p>
      <w:pPr>
        <w:snapToGrid w:val="0"/>
        <w:spacing w:line="360" w:lineRule="auto"/>
        <w:ind w:firstLine="480" w:firstLineChars="200"/>
        <w:rPr>
          <w:kern w:val="0"/>
          <w:sz w:val="24"/>
          <w:highlight w:val="none"/>
        </w:rPr>
      </w:pPr>
      <w:r>
        <w:rPr>
          <w:kern w:val="0"/>
          <w:sz w:val="24"/>
          <w:highlight w:val="none"/>
        </w:rPr>
        <w:t>附：法定代表人身份证明</w:t>
      </w:r>
    </w:p>
    <w:p>
      <w:pPr>
        <w:snapToGrid w:val="0"/>
        <w:spacing w:line="360" w:lineRule="auto"/>
        <w:ind w:firstLine="480" w:firstLineChars="200"/>
        <w:rPr>
          <w:kern w:val="0"/>
          <w:sz w:val="24"/>
          <w:highlight w:val="none"/>
        </w:rPr>
      </w:pPr>
    </w:p>
    <w:p>
      <w:pPr>
        <w:tabs>
          <w:tab w:val="left" w:pos="4200"/>
          <w:tab w:val="left" w:pos="4620"/>
        </w:tabs>
        <w:autoSpaceDE w:val="0"/>
        <w:autoSpaceDN w:val="0"/>
        <w:adjustRightInd w:val="0"/>
        <w:snapToGrid w:val="0"/>
        <w:spacing w:line="360" w:lineRule="auto"/>
        <w:ind w:firstLine="1694"/>
        <w:jc w:val="left"/>
        <w:rPr>
          <w:kern w:val="0"/>
          <w:sz w:val="24"/>
          <w:highlight w:val="none"/>
        </w:rPr>
      </w:pPr>
      <w:r>
        <w:rPr>
          <w:kern w:val="0"/>
          <w:sz w:val="24"/>
          <w:highlight w:val="none"/>
        </w:rPr>
        <w:t>供 应 商：</w:t>
      </w:r>
      <w:r>
        <w:rPr>
          <w:kern w:val="0"/>
          <w:sz w:val="24"/>
          <w:highlight w:val="none"/>
          <w:u w:val="single"/>
        </w:rPr>
        <w:tab/>
      </w:r>
      <w:r>
        <w:rPr>
          <w:kern w:val="0"/>
          <w:sz w:val="24"/>
          <w:highlight w:val="none"/>
        </w:rPr>
        <w:t>（</w:t>
      </w:r>
      <w:r>
        <w:rPr>
          <w:spacing w:val="-1"/>
          <w:kern w:val="0"/>
          <w:sz w:val="24"/>
          <w:highlight w:val="none"/>
        </w:rPr>
        <w:t>盖</w:t>
      </w:r>
      <w:r>
        <w:rPr>
          <w:kern w:val="0"/>
          <w:sz w:val="24"/>
          <w:highlight w:val="none"/>
        </w:rPr>
        <w:t>单位法人章）</w:t>
      </w:r>
    </w:p>
    <w:p>
      <w:pPr>
        <w:tabs>
          <w:tab w:val="left" w:pos="6300"/>
        </w:tabs>
        <w:autoSpaceDE w:val="0"/>
        <w:autoSpaceDN w:val="0"/>
        <w:adjustRightInd w:val="0"/>
        <w:snapToGrid w:val="0"/>
        <w:spacing w:line="360" w:lineRule="auto"/>
        <w:ind w:firstLine="1680"/>
        <w:jc w:val="left"/>
        <w:rPr>
          <w:kern w:val="0"/>
          <w:sz w:val="24"/>
          <w:highlight w:val="none"/>
        </w:rPr>
      </w:pPr>
      <w:r>
        <w:rPr>
          <w:kern w:val="0"/>
          <w:sz w:val="24"/>
          <w:highlight w:val="none"/>
        </w:rPr>
        <w:t>法定代表人：</w:t>
      </w:r>
      <w:r>
        <w:rPr>
          <w:kern w:val="0"/>
          <w:sz w:val="24"/>
          <w:highlight w:val="none"/>
          <w:u w:val="single"/>
        </w:rPr>
        <w:tab/>
      </w:r>
      <w:r>
        <w:rPr>
          <w:kern w:val="0"/>
          <w:sz w:val="24"/>
          <w:highlight w:val="none"/>
          <w:u w:val="single"/>
        </w:rPr>
        <w:tab/>
      </w:r>
      <w:r>
        <w:rPr>
          <w:kern w:val="0"/>
          <w:sz w:val="24"/>
          <w:highlight w:val="none"/>
        </w:rPr>
        <w:t>（签字）</w:t>
      </w:r>
    </w:p>
    <w:p>
      <w:pPr>
        <w:tabs>
          <w:tab w:val="left" w:pos="5260"/>
        </w:tabs>
        <w:autoSpaceDE w:val="0"/>
        <w:autoSpaceDN w:val="0"/>
        <w:adjustRightInd w:val="0"/>
        <w:snapToGrid w:val="0"/>
        <w:spacing w:line="360" w:lineRule="auto"/>
        <w:ind w:firstLine="1680"/>
        <w:jc w:val="left"/>
        <w:rPr>
          <w:kern w:val="0"/>
          <w:sz w:val="24"/>
          <w:highlight w:val="none"/>
        </w:rPr>
      </w:pPr>
      <w:r>
        <w:rPr>
          <w:kern w:val="0"/>
          <w:sz w:val="24"/>
          <w:highlight w:val="none"/>
        </w:rPr>
        <w:t>身份证号码：</w:t>
      </w:r>
      <w:r>
        <w:rPr>
          <w:kern w:val="0"/>
          <w:sz w:val="24"/>
          <w:highlight w:val="none"/>
          <w:u w:val="single"/>
        </w:rPr>
        <w:tab/>
      </w:r>
    </w:p>
    <w:p>
      <w:pPr>
        <w:tabs>
          <w:tab w:val="left" w:pos="6720"/>
        </w:tabs>
        <w:autoSpaceDE w:val="0"/>
        <w:autoSpaceDN w:val="0"/>
        <w:adjustRightInd w:val="0"/>
        <w:snapToGrid w:val="0"/>
        <w:spacing w:line="360" w:lineRule="auto"/>
        <w:ind w:firstLine="1680"/>
        <w:jc w:val="left"/>
        <w:rPr>
          <w:kern w:val="0"/>
          <w:sz w:val="24"/>
          <w:highlight w:val="none"/>
        </w:rPr>
      </w:pPr>
      <w:r>
        <w:rPr>
          <w:kern w:val="0"/>
          <w:sz w:val="24"/>
          <w:highlight w:val="none"/>
        </w:rPr>
        <w:t>委托代理人：</w:t>
      </w:r>
      <w:r>
        <w:rPr>
          <w:kern w:val="0"/>
          <w:sz w:val="24"/>
          <w:highlight w:val="none"/>
          <w:u w:val="single"/>
        </w:rPr>
        <w:tab/>
      </w:r>
      <w:r>
        <w:rPr>
          <w:kern w:val="0"/>
          <w:sz w:val="24"/>
          <w:highlight w:val="none"/>
        </w:rPr>
        <w:t>（签</w:t>
      </w:r>
      <w:r>
        <w:rPr>
          <w:spacing w:val="-1"/>
          <w:kern w:val="0"/>
          <w:sz w:val="24"/>
          <w:highlight w:val="none"/>
        </w:rPr>
        <w:t>字</w:t>
      </w:r>
      <w:r>
        <w:rPr>
          <w:kern w:val="0"/>
          <w:sz w:val="24"/>
          <w:highlight w:val="none"/>
        </w:rPr>
        <w:t>）</w:t>
      </w:r>
    </w:p>
    <w:p>
      <w:pPr>
        <w:tabs>
          <w:tab w:val="left" w:pos="6825"/>
        </w:tabs>
        <w:autoSpaceDE w:val="0"/>
        <w:autoSpaceDN w:val="0"/>
        <w:adjustRightInd w:val="0"/>
        <w:snapToGrid w:val="0"/>
        <w:spacing w:line="360" w:lineRule="auto"/>
        <w:ind w:firstLine="1680"/>
        <w:jc w:val="left"/>
        <w:rPr>
          <w:kern w:val="0"/>
          <w:sz w:val="24"/>
          <w:highlight w:val="none"/>
          <w:u w:val="single"/>
        </w:rPr>
      </w:pPr>
      <w:r>
        <w:rPr>
          <w:kern w:val="0"/>
          <w:sz w:val="24"/>
          <w:highlight w:val="none"/>
        </w:rPr>
        <w:t>身份证号码：</w:t>
      </w:r>
      <w:r>
        <w:rPr>
          <w:kern w:val="0"/>
          <w:sz w:val="24"/>
          <w:highlight w:val="none"/>
          <w:u w:val="single"/>
        </w:rPr>
        <w:tab/>
      </w:r>
    </w:p>
    <w:p>
      <w:pPr>
        <w:tabs>
          <w:tab w:val="left" w:pos="6825"/>
        </w:tabs>
        <w:autoSpaceDE w:val="0"/>
        <w:autoSpaceDN w:val="0"/>
        <w:adjustRightInd w:val="0"/>
        <w:snapToGrid w:val="0"/>
        <w:spacing w:line="360" w:lineRule="auto"/>
        <w:ind w:firstLine="1680"/>
        <w:jc w:val="left"/>
        <w:rPr>
          <w:kern w:val="0"/>
          <w:sz w:val="24"/>
          <w:highlight w:val="none"/>
          <w:u w:val="single"/>
        </w:rPr>
      </w:pPr>
      <w:r>
        <w:rPr>
          <w:kern w:val="0"/>
          <w:sz w:val="24"/>
          <w:highlight w:val="none"/>
        </w:rPr>
        <w:t>联系电话：</w:t>
      </w:r>
      <w:r>
        <w:rPr>
          <w:kern w:val="0"/>
          <w:sz w:val="24"/>
          <w:highlight w:val="none"/>
          <w:u w:val="single"/>
        </w:rPr>
        <w:t xml:space="preserve">                  </w:t>
      </w:r>
      <w:r>
        <w:rPr>
          <w:kern w:val="0"/>
          <w:sz w:val="24"/>
          <w:highlight w:val="none"/>
        </w:rPr>
        <w:t>邮箱：</w:t>
      </w:r>
      <w:r>
        <w:rPr>
          <w:kern w:val="0"/>
          <w:sz w:val="24"/>
          <w:highlight w:val="none"/>
          <w:u w:val="single"/>
        </w:rPr>
        <w:t xml:space="preserve">            </w:t>
      </w:r>
    </w:p>
    <w:p>
      <w:pPr>
        <w:tabs>
          <w:tab w:val="left" w:pos="4005"/>
          <w:tab w:val="left" w:pos="4100"/>
          <w:tab w:val="left" w:pos="5040"/>
        </w:tabs>
        <w:autoSpaceDE w:val="0"/>
        <w:autoSpaceDN w:val="0"/>
        <w:adjustRightInd w:val="0"/>
        <w:snapToGrid w:val="0"/>
        <w:spacing w:line="360" w:lineRule="auto"/>
        <w:ind w:firstLine="2880" w:firstLineChars="1200"/>
        <w:jc w:val="left"/>
        <w:rPr>
          <w:kern w:val="0"/>
          <w:sz w:val="24"/>
          <w:highlight w:val="none"/>
        </w:rPr>
      </w:pPr>
      <w:r>
        <w:rPr>
          <w:kern w:val="0"/>
          <w:sz w:val="24"/>
          <w:highlight w:val="none"/>
          <w:u w:val="single"/>
        </w:rPr>
        <w:tab/>
      </w:r>
      <w:r>
        <w:rPr>
          <w:kern w:val="0"/>
          <w:sz w:val="24"/>
          <w:highlight w:val="none"/>
        </w:rPr>
        <w:t>年</w:t>
      </w:r>
      <w:r>
        <w:rPr>
          <w:kern w:val="0"/>
          <w:sz w:val="24"/>
          <w:highlight w:val="none"/>
          <w:u w:val="single"/>
        </w:rPr>
        <w:tab/>
      </w:r>
      <w:r>
        <w:rPr>
          <w:kern w:val="0"/>
          <w:sz w:val="24"/>
          <w:highlight w:val="none"/>
        </w:rPr>
        <w:t>月</w:t>
      </w:r>
      <w:r>
        <w:rPr>
          <w:kern w:val="0"/>
          <w:sz w:val="24"/>
          <w:highlight w:val="none"/>
          <w:u w:val="single"/>
        </w:rPr>
        <w:tab/>
      </w:r>
      <w:r>
        <w:rPr>
          <w:kern w:val="0"/>
          <w:sz w:val="24"/>
          <w:highlight w:val="none"/>
          <w:u w:val="single"/>
        </w:rPr>
        <w:t xml:space="preserve">    </w:t>
      </w:r>
      <w:r>
        <w:rPr>
          <w:kern w:val="0"/>
          <w:sz w:val="24"/>
          <w:highlight w:val="none"/>
        </w:rPr>
        <w:t>日</w:t>
      </w:r>
    </w:p>
    <w:p>
      <w:pPr>
        <w:rPr>
          <w:vanish/>
          <w:sz w:val="24"/>
          <w:highlight w:val="none"/>
        </w:rPr>
      </w:pPr>
    </w:p>
    <w:tbl>
      <w:tblPr>
        <w:tblStyle w:val="10"/>
        <w:tblpPr w:leftFromText="180" w:rightFromText="180" w:vertAnchor="text" w:horzAnchor="margin" w:tblpY="145"/>
        <w:tblW w:w="9351"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9351"/>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962" w:hRule="atLeast"/>
        </w:trPr>
        <w:tc>
          <w:tcPr>
            <w:tcW w:w="9351" w:type="dxa"/>
            <w:tcBorders>
              <w:top w:val="dotDotDash" w:color="auto" w:sz="4" w:space="0"/>
              <w:left w:val="dotDotDash" w:color="auto" w:sz="4" w:space="0"/>
              <w:bottom w:val="dotDotDash" w:color="auto" w:sz="4" w:space="0"/>
              <w:right w:val="dotDotDash" w:color="auto" w:sz="4" w:space="0"/>
            </w:tcBorders>
          </w:tcPr>
          <w:p>
            <w:pPr>
              <w:spacing w:line="520" w:lineRule="exact"/>
              <w:rPr>
                <w:b/>
                <w:sz w:val="24"/>
                <w:highlight w:val="none"/>
              </w:rPr>
            </w:pPr>
            <w:r>
              <w:rPr>
                <w:sz w:val="24"/>
                <w:highlight w:val="none"/>
              </w:rPr>
              <w:t>授权代理人身份证</w:t>
            </w:r>
            <w:r>
              <w:rPr>
                <w:b/>
                <w:sz w:val="24"/>
                <w:highlight w:val="none"/>
              </w:rPr>
              <w:t>彩色扫描件</w:t>
            </w:r>
          </w:p>
          <w:p>
            <w:pPr>
              <w:spacing w:line="520" w:lineRule="exact"/>
              <w:rPr>
                <w:b/>
                <w:sz w:val="24"/>
                <w:highlight w:val="none"/>
              </w:rPr>
            </w:pPr>
          </w:p>
          <w:p>
            <w:pPr>
              <w:spacing w:line="520" w:lineRule="exact"/>
              <w:jc w:val="center"/>
              <w:rPr>
                <w:b/>
                <w:sz w:val="24"/>
                <w:highlight w:val="none"/>
              </w:rPr>
            </w:pPr>
            <w:r>
              <w:rPr>
                <w:b/>
                <w:sz w:val="24"/>
                <w:highlight w:val="none"/>
              </w:rPr>
              <w:t>正反面</w:t>
            </w:r>
          </w:p>
          <w:p>
            <w:pPr>
              <w:spacing w:line="520" w:lineRule="exact"/>
              <w:rPr>
                <w:b/>
                <w:sz w:val="24"/>
                <w:highlight w:val="none"/>
              </w:rPr>
            </w:pPr>
          </w:p>
          <w:p>
            <w:pPr>
              <w:spacing w:line="520" w:lineRule="exact"/>
              <w:rPr>
                <w:b/>
                <w:sz w:val="24"/>
                <w:highlight w:val="none"/>
              </w:rPr>
            </w:pPr>
          </w:p>
        </w:tc>
      </w:tr>
    </w:tbl>
    <w:p>
      <w:pPr>
        <w:snapToGrid w:val="0"/>
        <w:spacing w:line="312" w:lineRule="auto"/>
        <w:ind w:firstLine="482" w:firstLineChars="200"/>
        <w:rPr>
          <w:b/>
          <w:kern w:val="0"/>
          <w:sz w:val="24"/>
          <w:highlight w:val="none"/>
        </w:rPr>
      </w:pPr>
    </w:p>
    <w:p>
      <w:pPr>
        <w:snapToGrid w:val="0"/>
        <w:spacing w:line="312" w:lineRule="auto"/>
        <w:ind w:firstLine="482" w:firstLineChars="200"/>
        <w:rPr>
          <w:kern w:val="0"/>
          <w:sz w:val="24"/>
          <w:highlight w:val="none"/>
        </w:rPr>
      </w:pPr>
      <w:r>
        <w:rPr>
          <w:b/>
          <w:kern w:val="0"/>
          <w:sz w:val="24"/>
          <w:highlight w:val="none"/>
        </w:rPr>
        <w:t>注：法定代表人签署文件的不需要授权委托书，删除本页，只需提供法定代表人身份证明。</w:t>
      </w:r>
    </w:p>
    <w:p>
      <w:pPr>
        <w:widowControl/>
        <w:jc w:val="left"/>
        <w:rPr>
          <w:b/>
          <w:sz w:val="24"/>
          <w:highlight w:val="none"/>
        </w:rPr>
      </w:pPr>
      <w:r>
        <w:rPr>
          <w:b/>
          <w:sz w:val="24"/>
          <w:highlight w:val="none"/>
        </w:rPr>
        <w:br w:type="page"/>
      </w:r>
    </w:p>
    <w:p>
      <w:pPr>
        <w:spacing w:line="360" w:lineRule="auto"/>
        <w:jc w:val="left"/>
        <w:rPr>
          <w:sz w:val="24"/>
          <w:highlight w:val="none"/>
        </w:rPr>
      </w:pPr>
      <w:r>
        <w:rPr>
          <w:rFonts w:hint="eastAsia"/>
          <w:sz w:val="24"/>
          <w:highlight w:val="none"/>
        </w:rPr>
        <w:t>附件3：</w:t>
      </w:r>
    </w:p>
    <w:p>
      <w:pPr>
        <w:spacing w:line="360" w:lineRule="auto"/>
        <w:jc w:val="center"/>
        <w:rPr>
          <w:b/>
          <w:sz w:val="24"/>
          <w:highlight w:val="none"/>
        </w:rPr>
      </w:pPr>
      <w:r>
        <w:rPr>
          <w:b/>
          <w:sz w:val="24"/>
          <w:highlight w:val="none"/>
        </w:rPr>
        <w:t>法定代表人身份证明</w:t>
      </w:r>
    </w:p>
    <w:p>
      <w:pPr>
        <w:spacing w:line="360" w:lineRule="auto"/>
        <w:jc w:val="center"/>
        <w:rPr>
          <w:sz w:val="24"/>
          <w:highlight w:val="none"/>
        </w:rPr>
      </w:pPr>
    </w:p>
    <w:p>
      <w:pPr>
        <w:tabs>
          <w:tab w:val="left" w:pos="5565"/>
        </w:tabs>
        <w:autoSpaceDE w:val="0"/>
        <w:autoSpaceDN w:val="0"/>
        <w:adjustRightInd w:val="0"/>
        <w:snapToGrid w:val="0"/>
        <w:spacing w:line="360" w:lineRule="auto"/>
        <w:ind w:firstLine="480" w:firstLineChars="200"/>
        <w:jc w:val="left"/>
        <w:rPr>
          <w:kern w:val="0"/>
          <w:sz w:val="24"/>
          <w:highlight w:val="none"/>
        </w:rPr>
      </w:pPr>
      <w:r>
        <w:rPr>
          <w:kern w:val="0"/>
          <w:sz w:val="24"/>
          <w:highlight w:val="none"/>
        </w:rPr>
        <w:t>供应商名称：</w:t>
      </w:r>
      <w:r>
        <w:rPr>
          <w:kern w:val="0"/>
          <w:sz w:val="24"/>
          <w:highlight w:val="none"/>
          <w:u w:val="single"/>
        </w:rPr>
        <w:tab/>
      </w:r>
    </w:p>
    <w:p>
      <w:pPr>
        <w:tabs>
          <w:tab w:val="left" w:pos="5475"/>
        </w:tabs>
        <w:autoSpaceDE w:val="0"/>
        <w:autoSpaceDN w:val="0"/>
        <w:adjustRightInd w:val="0"/>
        <w:snapToGrid w:val="0"/>
        <w:spacing w:line="360" w:lineRule="auto"/>
        <w:ind w:firstLine="480" w:firstLineChars="200"/>
        <w:jc w:val="left"/>
        <w:rPr>
          <w:kern w:val="0"/>
          <w:sz w:val="24"/>
          <w:highlight w:val="none"/>
        </w:rPr>
      </w:pPr>
      <w:r>
        <w:rPr>
          <w:kern w:val="0"/>
          <w:sz w:val="24"/>
          <w:highlight w:val="none"/>
        </w:rPr>
        <w:t>单位性质：</w:t>
      </w:r>
      <w:r>
        <w:rPr>
          <w:kern w:val="0"/>
          <w:sz w:val="24"/>
          <w:highlight w:val="none"/>
          <w:u w:val="single"/>
        </w:rPr>
        <w:tab/>
      </w:r>
    </w:p>
    <w:p>
      <w:pPr>
        <w:tabs>
          <w:tab w:val="left" w:pos="5475"/>
        </w:tabs>
        <w:autoSpaceDE w:val="0"/>
        <w:autoSpaceDN w:val="0"/>
        <w:adjustRightInd w:val="0"/>
        <w:snapToGrid w:val="0"/>
        <w:spacing w:line="360" w:lineRule="auto"/>
        <w:ind w:firstLine="480" w:firstLineChars="200"/>
        <w:jc w:val="left"/>
        <w:rPr>
          <w:kern w:val="0"/>
          <w:sz w:val="24"/>
          <w:highlight w:val="none"/>
        </w:rPr>
      </w:pPr>
      <w:r>
        <w:rPr>
          <w:kern w:val="0"/>
          <w:sz w:val="24"/>
          <w:highlight w:val="none"/>
        </w:rPr>
        <w:t>地址：</w:t>
      </w:r>
      <w:r>
        <w:rPr>
          <w:kern w:val="0"/>
          <w:sz w:val="24"/>
          <w:highlight w:val="none"/>
          <w:u w:val="single"/>
        </w:rPr>
        <w:tab/>
      </w:r>
    </w:p>
    <w:p>
      <w:pPr>
        <w:tabs>
          <w:tab w:val="left" w:pos="2520"/>
          <w:tab w:val="left" w:pos="3836"/>
        </w:tabs>
        <w:autoSpaceDE w:val="0"/>
        <w:autoSpaceDN w:val="0"/>
        <w:adjustRightInd w:val="0"/>
        <w:snapToGrid w:val="0"/>
        <w:spacing w:line="360" w:lineRule="auto"/>
        <w:ind w:firstLine="480" w:firstLineChars="200"/>
        <w:jc w:val="left"/>
        <w:rPr>
          <w:kern w:val="0"/>
          <w:sz w:val="24"/>
          <w:highlight w:val="none"/>
        </w:rPr>
      </w:pPr>
      <w:r>
        <w:rPr>
          <w:kern w:val="0"/>
          <w:sz w:val="24"/>
          <w:highlight w:val="none"/>
        </w:rPr>
        <w:t>成立时间：</w:t>
      </w:r>
      <w:r>
        <w:rPr>
          <w:kern w:val="0"/>
          <w:sz w:val="24"/>
          <w:highlight w:val="none"/>
          <w:u w:val="single"/>
        </w:rPr>
        <w:tab/>
      </w:r>
      <w:r>
        <w:rPr>
          <w:spacing w:val="-1"/>
          <w:kern w:val="0"/>
          <w:sz w:val="24"/>
          <w:highlight w:val="none"/>
        </w:rPr>
        <w:t>年</w:t>
      </w:r>
      <w:r>
        <w:rPr>
          <w:kern w:val="0"/>
          <w:sz w:val="24"/>
          <w:highlight w:val="none"/>
          <w:u w:val="single"/>
        </w:rPr>
        <w:tab/>
      </w:r>
      <w:r>
        <w:rPr>
          <w:spacing w:val="-1"/>
          <w:kern w:val="0"/>
          <w:sz w:val="24"/>
          <w:highlight w:val="none"/>
        </w:rPr>
        <w:t>月</w:t>
      </w:r>
      <w:r>
        <w:rPr>
          <w:spacing w:val="-1"/>
          <w:kern w:val="0"/>
          <w:sz w:val="24"/>
          <w:highlight w:val="none"/>
          <w:u w:val="single"/>
        </w:rPr>
        <w:t xml:space="preserve">   </w:t>
      </w:r>
      <w:r>
        <w:rPr>
          <w:kern w:val="0"/>
          <w:sz w:val="24"/>
          <w:highlight w:val="none"/>
        </w:rPr>
        <w:t>日</w:t>
      </w:r>
    </w:p>
    <w:p>
      <w:pPr>
        <w:tabs>
          <w:tab w:val="left" w:pos="5475"/>
        </w:tabs>
        <w:autoSpaceDE w:val="0"/>
        <w:autoSpaceDN w:val="0"/>
        <w:adjustRightInd w:val="0"/>
        <w:snapToGrid w:val="0"/>
        <w:spacing w:line="360" w:lineRule="auto"/>
        <w:ind w:firstLine="480" w:firstLineChars="200"/>
        <w:jc w:val="left"/>
        <w:rPr>
          <w:kern w:val="0"/>
          <w:sz w:val="24"/>
          <w:highlight w:val="none"/>
        </w:rPr>
      </w:pPr>
      <w:r>
        <w:rPr>
          <w:kern w:val="0"/>
          <w:sz w:val="24"/>
          <w:highlight w:val="none"/>
        </w:rPr>
        <w:t>经营期限：</w:t>
      </w:r>
      <w:r>
        <w:rPr>
          <w:kern w:val="0"/>
          <w:sz w:val="24"/>
          <w:highlight w:val="none"/>
          <w:u w:val="single"/>
        </w:rPr>
        <w:tab/>
      </w:r>
    </w:p>
    <w:p>
      <w:pPr>
        <w:tabs>
          <w:tab w:val="left" w:pos="1580"/>
          <w:tab w:val="left" w:pos="3260"/>
          <w:tab w:val="left" w:pos="4840"/>
          <w:tab w:val="left" w:pos="6300"/>
        </w:tabs>
        <w:autoSpaceDE w:val="0"/>
        <w:autoSpaceDN w:val="0"/>
        <w:adjustRightInd w:val="0"/>
        <w:snapToGrid w:val="0"/>
        <w:spacing w:line="360" w:lineRule="auto"/>
        <w:ind w:firstLine="480" w:firstLineChars="200"/>
        <w:jc w:val="left"/>
        <w:rPr>
          <w:kern w:val="0"/>
          <w:sz w:val="24"/>
          <w:highlight w:val="none"/>
        </w:rPr>
      </w:pPr>
      <w:r>
        <w:rPr>
          <w:kern w:val="0"/>
          <w:sz w:val="24"/>
          <w:highlight w:val="none"/>
        </w:rPr>
        <w:t>姓名：</w:t>
      </w:r>
      <w:r>
        <w:rPr>
          <w:kern w:val="0"/>
          <w:sz w:val="24"/>
          <w:highlight w:val="none"/>
          <w:u w:val="single"/>
        </w:rPr>
        <w:tab/>
      </w:r>
      <w:r>
        <w:rPr>
          <w:kern w:val="0"/>
          <w:sz w:val="24"/>
          <w:highlight w:val="none"/>
        </w:rPr>
        <w:t>性别</w:t>
      </w:r>
      <w:r>
        <w:rPr>
          <w:spacing w:val="-1"/>
          <w:kern w:val="0"/>
          <w:sz w:val="24"/>
          <w:highlight w:val="none"/>
        </w:rPr>
        <w:t>：</w:t>
      </w:r>
      <w:r>
        <w:rPr>
          <w:kern w:val="0"/>
          <w:sz w:val="24"/>
          <w:highlight w:val="none"/>
          <w:u w:val="single"/>
        </w:rPr>
        <w:tab/>
      </w:r>
      <w:r>
        <w:rPr>
          <w:spacing w:val="-1"/>
          <w:kern w:val="0"/>
          <w:sz w:val="24"/>
          <w:highlight w:val="none"/>
        </w:rPr>
        <w:t>年</w:t>
      </w:r>
      <w:r>
        <w:rPr>
          <w:kern w:val="0"/>
          <w:sz w:val="24"/>
          <w:highlight w:val="none"/>
        </w:rPr>
        <w:t>龄：</w:t>
      </w:r>
      <w:r>
        <w:rPr>
          <w:kern w:val="0"/>
          <w:sz w:val="24"/>
          <w:highlight w:val="none"/>
          <w:u w:val="single"/>
        </w:rPr>
        <w:tab/>
      </w:r>
      <w:r>
        <w:rPr>
          <w:kern w:val="0"/>
          <w:sz w:val="24"/>
          <w:highlight w:val="none"/>
        </w:rPr>
        <w:t>职务：</w:t>
      </w:r>
      <w:r>
        <w:rPr>
          <w:kern w:val="0"/>
          <w:sz w:val="24"/>
          <w:highlight w:val="none"/>
          <w:u w:val="single"/>
        </w:rPr>
        <w:tab/>
      </w:r>
    </w:p>
    <w:p>
      <w:pPr>
        <w:tabs>
          <w:tab w:val="left" w:pos="3360"/>
        </w:tabs>
        <w:autoSpaceDE w:val="0"/>
        <w:autoSpaceDN w:val="0"/>
        <w:adjustRightInd w:val="0"/>
        <w:snapToGrid w:val="0"/>
        <w:spacing w:line="360" w:lineRule="auto"/>
        <w:ind w:firstLine="480" w:firstLineChars="200"/>
        <w:jc w:val="left"/>
        <w:rPr>
          <w:kern w:val="0"/>
          <w:sz w:val="24"/>
          <w:highlight w:val="none"/>
        </w:rPr>
      </w:pPr>
      <w:r>
        <w:rPr>
          <w:kern w:val="0"/>
          <w:sz w:val="24"/>
          <w:highlight w:val="none"/>
        </w:rPr>
        <w:t>系</w:t>
      </w:r>
      <w:r>
        <w:rPr>
          <w:kern w:val="0"/>
          <w:sz w:val="24"/>
          <w:highlight w:val="none"/>
          <w:u w:val="single"/>
        </w:rPr>
        <w:tab/>
      </w:r>
      <w:r>
        <w:rPr>
          <w:kern w:val="0"/>
          <w:sz w:val="24"/>
          <w:highlight w:val="none"/>
        </w:rPr>
        <w:t>（供应商名称）的法定代表人。</w:t>
      </w:r>
    </w:p>
    <w:p>
      <w:pPr>
        <w:tabs>
          <w:tab w:val="left" w:pos="3360"/>
        </w:tabs>
        <w:autoSpaceDE w:val="0"/>
        <w:autoSpaceDN w:val="0"/>
        <w:adjustRightInd w:val="0"/>
        <w:snapToGrid w:val="0"/>
        <w:spacing w:line="360" w:lineRule="auto"/>
        <w:ind w:firstLine="480" w:firstLineChars="200"/>
        <w:jc w:val="left"/>
        <w:rPr>
          <w:kern w:val="0"/>
          <w:sz w:val="24"/>
          <w:highlight w:val="none"/>
          <w:u w:val="single"/>
        </w:rPr>
      </w:pPr>
      <w:r>
        <w:rPr>
          <w:kern w:val="0"/>
          <w:sz w:val="24"/>
          <w:highlight w:val="none"/>
        </w:rPr>
        <w:t>联系电话：</w:t>
      </w:r>
      <w:r>
        <w:rPr>
          <w:kern w:val="0"/>
          <w:sz w:val="24"/>
          <w:highlight w:val="none"/>
          <w:u w:val="single"/>
        </w:rPr>
        <w:t xml:space="preserve">              </w:t>
      </w:r>
      <w:r>
        <w:rPr>
          <w:kern w:val="0"/>
          <w:sz w:val="24"/>
          <w:highlight w:val="none"/>
        </w:rPr>
        <w:t>。</w:t>
      </w:r>
    </w:p>
    <w:p>
      <w:pPr>
        <w:autoSpaceDE w:val="0"/>
        <w:autoSpaceDN w:val="0"/>
        <w:adjustRightInd w:val="0"/>
        <w:snapToGrid w:val="0"/>
        <w:spacing w:line="360" w:lineRule="auto"/>
        <w:ind w:firstLine="480" w:firstLineChars="200"/>
        <w:jc w:val="left"/>
        <w:rPr>
          <w:kern w:val="0"/>
          <w:sz w:val="24"/>
          <w:highlight w:val="none"/>
        </w:rPr>
      </w:pPr>
      <w:r>
        <w:rPr>
          <w:kern w:val="0"/>
          <w:sz w:val="24"/>
          <w:highlight w:val="none"/>
        </w:rPr>
        <w:t>特此证明。</w:t>
      </w:r>
    </w:p>
    <w:p>
      <w:pPr>
        <w:autoSpaceDE w:val="0"/>
        <w:autoSpaceDN w:val="0"/>
        <w:adjustRightInd w:val="0"/>
        <w:snapToGrid w:val="0"/>
        <w:spacing w:line="360" w:lineRule="auto"/>
        <w:ind w:firstLine="480" w:firstLineChars="200"/>
        <w:jc w:val="left"/>
        <w:rPr>
          <w:kern w:val="0"/>
          <w:sz w:val="24"/>
          <w:highlight w:val="none"/>
        </w:rPr>
      </w:pPr>
    </w:p>
    <w:tbl>
      <w:tblPr>
        <w:tblStyle w:val="10"/>
        <w:tblpPr w:leftFromText="180" w:rightFromText="180" w:vertAnchor="text" w:horzAnchor="margin" w:tblpY="264"/>
        <w:tblW w:w="9351"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9351"/>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108" w:hRule="atLeast"/>
        </w:trPr>
        <w:tc>
          <w:tcPr>
            <w:tcW w:w="9351" w:type="dxa"/>
            <w:tcBorders>
              <w:top w:val="dotDotDash" w:color="auto" w:sz="4" w:space="0"/>
              <w:left w:val="dotDotDash" w:color="auto" w:sz="4" w:space="0"/>
              <w:bottom w:val="dotDotDash" w:color="auto" w:sz="4" w:space="0"/>
              <w:right w:val="dotDotDash" w:color="auto" w:sz="4" w:space="0"/>
            </w:tcBorders>
          </w:tcPr>
          <w:p>
            <w:pPr>
              <w:spacing w:line="520" w:lineRule="exact"/>
              <w:ind w:firstLine="240" w:firstLineChars="100"/>
              <w:rPr>
                <w:b/>
                <w:sz w:val="24"/>
                <w:highlight w:val="none"/>
              </w:rPr>
            </w:pPr>
            <w:r>
              <w:rPr>
                <w:sz w:val="24"/>
                <w:highlight w:val="none"/>
              </w:rPr>
              <w:t>法定代表人身份证</w:t>
            </w:r>
            <w:r>
              <w:rPr>
                <w:b/>
                <w:sz w:val="24"/>
                <w:highlight w:val="none"/>
              </w:rPr>
              <w:t>彩色扫描件</w:t>
            </w:r>
          </w:p>
          <w:p>
            <w:pPr>
              <w:spacing w:line="520" w:lineRule="exact"/>
              <w:rPr>
                <w:b/>
                <w:sz w:val="24"/>
                <w:highlight w:val="none"/>
              </w:rPr>
            </w:pPr>
          </w:p>
          <w:p>
            <w:pPr>
              <w:spacing w:line="520" w:lineRule="exact"/>
              <w:jc w:val="center"/>
              <w:rPr>
                <w:b/>
                <w:sz w:val="24"/>
                <w:highlight w:val="none"/>
              </w:rPr>
            </w:pPr>
            <w:r>
              <w:rPr>
                <w:b/>
                <w:sz w:val="24"/>
                <w:highlight w:val="none"/>
              </w:rPr>
              <w:t>（正反面）</w:t>
            </w:r>
          </w:p>
          <w:p>
            <w:pPr>
              <w:spacing w:line="520" w:lineRule="exact"/>
              <w:rPr>
                <w:b/>
                <w:sz w:val="24"/>
                <w:highlight w:val="none"/>
              </w:rPr>
            </w:pPr>
          </w:p>
          <w:p>
            <w:pPr>
              <w:spacing w:line="520" w:lineRule="exact"/>
              <w:rPr>
                <w:b/>
                <w:sz w:val="24"/>
                <w:highlight w:val="none"/>
              </w:rPr>
            </w:pPr>
          </w:p>
        </w:tc>
      </w:tr>
    </w:tbl>
    <w:p>
      <w:pPr>
        <w:autoSpaceDE w:val="0"/>
        <w:autoSpaceDN w:val="0"/>
        <w:adjustRightInd w:val="0"/>
        <w:snapToGrid w:val="0"/>
        <w:spacing w:line="360" w:lineRule="auto"/>
        <w:jc w:val="left"/>
        <w:rPr>
          <w:kern w:val="0"/>
          <w:sz w:val="24"/>
          <w:highlight w:val="none"/>
        </w:rPr>
      </w:pPr>
    </w:p>
    <w:p>
      <w:pPr>
        <w:tabs>
          <w:tab w:val="left" w:pos="5460"/>
        </w:tabs>
        <w:autoSpaceDE w:val="0"/>
        <w:autoSpaceDN w:val="0"/>
        <w:adjustRightInd w:val="0"/>
        <w:snapToGrid w:val="0"/>
        <w:spacing w:line="360" w:lineRule="auto"/>
        <w:ind w:firstLine="2100"/>
        <w:jc w:val="left"/>
        <w:rPr>
          <w:kern w:val="0"/>
          <w:sz w:val="24"/>
          <w:highlight w:val="none"/>
        </w:rPr>
      </w:pPr>
    </w:p>
    <w:p>
      <w:pPr>
        <w:tabs>
          <w:tab w:val="left" w:pos="5460"/>
        </w:tabs>
        <w:autoSpaceDE w:val="0"/>
        <w:autoSpaceDN w:val="0"/>
        <w:adjustRightInd w:val="0"/>
        <w:snapToGrid w:val="0"/>
        <w:spacing w:line="360" w:lineRule="auto"/>
        <w:ind w:firstLine="2100"/>
        <w:jc w:val="left"/>
        <w:rPr>
          <w:kern w:val="0"/>
          <w:sz w:val="24"/>
          <w:highlight w:val="none"/>
        </w:rPr>
      </w:pPr>
    </w:p>
    <w:p>
      <w:pPr>
        <w:tabs>
          <w:tab w:val="left" w:pos="5460"/>
        </w:tabs>
        <w:autoSpaceDE w:val="0"/>
        <w:autoSpaceDN w:val="0"/>
        <w:adjustRightInd w:val="0"/>
        <w:snapToGrid w:val="0"/>
        <w:spacing w:line="360" w:lineRule="auto"/>
        <w:ind w:firstLine="2100"/>
        <w:jc w:val="left"/>
        <w:rPr>
          <w:kern w:val="0"/>
          <w:sz w:val="24"/>
          <w:highlight w:val="none"/>
        </w:rPr>
      </w:pPr>
    </w:p>
    <w:p>
      <w:pPr>
        <w:tabs>
          <w:tab w:val="left" w:pos="6300"/>
        </w:tabs>
        <w:snapToGrid w:val="0"/>
        <w:spacing w:line="360" w:lineRule="auto"/>
        <w:ind w:firstLine="3828" w:firstLineChars="1595"/>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供应商（盖单位法人章）： </w:t>
      </w:r>
    </w:p>
    <w:p>
      <w:pPr>
        <w:tabs>
          <w:tab w:val="left" w:pos="6300"/>
        </w:tabs>
        <w:snapToGrid w:val="0"/>
        <w:spacing w:line="360" w:lineRule="auto"/>
        <w:ind w:firstLine="3828" w:firstLineChars="1595"/>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法定代表人（签字）：</w:t>
      </w:r>
    </w:p>
    <w:p>
      <w:pPr>
        <w:wordWrap w:val="0"/>
        <w:autoSpaceDE w:val="0"/>
        <w:autoSpaceDN w:val="0"/>
        <w:adjustRightInd w:val="0"/>
        <w:snapToGrid w:val="0"/>
        <w:spacing w:line="360" w:lineRule="auto"/>
        <w:ind w:firstLine="3780"/>
        <w:jc w:val="right"/>
        <w:rPr>
          <w:kern w:val="0"/>
          <w:sz w:val="24"/>
          <w:highlight w:val="none"/>
        </w:rPr>
      </w:pPr>
      <w:r>
        <w:rPr>
          <w:kern w:val="0"/>
          <w:sz w:val="24"/>
          <w:highlight w:val="none"/>
          <w:u w:val="single"/>
        </w:rPr>
        <w:tab/>
      </w:r>
      <w:r>
        <w:rPr>
          <w:kern w:val="0"/>
          <w:sz w:val="24"/>
          <w:highlight w:val="none"/>
          <w:u w:val="single"/>
        </w:rPr>
        <w:t xml:space="preserve">  </w:t>
      </w:r>
      <w:r>
        <w:rPr>
          <w:spacing w:val="-1"/>
          <w:kern w:val="0"/>
          <w:sz w:val="24"/>
          <w:highlight w:val="none"/>
        </w:rPr>
        <w:t>年</w:t>
      </w:r>
      <w:r>
        <w:rPr>
          <w:b/>
          <w:w w:val="99"/>
          <w:kern w:val="0"/>
          <w:sz w:val="24"/>
          <w:highlight w:val="none"/>
          <w:u w:val="single"/>
        </w:rPr>
        <w:t xml:space="preserve">　 </w:t>
      </w:r>
      <w:r>
        <w:rPr>
          <w:kern w:val="0"/>
          <w:sz w:val="24"/>
          <w:highlight w:val="none"/>
        </w:rPr>
        <w:t>月</w:t>
      </w:r>
      <w:r>
        <w:rPr>
          <w:b/>
          <w:w w:val="99"/>
          <w:kern w:val="0"/>
          <w:sz w:val="24"/>
          <w:highlight w:val="none"/>
          <w:u w:val="single"/>
        </w:rPr>
        <w:t xml:space="preserve">　 </w:t>
      </w:r>
      <w:r>
        <w:rPr>
          <w:kern w:val="0"/>
          <w:sz w:val="24"/>
          <w:highlight w:val="none"/>
        </w:rPr>
        <w:t xml:space="preserve">日            </w:t>
      </w:r>
    </w:p>
    <w:p>
      <w:pPr>
        <w:snapToGrid w:val="0"/>
        <w:spacing w:line="312" w:lineRule="auto"/>
        <w:ind w:firstLine="480" w:firstLineChars="200"/>
        <w:rPr>
          <w:kern w:val="0"/>
          <w:sz w:val="24"/>
          <w:highlight w:val="none"/>
        </w:rPr>
      </w:pPr>
    </w:p>
    <w:p>
      <w:pPr>
        <w:widowControl/>
        <w:jc w:val="left"/>
        <w:rPr>
          <w:bCs/>
          <w:sz w:val="24"/>
          <w:highlight w:val="none"/>
        </w:rPr>
      </w:pPr>
      <w:r>
        <w:rPr>
          <w:bCs/>
          <w:sz w:val="24"/>
          <w:highlight w:val="none"/>
        </w:rPr>
        <w:br w:type="page"/>
      </w:r>
    </w:p>
    <w:p>
      <w:pPr>
        <w:spacing w:line="360" w:lineRule="auto"/>
        <w:jc w:val="left"/>
        <w:rPr>
          <w:bCs/>
          <w:sz w:val="24"/>
          <w:highlight w:val="none"/>
        </w:rPr>
      </w:pPr>
      <w:r>
        <w:rPr>
          <w:rFonts w:hint="eastAsia"/>
          <w:bCs/>
          <w:sz w:val="24"/>
          <w:highlight w:val="none"/>
        </w:rPr>
        <w:t>附件4：</w:t>
      </w:r>
    </w:p>
    <w:p>
      <w:pPr>
        <w:spacing w:line="360" w:lineRule="auto"/>
        <w:jc w:val="center"/>
        <w:rPr>
          <w:b/>
          <w:sz w:val="24"/>
          <w:highlight w:val="none"/>
        </w:rPr>
      </w:pPr>
      <w:r>
        <w:rPr>
          <w:b/>
          <w:sz w:val="24"/>
          <w:highlight w:val="none"/>
        </w:rPr>
        <w:t>供应商（</w:t>
      </w:r>
      <w:r>
        <w:rPr>
          <w:rFonts w:hint="eastAsia"/>
          <w:b/>
          <w:sz w:val="24"/>
          <w:highlight w:val="none"/>
        </w:rPr>
        <w:t>竞标人</w:t>
      </w:r>
      <w:r>
        <w:rPr>
          <w:b/>
          <w:sz w:val="24"/>
          <w:highlight w:val="none"/>
        </w:rPr>
        <w:t>）基本情况表</w:t>
      </w:r>
    </w:p>
    <w:tbl>
      <w:tblPr>
        <w:tblStyle w:val="10"/>
        <w:tblW w:w="9359" w:type="dxa"/>
        <w:tblInd w:w="-8" w:type="dxa"/>
        <w:tblLayout w:type="fixed"/>
        <w:tblCellMar>
          <w:top w:w="0" w:type="dxa"/>
          <w:left w:w="0" w:type="dxa"/>
          <w:bottom w:w="0" w:type="dxa"/>
          <w:right w:w="0" w:type="dxa"/>
        </w:tblCellMar>
      </w:tblPr>
      <w:tblGrid>
        <w:gridCol w:w="1704"/>
        <w:gridCol w:w="851"/>
        <w:gridCol w:w="1417"/>
        <w:gridCol w:w="993"/>
        <w:gridCol w:w="283"/>
        <w:gridCol w:w="978"/>
        <w:gridCol w:w="308"/>
        <w:gridCol w:w="850"/>
        <w:gridCol w:w="1975"/>
      </w:tblGrid>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rFonts w:hint="eastAsia"/>
                <w:sz w:val="24"/>
                <w:highlight w:val="none"/>
              </w:rPr>
              <w:t>竞标人</w:t>
            </w:r>
            <w:r>
              <w:rPr>
                <w:sz w:val="24"/>
                <w:highlight w:val="none"/>
              </w:rPr>
              <w:t>名称</w:t>
            </w:r>
          </w:p>
        </w:tc>
        <w:tc>
          <w:tcPr>
            <w:tcW w:w="7655"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注册地址</w:t>
            </w:r>
          </w:p>
        </w:tc>
        <w:tc>
          <w:tcPr>
            <w:tcW w:w="3544"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c>
          <w:tcPr>
            <w:tcW w:w="9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邮政编码</w:t>
            </w:r>
          </w:p>
        </w:tc>
        <w:tc>
          <w:tcPr>
            <w:tcW w:w="313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联系方式</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联系人</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c>
          <w:tcPr>
            <w:tcW w:w="9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电话</w:t>
            </w:r>
          </w:p>
        </w:tc>
        <w:tc>
          <w:tcPr>
            <w:tcW w:w="313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highlight w:val="none"/>
              </w:rPr>
            </w:pPr>
          </w:p>
        </w:tc>
        <w:tc>
          <w:tcPr>
            <w:tcW w:w="851" w:type="dxa"/>
            <w:tcBorders>
              <w:top w:val="single" w:color="000000" w:sz="4" w:space="0"/>
              <w:left w:val="single" w:color="000000" w:sz="4" w:space="0"/>
              <w:bottom w:val="single" w:color="000000" w:sz="4" w:space="0"/>
              <w:right w:val="single" w:color="000000" w:sz="4" w:space="0"/>
            </w:tcBorders>
            <w:vAlign w:val="center"/>
          </w:tcPr>
          <w:p>
            <w:pPr>
              <w:tabs>
                <w:tab w:val="left" w:pos="540"/>
              </w:tabs>
              <w:autoSpaceDE w:val="0"/>
              <w:autoSpaceDN w:val="0"/>
              <w:adjustRightInd w:val="0"/>
              <w:snapToGrid w:val="0"/>
              <w:spacing w:line="400" w:lineRule="exact"/>
              <w:jc w:val="center"/>
              <w:rPr>
                <w:sz w:val="24"/>
                <w:highlight w:val="none"/>
              </w:rPr>
            </w:pPr>
            <w:r>
              <w:rPr>
                <w:sz w:val="24"/>
                <w:highlight w:val="none"/>
              </w:rPr>
              <w:t>传 真</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c>
          <w:tcPr>
            <w:tcW w:w="9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网址</w:t>
            </w:r>
          </w:p>
        </w:tc>
        <w:tc>
          <w:tcPr>
            <w:tcW w:w="313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法定代表人</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姓名</w:t>
            </w: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技术职称</w:t>
            </w:r>
          </w:p>
        </w:tc>
        <w:tc>
          <w:tcPr>
            <w:tcW w:w="1569"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电话</w:t>
            </w:r>
          </w:p>
        </w:tc>
        <w:tc>
          <w:tcPr>
            <w:tcW w:w="197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技术负责人</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姓名</w:t>
            </w: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技术职称</w:t>
            </w:r>
          </w:p>
        </w:tc>
        <w:tc>
          <w:tcPr>
            <w:tcW w:w="1569"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电话</w:t>
            </w:r>
          </w:p>
        </w:tc>
        <w:tc>
          <w:tcPr>
            <w:tcW w:w="197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成立时间</w:t>
            </w:r>
          </w:p>
        </w:tc>
        <w:tc>
          <w:tcPr>
            <w:tcW w:w="2268" w:type="dxa"/>
            <w:gridSpan w:val="2"/>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spacing w:line="400" w:lineRule="exact"/>
              <w:rPr>
                <w:sz w:val="24"/>
                <w:highlight w:val="none"/>
              </w:rPr>
            </w:pPr>
          </w:p>
        </w:tc>
        <w:tc>
          <w:tcPr>
            <w:tcW w:w="5387" w:type="dxa"/>
            <w:gridSpan w:val="6"/>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spacing w:line="400" w:lineRule="exact"/>
              <w:ind w:left="126" w:leftChars="60"/>
              <w:rPr>
                <w:sz w:val="24"/>
                <w:highlight w:val="none"/>
              </w:rPr>
            </w:pPr>
            <w:r>
              <w:rPr>
                <w:sz w:val="24"/>
                <w:highlight w:val="none"/>
              </w:rPr>
              <w:t>员工总人数：</w:t>
            </w: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napToGrid w:val="0"/>
              <w:spacing w:line="400" w:lineRule="exact"/>
              <w:jc w:val="center"/>
              <w:rPr>
                <w:sz w:val="24"/>
                <w:highlight w:val="none"/>
              </w:rPr>
            </w:pPr>
            <w:r>
              <w:rPr>
                <w:sz w:val="24"/>
                <w:highlight w:val="none"/>
              </w:rPr>
              <w:t>企业资质等级</w:t>
            </w:r>
          </w:p>
          <w:p>
            <w:pPr>
              <w:autoSpaceDE w:val="0"/>
              <w:autoSpaceDN w:val="0"/>
              <w:adjustRightInd w:val="0"/>
              <w:snapToGrid w:val="0"/>
              <w:spacing w:line="400" w:lineRule="exact"/>
              <w:jc w:val="center"/>
              <w:rPr>
                <w:sz w:val="24"/>
                <w:highlight w:val="none"/>
              </w:rPr>
            </w:pPr>
            <w:r>
              <w:rPr>
                <w:sz w:val="24"/>
                <w:highlight w:val="none"/>
              </w:rPr>
              <w:t>（如有）</w:t>
            </w:r>
          </w:p>
        </w:tc>
        <w:tc>
          <w:tcPr>
            <w:tcW w:w="7655"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napToGrid w:val="0"/>
              <w:spacing w:line="400" w:lineRule="exact"/>
              <w:jc w:val="center"/>
              <w:rPr>
                <w:sz w:val="24"/>
                <w:highlight w:val="none"/>
              </w:rPr>
            </w:pPr>
            <w:r>
              <w:rPr>
                <w:sz w:val="24"/>
                <w:highlight w:val="none"/>
              </w:rPr>
              <w:t>获得的许可证名称（如有）</w:t>
            </w:r>
          </w:p>
        </w:tc>
        <w:tc>
          <w:tcPr>
            <w:tcW w:w="7655"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napToGrid w:val="0"/>
              <w:spacing w:line="400" w:lineRule="exact"/>
              <w:jc w:val="center"/>
              <w:rPr>
                <w:sz w:val="24"/>
                <w:highlight w:val="none"/>
              </w:rPr>
            </w:pPr>
            <w:r>
              <w:rPr>
                <w:sz w:val="24"/>
                <w:highlight w:val="none"/>
              </w:rPr>
              <w:t>统一社会信用代码</w:t>
            </w:r>
          </w:p>
        </w:tc>
        <w:tc>
          <w:tcPr>
            <w:tcW w:w="7655"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napToGrid w:val="0"/>
              <w:spacing w:line="400" w:lineRule="exact"/>
              <w:jc w:val="center"/>
              <w:rPr>
                <w:sz w:val="24"/>
                <w:highlight w:val="none"/>
              </w:rPr>
            </w:pPr>
            <w:r>
              <w:rPr>
                <w:sz w:val="24"/>
                <w:highlight w:val="none"/>
              </w:rPr>
              <w:t>注册资金</w:t>
            </w:r>
          </w:p>
        </w:tc>
        <w:tc>
          <w:tcPr>
            <w:tcW w:w="7655"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napToGrid w:val="0"/>
              <w:spacing w:line="400" w:lineRule="exact"/>
              <w:jc w:val="center"/>
              <w:rPr>
                <w:sz w:val="24"/>
                <w:highlight w:val="none"/>
              </w:rPr>
            </w:pPr>
            <w:r>
              <w:rPr>
                <w:sz w:val="24"/>
                <w:highlight w:val="none"/>
              </w:rPr>
              <w:t>开户银行</w:t>
            </w:r>
          </w:p>
        </w:tc>
        <w:tc>
          <w:tcPr>
            <w:tcW w:w="7655"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napToGrid w:val="0"/>
              <w:spacing w:line="400" w:lineRule="exact"/>
              <w:jc w:val="center"/>
              <w:rPr>
                <w:sz w:val="24"/>
                <w:highlight w:val="none"/>
              </w:rPr>
            </w:pPr>
            <w:r>
              <w:rPr>
                <w:sz w:val="24"/>
                <w:highlight w:val="none"/>
              </w:rPr>
              <w:t>账号</w:t>
            </w:r>
          </w:p>
        </w:tc>
        <w:tc>
          <w:tcPr>
            <w:tcW w:w="7655"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1559" w:hRule="exact"/>
        </w:trPr>
        <w:tc>
          <w:tcPr>
            <w:tcW w:w="17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经营范围</w:t>
            </w:r>
          </w:p>
        </w:tc>
        <w:tc>
          <w:tcPr>
            <w:tcW w:w="7655" w:type="dxa"/>
            <w:gridSpan w:val="8"/>
            <w:tcBorders>
              <w:top w:val="single" w:color="auto"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788" w:hRule="exact"/>
        </w:trPr>
        <w:tc>
          <w:tcPr>
            <w:tcW w:w="17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备注</w:t>
            </w:r>
          </w:p>
        </w:tc>
        <w:tc>
          <w:tcPr>
            <w:tcW w:w="7655"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r>
    </w:tbl>
    <w:p>
      <w:pPr>
        <w:jc w:val="center"/>
        <w:rPr>
          <w:b/>
          <w:bCs/>
          <w:sz w:val="32"/>
          <w:szCs w:val="32"/>
          <w:highlight w:val="none"/>
        </w:rPr>
      </w:pPr>
    </w:p>
    <w:p>
      <w:pPr>
        <w:widowControl/>
        <w:jc w:val="left"/>
        <w:rPr>
          <w:b/>
          <w:bCs/>
          <w:sz w:val="32"/>
          <w:szCs w:val="32"/>
          <w:highlight w:val="none"/>
        </w:rPr>
      </w:pPr>
      <w:r>
        <w:rPr>
          <w:b/>
          <w:bCs/>
          <w:sz w:val="32"/>
          <w:szCs w:val="32"/>
          <w:highlight w:val="none"/>
        </w:rPr>
        <w:br w:type="page"/>
      </w:r>
    </w:p>
    <w:p>
      <w:pPr>
        <w:spacing w:line="360" w:lineRule="auto"/>
        <w:jc w:val="left"/>
        <w:rPr>
          <w:b/>
          <w:sz w:val="24"/>
          <w:highlight w:val="none"/>
        </w:rPr>
      </w:pPr>
      <w:r>
        <w:rPr>
          <w:b/>
          <w:sz w:val="24"/>
          <w:highlight w:val="none"/>
        </w:rPr>
        <w:t>附件</w:t>
      </w:r>
      <w:r>
        <w:rPr>
          <w:rFonts w:hint="eastAsia"/>
          <w:b/>
          <w:sz w:val="24"/>
          <w:highlight w:val="none"/>
        </w:rPr>
        <w:t>5：营业执照及特定资格条件证明文件</w:t>
      </w:r>
    </w:p>
    <w:p>
      <w:pPr>
        <w:widowControl/>
        <w:jc w:val="left"/>
        <w:rPr>
          <w:b/>
          <w:bCs/>
          <w:sz w:val="32"/>
          <w:szCs w:val="32"/>
          <w:highlight w:val="none"/>
        </w:rPr>
      </w:pPr>
    </w:p>
    <w:p>
      <w:pPr>
        <w:widowControl/>
        <w:jc w:val="left"/>
        <w:rPr>
          <w:b/>
          <w:bCs/>
          <w:sz w:val="32"/>
          <w:szCs w:val="32"/>
          <w:highlight w:val="none"/>
        </w:rPr>
      </w:pPr>
      <w:r>
        <w:rPr>
          <w:b/>
          <w:bCs/>
          <w:sz w:val="32"/>
          <w:szCs w:val="32"/>
          <w:highlight w:val="none"/>
        </w:rPr>
        <w:br w:type="page"/>
      </w:r>
    </w:p>
    <w:p>
      <w:pPr>
        <w:widowControl/>
        <w:jc w:val="left"/>
        <w:rPr>
          <w:b/>
          <w:bCs/>
          <w:sz w:val="32"/>
          <w:szCs w:val="32"/>
          <w:highlight w:val="none"/>
        </w:rPr>
        <w:sectPr>
          <w:footerReference r:id="rId3" w:type="default"/>
          <w:pgSz w:w="11906" w:h="16838"/>
          <w:pgMar w:top="1134" w:right="1134" w:bottom="1134" w:left="1134" w:header="851" w:footer="992" w:gutter="0"/>
          <w:cols w:space="425" w:num="1"/>
          <w:docGrid w:type="lines" w:linePitch="312" w:charSpace="0"/>
        </w:sectPr>
      </w:pPr>
    </w:p>
    <w:p>
      <w:pPr>
        <w:jc w:val="left"/>
        <w:rPr>
          <w:rFonts w:asciiTheme="minorEastAsia" w:hAnsiTheme="minorEastAsia"/>
          <w:bCs/>
          <w:sz w:val="24"/>
          <w:highlight w:val="none"/>
        </w:rPr>
      </w:pPr>
      <w:r>
        <w:rPr>
          <w:rFonts w:hint="eastAsia" w:asciiTheme="minorEastAsia" w:hAnsiTheme="minorEastAsia"/>
          <w:bCs/>
          <w:sz w:val="24"/>
          <w:highlight w:val="none"/>
        </w:rPr>
        <w:t>附件6：</w:t>
      </w:r>
    </w:p>
    <w:p>
      <w:pPr>
        <w:jc w:val="center"/>
        <w:rPr>
          <w:b/>
          <w:bCs/>
          <w:sz w:val="32"/>
          <w:szCs w:val="32"/>
          <w:highlight w:val="none"/>
        </w:rPr>
      </w:pPr>
      <w:r>
        <w:rPr>
          <w:rFonts w:hint="eastAsia"/>
          <w:b/>
          <w:bCs/>
          <w:sz w:val="32"/>
          <w:szCs w:val="32"/>
          <w:highlight w:val="none"/>
        </w:rPr>
        <w:t>重庆工商大学国合基地、人工智能学院</w:t>
      </w:r>
      <w:r>
        <w:rPr>
          <w:rFonts w:hint="eastAsia"/>
          <w:b/>
          <w:bCs/>
          <w:sz w:val="32"/>
          <w:szCs w:val="32"/>
          <w:highlight w:val="none"/>
          <w:lang w:eastAsia="zh-CN"/>
        </w:rPr>
        <w:t>、</w:t>
      </w:r>
      <w:r>
        <w:rPr>
          <w:rFonts w:hint="eastAsia"/>
          <w:b/>
          <w:bCs/>
          <w:sz w:val="32"/>
          <w:szCs w:val="32"/>
          <w:highlight w:val="none"/>
          <w:lang w:val="en-US" w:eastAsia="zh-CN"/>
        </w:rPr>
        <w:t>经管中心、党政办家具</w:t>
      </w:r>
      <w:r>
        <w:rPr>
          <w:rFonts w:hint="eastAsia"/>
          <w:b/>
          <w:bCs/>
          <w:sz w:val="32"/>
          <w:szCs w:val="32"/>
          <w:highlight w:val="none"/>
        </w:rPr>
        <w:t>采购项目报价明细表</w:t>
      </w:r>
    </w:p>
    <w:p>
      <w:pPr>
        <w:jc w:val="center"/>
        <w:rPr>
          <w:b/>
          <w:bCs/>
          <w:sz w:val="28"/>
          <w:szCs w:val="28"/>
          <w:highlight w:val="none"/>
        </w:rPr>
      </w:pPr>
    </w:p>
    <w:p>
      <w:pPr>
        <w:rPr>
          <w:b/>
          <w:bCs/>
          <w:sz w:val="28"/>
          <w:szCs w:val="28"/>
          <w:highlight w:val="none"/>
        </w:rPr>
      </w:pPr>
      <w:r>
        <w:rPr>
          <w:rFonts w:hint="eastAsia"/>
          <w:b/>
          <w:bCs/>
          <w:sz w:val="28"/>
          <w:szCs w:val="28"/>
          <w:highlight w:val="none"/>
        </w:rPr>
        <w:t>竞标单位名称（盖章）：</w:t>
      </w:r>
    </w:p>
    <w:p>
      <w:pPr>
        <w:rPr>
          <w:b/>
          <w:bCs/>
          <w:sz w:val="28"/>
          <w:szCs w:val="28"/>
          <w:highlight w:val="none"/>
        </w:rPr>
      </w:pPr>
      <w:r>
        <w:rPr>
          <w:rFonts w:hint="eastAsia"/>
          <w:b/>
          <w:bCs/>
          <w:sz w:val="28"/>
          <w:szCs w:val="28"/>
          <w:highlight w:val="none"/>
        </w:rPr>
        <w:t>授权代表签字：</w:t>
      </w:r>
    </w:p>
    <w:p>
      <w:pPr>
        <w:jc w:val="left"/>
        <w:rPr>
          <w:b/>
          <w:bCs/>
          <w:sz w:val="28"/>
          <w:szCs w:val="28"/>
          <w:highlight w:val="none"/>
          <w:u w:val="single"/>
        </w:rPr>
      </w:pPr>
      <w:r>
        <w:rPr>
          <w:rFonts w:hint="eastAsia"/>
          <w:b/>
          <w:bCs/>
          <w:sz w:val="28"/>
          <w:szCs w:val="28"/>
          <w:highlight w:val="none"/>
        </w:rPr>
        <w:t>是否完全响应下表及《竞标人须知》中的全部内容（是/否）：</w:t>
      </w:r>
      <w:r>
        <w:rPr>
          <w:rFonts w:hint="eastAsia"/>
          <w:b/>
          <w:bCs/>
          <w:sz w:val="28"/>
          <w:szCs w:val="28"/>
          <w:highlight w:val="none"/>
          <w:u w:val="single"/>
        </w:rPr>
        <w:t xml:space="preserve">              </w:t>
      </w:r>
    </w:p>
    <w:p>
      <w:pPr>
        <w:rPr>
          <w:sz w:val="24"/>
          <w:highlight w:val="none"/>
        </w:rPr>
      </w:pPr>
    </w:p>
    <w:tbl>
      <w:tblPr>
        <w:tblStyle w:val="11"/>
        <w:tblW w:w="49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691"/>
        <w:gridCol w:w="1530"/>
        <w:gridCol w:w="7394"/>
        <w:gridCol w:w="1096"/>
        <w:gridCol w:w="826"/>
        <w:gridCol w:w="887"/>
        <w:gridCol w:w="88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47" w:type="pct"/>
            <w:vAlign w:val="center"/>
          </w:tcPr>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序号</w:t>
            </w:r>
          </w:p>
        </w:tc>
        <w:tc>
          <w:tcPr>
            <w:tcW w:w="236" w:type="pct"/>
            <w:vAlign w:val="center"/>
          </w:tcPr>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品名</w:t>
            </w:r>
          </w:p>
        </w:tc>
        <w:tc>
          <w:tcPr>
            <w:tcW w:w="523" w:type="pct"/>
            <w:vAlign w:val="center"/>
          </w:tcPr>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规格尺寸</w:t>
            </w:r>
          </w:p>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（长*宽*高mm）</w:t>
            </w:r>
          </w:p>
        </w:tc>
        <w:tc>
          <w:tcPr>
            <w:tcW w:w="2529" w:type="pct"/>
            <w:vAlign w:val="center"/>
          </w:tcPr>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图例、技术参数</w:t>
            </w:r>
          </w:p>
        </w:tc>
        <w:tc>
          <w:tcPr>
            <w:tcW w:w="374" w:type="pct"/>
            <w:vAlign w:val="center"/>
          </w:tcPr>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数量</w:t>
            </w:r>
          </w:p>
        </w:tc>
        <w:tc>
          <w:tcPr>
            <w:tcW w:w="282" w:type="pct"/>
            <w:vAlign w:val="center"/>
          </w:tcPr>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单位</w:t>
            </w:r>
          </w:p>
        </w:tc>
        <w:tc>
          <w:tcPr>
            <w:tcW w:w="303" w:type="pct"/>
            <w:vAlign w:val="center"/>
          </w:tcPr>
          <w:p>
            <w:pPr>
              <w:jc w:val="center"/>
              <w:rPr>
                <w:rFonts w:hint="default" w:ascii="Times New Roman" w:hAnsi="Times New Roman" w:eastAsia="宋体" w:cs="Times New Roman"/>
                <w:b/>
                <w:bCs/>
                <w:color w:val="FF0000"/>
                <w:sz w:val="21"/>
                <w:szCs w:val="21"/>
                <w:highlight w:val="none"/>
              </w:rPr>
            </w:pPr>
            <w:r>
              <w:rPr>
                <w:rFonts w:hint="default" w:ascii="Times New Roman" w:hAnsi="Times New Roman" w:eastAsia="宋体" w:cs="Times New Roman"/>
                <w:b/>
                <w:bCs/>
                <w:color w:val="FF0000"/>
                <w:sz w:val="21"/>
                <w:szCs w:val="21"/>
                <w:highlight w:val="none"/>
              </w:rPr>
              <w:t>投标限价（元）</w:t>
            </w:r>
          </w:p>
        </w:tc>
        <w:tc>
          <w:tcPr>
            <w:tcW w:w="301" w:type="pct"/>
            <w:vAlign w:val="center"/>
          </w:tcPr>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投标单价（元）</w:t>
            </w:r>
          </w:p>
        </w:tc>
        <w:tc>
          <w:tcPr>
            <w:tcW w:w="300" w:type="pct"/>
            <w:vAlign w:val="center"/>
          </w:tcPr>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000" w:type="pct"/>
            <w:gridSpan w:val="9"/>
            <w:vAlign w:val="center"/>
          </w:tcPr>
          <w:p>
            <w:pPr>
              <w:pStyle w:val="4"/>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
                <w:bCs/>
                <w:sz w:val="21"/>
                <w:szCs w:val="21"/>
                <w:highlight w:val="none"/>
                <w:lang w:val="en-US" w:eastAsia="zh-CN"/>
              </w:rPr>
              <w:t>国合基地</w:t>
            </w:r>
            <w:r>
              <w:rPr>
                <w:rFonts w:hint="default" w:ascii="Times New Roman" w:hAnsi="Times New Roman" w:eastAsia="宋体" w:cs="Times New Roman"/>
                <w:b/>
                <w:sz w:val="21"/>
                <w:szCs w:val="21"/>
                <w:highlight w:val="none"/>
              </w:rPr>
              <w:t>（联系人：</w:t>
            </w:r>
            <w:r>
              <w:rPr>
                <w:rFonts w:hint="default" w:ascii="Times New Roman" w:hAnsi="Times New Roman" w:eastAsia="宋体" w:cs="Times New Roman"/>
                <w:b/>
                <w:sz w:val="21"/>
                <w:szCs w:val="21"/>
                <w:highlight w:val="none"/>
                <w:lang w:val="en-US" w:eastAsia="zh-CN"/>
              </w:rPr>
              <w:t>肖</w:t>
            </w:r>
            <w:r>
              <w:rPr>
                <w:rFonts w:hint="default" w:ascii="Times New Roman" w:hAnsi="Times New Roman" w:eastAsia="宋体" w:cs="Times New Roman"/>
                <w:b/>
                <w:sz w:val="21"/>
                <w:szCs w:val="21"/>
                <w:highlight w:val="none"/>
              </w:rPr>
              <w:t>老师</w:t>
            </w:r>
            <w:r>
              <w:rPr>
                <w:rFonts w:hint="default" w:ascii="Times New Roman" w:hAnsi="Times New Roman" w:eastAsia="宋体" w:cs="Times New Roman"/>
                <w:b/>
                <w:sz w:val="21"/>
                <w:szCs w:val="21"/>
                <w:highlight w:val="none"/>
                <w:lang w:val="en-US" w:eastAsia="zh-CN"/>
              </w:rPr>
              <w:t>，13452342648</w:t>
            </w:r>
            <w:r>
              <w:rPr>
                <w:rFonts w:hint="default" w:ascii="Times New Roman" w:hAnsi="Times New Roman" w:eastAsia="宋体" w:cs="Times New Roman"/>
                <w:b/>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7" w:type="pct"/>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1</w:t>
            </w:r>
          </w:p>
        </w:tc>
        <w:tc>
          <w:tcPr>
            <w:tcW w:w="236"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heme="minorHAnsi" w:hAnsiTheme="minorHAnsi" w:eastAsiaTheme="minorEastAsia" w:cstheme="minorBidi"/>
                <w:b w:val="0"/>
                <w:bCs w:val="0"/>
                <w:kern w:val="2"/>
                <w:sz w:val="21"/>
                <w:szCs w:val="24"/>
                <w:highlight w:val="none"/>
                <w:lang w:val="en-US" w:eastAsia="zh-CN" w:bidi="ar-SA"/>
              </w:rPr>
              <w:t>实验台及配套气柜</w:t>
            </w:r>
          </w:p>
        </w:tc>
        <w:tc>
          <w:tcPr>
            <w:tcW w:w="523" w:type="pct"/>
            <w:vAlign w:val="center"/>
          </w:tcPr>
          <w:p>
            <w:pPr>
              <w:pStyle w:val="2"/>
              <w:spacing w:line="240" w:lineRule="auto"/>
              <w:jc w:val="center"/>
              <w:rPr>
                <w:rFonts w:hint="default" w:ascii="Times New Roman" w:hAnsi="Times New Roman" w:eastAsia="宋体" w:cs="Times New Roman"/>
                <w:b/>
                <w:bCs/>
                <w:kern w:val="2"/>
                <w:sz w:val="21"/>
                <w:szCs w:val="21"/>
                <w:highlight w:val="none"/>
                <w:lang w:val="en-US" w:eastAsia="zh-CN" w:bidi="ar-SA"/>
              </w:rPr>
            </w:pPr>
            <w:r>
              <w:rPr>
                <w:rFonts w:hint="eastAsia" w:ascii="Times New Roman" w:hAnsi="Times New Roman" w:eastAsia="宋体" w:cs="Times New Roman"/>
                <w:b w:val="0"/>
                <w:bCs w:val="0"/>
                <w:kern w:val="2"/>
                <w:sz w:val="21"/>
                <w:szCs w:val="21"/>
                <w:highlight w:val="none"/>
                <w:lang w:val="en-US" w:eastAsia="zh-CN" w:bidi="ar-SA"/>
              </w:rPr>
              <w:t>详见技术参数</w:t>
            </w:r>
          </w:p>
        </w:tc>
        <w:tc>
          <w:tcPr>
            <w:tcW w:w="2529" w:type="pct"/>
            <w:vAlign w:val="center"/>
          </w:tcPr>
          <w:p>
            <w:pPr>
              <w:rPr>
                <w:rFonts w:hint="eastAsia"/>
                <w:highlight w:val="none"/>
                <w:lang w:val="en-US" w:eastAsia="zh-CN"/>
              </w:rPr>
            </w:pPr>
            <w:r>
              <w:rPr>
                <w:rFonts w:hint="eastAsia"/>
                <w:highlight w:val="none"/>
              </w:rPr>
              <w:t>钢木边台</w:t>
            </w:r>
            <w:r>
              <w:rPr>
                <w:rFonts w:hint="eastAsia"/>
                <w:highlight w:val="none"/>
                <w:lang w:val="en-US" w:eastAsia="zh-CN"/>
              </w:rPr>
              <w:t>1</w:t>
            </w:r>
            <w:r>
              <w:rPr>
                <w:rFonts w:hint="eastAsia"/>
                <w:highlight w:val="none"/>
                <w:lang w:eastAsia="zh-CN"/>
              </w:rPr>
              <w:t>：</w:t>
            </w:r>
            <w:r>
              <w:rPr>
                <w:rFonts w:hint="eastAsia"/>
                <w:highlight w:val="none"/>
              </w:rPr>
              <w:t>2</w:t>
            </w:r>
            <w:r>
              <w:rPr>
                <w:highlight w:val="none"/>
              </w:rPr>
              <w:t>900*750*800</w:t>
            </w:r>
            <w:r>
              <w:rPr>
                <w:rFonts w:hint="eastAsia"/>
                <w:highlight w:val="none"/>
                <w:lang w:val="en-US" w:eastAsia="zh-CN"/>
              </w:rPr>
              <w:t>，2.9米</w:t>
            </w:r>
          </w:p>
          <w:p>
            <w:pPr>
              <w:rPr>
                <w:rFonts w:hint="default"/>
                <w:highlight w:val="none"/>
                <w:lang w:val="en-US" w:eastAsia="zh-CN"/>
              </w:rPr>
            </w:pPr>
            <w:r>
              <w:rPr>
                <w:rFonts w:hint="eastAsia"/>
                <w:highlight w:val="none"/>
              </w:rPr>
              <w:t>钢木边台</w:t>
            </w:r>
            <w:r>
              <w:rPr>
                <w:rFonts w:hint="eastAsia"/>
                <w:highlight w:val="none"/>
                <w:lang w:val="en-US" w:eastAsia="zh-CN"/>
              </w:rPr>
              <w:t>2</w:t>
            </w:r>
            <w:r>
              <w:rPr>
                <w:rFonts w:hint="eastAsia"/>
                <w:highlight w:val="none"/>
                <w:lang w:eastAsia="zh-CN"/>
              </w:rPr>
              <w:t>：</w:t>
            </w:r>
            <w:r>
              <w:rPr>
                <w:highlight w:val="none"/>
              </w:rPr>
              <w:t>620*750*800</w:t>
            </w:r>
            <w:r>
              <w:rPr>
                <w:rFonts w:hint="eastAsia"/>
                <w:highlight w:val="none"/>
                <w:lang w:val="en-US" w:eastAsia="zh-CN"/>
              </w:rPr>
              <w:t>，1组</w:t>
            </w:r>
          </w:p>
          <w:p>
            <w:pPr>
              <w:rPr>
                <w:rFonts w:hint="default"/>
                <w:highlight w:val="none"/>
                <w:lang w:val="en-US" w:eastAsia="zh-CN"/>
              </w:rPr>
            </w:pPr>
            <w:r>
              <w:rPr>
                <w:rFonts w:hint="eastAsia"/>
                <w:highlight w:val="none"/>
              </w:rPr>
              <w:t>钢木边台</w:t>
            </w:r>
            <w:r>
              <w:rPr>
                <w:rFonts w:hint="eastAsia"/>
                <w:highlight w:val="none"/>
                <w:lang w:val="en-US" w:eastAsia="zh-CN"/>
              </w:rPr>
              <w:t>3</w:t>
            </w:r>
            <w:r>
              <w:rPr>
                <w:rFonts w:hint="eastAsia"/>
                <w:highlight w:val="none"/>
                <w:lang w:eastAsia="zh-CN"/>
              </w:rPr>
              <w:t>：</w:t>
            </w:r>
            <w:r>
              <w:rPr>
                <w:highlight w:val="none"/>
              </w:rPr>
              <w:t>500*750*800</w:t>
            </w:r>
            <w:r>
              <w:rPr>
                <w:rFonts w:hint="eastAsia"/>
                <w:highlight w:val="none"/>
                <w:lang w:val="en-US" w:eastAsia="zh-CN"/>
              </w:rPr>
              <w:t>，1组</w:t>
            </w:r>
          </w:p>
          <w:p>
            <w:pPr>
              <w:rPr>
                <w:rFonts w:hint="eastAsia"/>
                <w:highlight w:val="none"/>
              </w:rPr>
            </w:pPr>
            <w:r>
              <w:rPr>
                <w:rFonts w:hint="eastAsia"/>
                <w:highlight w:val="none"/>
              </w:rPr>
              <w:t>钢木边台</w:t>
            </w:r>
            <w:r>
              <w:rPr>
                <w:rFonts w:hint="eastAsia"/>
                <w:highlight w:val="none"/>
                <w:lang w:val="en-US" w:eastAsia="zh-CN"/>
              </w:rPr>
              <w:t>4</w:t>
            </w:r>
            <w:r>
              <w:rPr>
                <w:rFonts w:hint="eastAsia"/>
                <w:highlight w:val="none"/>
                <w:lang w:eastAsia="zh-CN"/>
              </w:rPr>
              <w:t>：</w:t>
            </w:r>
            <w:r>
              <w:rPr>
                <w:highlight w:val="none"/>
              </w:rPr>
              <w:t>1960*750*800</w:t>
            </w:r>
            <w:r>
              <w:rPr>
                <w:rFonts w:hint="eastAsia"/>
                <w:highlight w:val="none"/>
                <w:lang w:val="en-US" w:eastAsia="zh-CN"/>
              </w:rPr>
              <w:t>，</w:t>
            </w:r>
            <w:r>
              <w:rPr>
                <w:rFonts w:hint="eastAsia"/>
                <w:highlight w:val="none"/>
              </w:rPr>
              <w:t>1.96</w:t>
            </w:r>
            <w:r>
              <w:rPr>
                <w:rFonts w:hint="eastAsia"/>
                <w:highlight w:val="none"/>
              </w:rPr>
              <w:tab/>
            </w:r>
            <w:r>
              <w:rPr>
                <w:rFonts w:hint="eastAsia"/>
                <w:highlight w:val="none"/>
              </w:rPr>
              <w:t>米</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rPr>
              <w:t>钢木边台</w:t>
            </w:r>
            <w:r>
              <w:rPr>
                <w:rFonts w:hint="eastAsia"/>
                <w:highlight w:val="none"/>
                <w:lang w:val="en-US" w:eastAsia="zh-CN"/>
              </w:rPr>
              <w:t>5</w:t>
            </w:r>
            <w:r>
              <w:rPr>
                <w:rFonts w:hint="eastAsia"/>
                <w:highlight w:val="none"/>
                <w:lang w:eastAsia="zh-CN"/>
              </w:rPr>
              <w:t>：</w:t>
            </w:r>
            <w:r>
              <w:rPr>
                <w:highlight w:val="none"/>
              </w:rPr>
              <w:t>3000*750*8</w:t>
            </w:r>
            <w:r>
              <w:rPr>
                <w:rFonts w:hint="eastAsia"/>
                <w:highlight w:val="none"/>
                <w:lang w:val="en-US" w:eastAsia="zh-CN"/>
              </w:rPr>
              <w:t>0</w:t>
            </w:r>
            <w:r>
              <w:rPr>
                <w:highlight w:val="none"/>
              </w:rPr>
              <w:t>0</w:t>
            </w:r>
            <w:r>
              <w:rPr>
                <w:rFonts w:hint="eastAsia"/>
                <w:highlight w:val="none"/>
                <w:lang w:eastAsia="zh-CN"/>
              </w:rPr>
              <w:t>，</w:t>
            </w:r>
            <w:r>
              <w:rPr>
                <w:rFonts w:hint="eastAsia"/>
                <w:highlight w:val="none"/>
                <w:lang w:val="en-US" w:eastAsia="zh-CN"/>
              </w:rPr>
              <w:t>3米；</w:t>
            </w:r>
          </w:p>
          <w:p>
            <w:pPr>
              <w:rPr>
                <w:rFonts w:hint="eastAsia"/>
                <w:highlight w:val="none"/>
              </w:rPr>
            </w:pPr>
            <w:r>
              <w:rPr>
                <w:rFonts w:hint="eastAsia"/>
                <w:highlight w:val="none"/>
              </w:rPr>
              <w:t>试剂架</w:t>
            </w:r>
            <w:r>
              <w:rPr>
                <w:rFonts w:hint="eastAsia"/>
                <w:highlight w:val="none"/>
                <w:lang w:eastAsia="zh-CN"/>
              </w:rPr>
              <w:t>：</w:t>
            </w:r>
            <w:r>
              <w:rPr>
                <w:rFonts w:hint="eastAsia"/>
                <w:highlight w:val="none"/>
              </w:rPr>
              <w:t>3</w:t>
            </w:r>
            <w:r>
              <w:rPr>
                <w:highlight w:val="none"/>
              </w:rPr>
              <w:t>000*300*750</w:t>
            </w:r>
            <w:r>
              <w:rPr>
                <w:rFonts w:hint="eastAsia"/>
                <w:highlight w:val="none"/>
                <w:lang w:eastAsia="zh-CN"/>
              </w:rPr>
              <w:t>，</w:t>
            </w:r>
            <w:r>
              <w:rPr>
                <w:rFonts w:hint="eastAsia"/>
                <w:highlight w:val="none"/>
              </w:rPr>
              <w:t>2.8</w:t>
            </w:r>
            <w:r>
              <w:rPr>
                <w:rFonts w:hint="eastAsia"/>
                <w:highlight w:val="none"/>
              </w:rPr>
              <w:tab/>
            </w:r>
            <w:r>
              <w:rPr>
                <w:rFonts w:hint="eastAsia"/>
                <w:highlight w:val="none"/>
              </w:rPr>
              <w:t>米</w:t>
            </w:r>
          </w:p>
          <w:p>
            <w:pPr>
              <w:keepNext w:val="0"/>
              <w:keepLines w:val="0"/>
              <w:pageBreakBefore w:val="0"/>
              <w:widowControl w:val="0"/>
              <w:kinsoku/>
              <w:wordWrap/>
              <w:overflowPunct/>
              <w:topLinePunct w:val="0"/>
              <w:autoSpaceDE/>
              <w:autoSpaceDN/>
              <w:bidi w:val="0"/>
              <w:adjustRightInd/>
              <w:snapToGrid/>
              <w:textAlignment w:val="auto"/>
              <w:rPr>
                <w:rFonts w:hint="default" w:eastAsiaTheme="minorEastAsia"/>
                <w:highlight w:val="none"/>
                <w:lang w:val="en-US" w:eastAsia="zh-CN"/>
              </w:rPr>
            </w:pPr>
            <w:r>
              <w:rPr>
                <w:rFonts w:hint="eastAsia"/>
                <w:highlight w:val="none"/>
              </w:rPr>
              <w:t>水槽套装</w:t>
            </w:r>
            <w:r>
              <w:rPr>
                <w:rFonts w:hint="eastAsia"/>
                <w:highlight w:val="none"/>
                <w:lang w:eastAsia="zh-CN"/>
              </w:rPr>
              <w:t>：</w:t>
            </w:r>
            <w:r>
              <w:rPr>
                <w:rFonts w:hint="eastAsia"/>
                <w:highlight w:val="none"/>
              </w:rPr>
              <w:t>5</w:t>
            </w:r>
            <w:r>
              <w:rPr>
                <w:highlight w:val="none"/>
              </w:rPr>
              <w:t>50*450*310</w:t>
            </w:r>
            <w:r>
              <w:rPr>
                <w:rFonts w:hint="eastAsia"/>
                <w:highlight w:val="none"/>
                <w:lang w:eastAsia="zh-CN"/>
              </w:rPr>
              <w:t>，</w:t>
            </w:r>
            <w:r>
              <w:rPr>
                <w:rFonts w:hint="eastAsia"/>
                <w:highlight w:val="none"/>
                <w:lang w:val="en-US" w:eastAsia="zh-CN"/>
              </w:rPr>
              <w:t>1套</w:t>
            </w:r>
          </w:p>
          <w:p>
            <w:pPr>
              <w:rPr>
                <w:rFonts w:hint="eastAsia"/>
                <w:highlight w:val="none"/>
              </w:rPr>
            </w:pPr>
            <w:r>
              <w:rPr>
                <w:rFonts w:hint="eastAsia"/>
                <w:highlight w:val="none"/>
              </w:rPr>
              <w:t>钢木转角柜</w:t>
            </w:r>
            <w:r>
              <w:rPr>
                <w:rFonts w:hint="eastAsia"/>
                <w:highlight w:val="none"/>
                <w:lang w:eastAsia="zh-CN"/>
              </w:rPr>
              <w:t>：</w:t>
            </w:r>
            <w:r>
              <w:rPr>
                <w:rFonts w:hint="eastAsia"/>
                <w:highlight w:val="none"/>
              </w:rPr>
              <w:t>1</w:t>
            </w:r>
            <w:r>
              <w:rPr>
                <w:highlight w:val="none"/>
              </w:rPr>
              <w:t>000*1000*800</w:t>
            </w:r>
            <w:r>
              <w:rPr>
                <w:rFonts w:hint="eastAsia"/>
                <w:highlight w:val="none"/>
                <w:lang w:eastAsia="zh-CN"/>
              </w:rPr>
              <w:t>，</w:t>
            </w:r>
            <w:r>
              <w:rPr>
                <w:rFonts w:hint="eastAsia"/>
                <w:highlight w:val="none"/>
              </w:rPr>
              <w:t>2</w:t>
            </w:r>
            <w:r>
              <w:rPr>
                <w:rFonts w:hint="eastAsia"/>
                <w:highlight w:val="none"/>
              </w:rPr>
              <w:tab/>
            </w:r>
            <w:r>
              <w:rPr>
                <w:rFonts w:hint="eastAsia"/>
                <w:highlight w:val="none"/>
              </w:rPr>
              <w:t>组</w:t>
            </w:r>
          </w:p>
          <w:p>
            <w:pPr>
              <w:keepNext w:val="0"/>
              <w:keepLines w:val="0"/>
              <w:pageBreakBefore w:val="0"/>
              <w:widowControl w:val="0"/>
              <w:kinsoku/>
              <w:wordWrap/>
              <w:overflowPunct/>
              <w:topLinePunct w:val="0"/>
              <w:autoSpaceDE/>
              <w:autoSpaceDN/>
              <w:bidi w:val="0"/>
              <w:adjustRightInd/>
              <w:snapToGrid/>
              <w:textAlignment w:val="auto"/>
              <w:rPr>
                <w:rFonts w:hint="eastAsia" w:eastAsiaTheme="minorEastAsia"/>
                <w:highlight w:val="none"/>
                <w:lang w:eastAsia="zh-CN"/>
              </w:rPr>
            </w:pPr>
            <w:r>
              <w:rPr>
                <w:rFonts w:hint="eastAsia"/>
                <w:highlight w:val="none"/>
              </w:rPr>
              <w:t>滴水架</w:t>
            </w:r>
            <w:r>
              <w:rPr>
                <w:rFonts w:hint="eastAsia"/>
                <w:highlight w:val="none"/>
                <w:lang w:val="en-US" w:eastAsia="zh-CN"/>
              </w:rPr>
              <w:t>1套</w:t>
            </w:r>
            <w:r>
              <w:rPr>
                <w:rFonts w:hint="eastAsia"/>
                <w:highlight w:val="none"/>
                <w:lang w:eastAsia="zh-CN"/>
              </w:rPr>
              <w:t>：</w:t>
            </w:r>
            <w:r>
              <w:rPr>
                <w:rFonts w:hint="eastAsia"/>
                <w:highlight w:val="none"/>
              </w:rPr>
              <w:t>5</w:t>
            </w:r>
            <w:r>
              <w:rPr>
                <w:highlight w:val="none"/>
              </w:rPr>
              <w:t>50*450*310</w:t>
            </w:r>
            <w:r>
              <w:rPr>
                <w:rFonts w:hint="eastAsia"/>
                <w:highlight w:val="none"/>
                <w:lang w:eastAsia="zh-CN"/>
              </w:rPr>
              <w:t>，</w:t>
            </w:r>
            <w:r>
              <w:rPr>
                <w:rFonts w:hint="eastAsia"/>
                <w:highlight w:val="none"/>
              </w:rPr>
              <w:t>1</w:t>
            </w:r>
            <w:r>
              <w:rPr>
                <w:rFonts w:hint="eastAsia"/>
                <w:highlight w:val="none"/>
              </w:rPr>
              <w:tab/>
            </w:r>
            <w:r>
              <w:rPr>
                <w:rFonts w:hint="eastAsia"/>
                <w:highlight w:val="none"/>
              </w:rPr>
              <w:t>个</w:t>
            </w:r>
          </w:p>
          <w:p>
            <w:pPr>
              <w:rPr>
                <w:rFonts w:hint="eastAsia"/>
                <w:highlight w:val="none"/>
              </w:rPr>
            </w:pPr>
            <w:r>
              <w:rPr>
                <w:rFonts w:hint="eastAsia"/>
                <w:highlight w:val="none"/>
              </w:rPr>
              <w:t>气瓶柜</w:t>
            </w:r>
            <w:r>
              <w:rPr>
                <w:rFonts w:hint="eastAsia"/>
                <w:highlight w:val="none"/>
                <w:lang w:eastAsia="zh-CN"/>
              </w:rPr>
              <w:t>：</w:t>
            </w:r>
            <w:r>
              <w:rPr>
                <w:rFonts w:hint="eastAsia"/>
                <w:highlight w:val="none"/>
              </w:rPr>
              <w:t>9</w:t>
            </w:r>
            <w:r>
              <w:rPr>
                <w:highlight w:val="none"/>
              </w:rPr>
              <w:t>00*450*1900</w:t>
            </w:r>
            <w:r>
              <w:rPr>
                <w:rFonts w:hint="eastAsia"/>
                <w:highlight w:val="none"/>
                <w:lang w:eastAsia="zh-CN"/>
              </w:rPr>
              <w:t>，</w:t>
            </w:r>
            <w:r>
              <w:rPr>
                <w:rFonts w:hint="eastAsia"/>
                <w:highlight w:val="none"/>
              </w:rPr>
              <w:t>2</w:t>
            </w:r>
            <w:r>
              <w:rPr>
                <w:rFonts w:hint="eastAsia"/>
                <w:highlight w:val="none"/>
              </w:rPr>
              <w:tab/>
            </w:r>
            <w:r>
              <w:rPr>
                <w:rFonts w:hint="eastAsia"/>
                <w:highlight w:val="none"/>
              </w:rPr>
              <w:t>台</w:t>
            </w:r>
          </w:p>
          <w:p>
            <w:pPr>
              <w:rPr>
                <w:rFonts w:hint="default" w:eastAsiaTheme="minorEastAsia"/>
                <w:highlight w:val="none"/>
                <w:lang w:val="en-US" w:eastAsia="zh-CN"/>
              </w:rPr>
            </w:pPr>
            <w:r>
              <w:rPr>
                <w:rFonts w:hint="eastAsia"/>
                <w:highlight w:val="none"/>
              </w:rPr>
              <w:t>插座</w:t>
            </w:r>
            <w:r>
              <w:rPr>
                <w:rFonts w:hint="eastAsia"/>
                <w:highlight w:val="none"/>
                <w:lang w:eastAsia="zh-CN"/>
              </w:rPr>
              <w:t>：</w:t>
            </w:r>
            <w:r>
              <w:rPr>
                <w:rFonts w:hint="eastAsia"/>
                <w:highlight w:val="none"/>
                <w:lang w:val="en-US" w:eastAsia="zh-CN"/>
              </w:rPr>
              <w:t>45个</w:t>
            </w:r>
          </w:p>
        </w:tc>
        <w:tc>
          <w:tcPr>
            <w:tcW w:w="374"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eastAsia" w:ascii="Times New Roman" w:hAnsi="Times New Roman" w:eastAsia="宋体" w:cs="Times New Roman"/>
                <w:color w:val="000000"/>
                <w:kern w:val="2"/>
                <w:sz w:val="21"/>
                <w:szCs w:val="21"/>
                <w:highlight w:val="none"/>
                <w:lang w:val="en-US" w:eastAsia="zh-CN" w:bidi="ar-SA"/>
              </w:rPr>
              <w:t>1</w:t>
            </w:r>
          </w:p>
        </w:tc>
        <w:tc>
          <w:tcPr>
            <w:tcW w:w="282"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eastAsia" w:ascii="Times New Roman" w:hAnsi="Times New Roman" w:eastAsia="宋体" w:cs="Times New Roman"/>
                <w:color w:val="000000"/>
                <w:kern w:val="2"/>
                <w:sz w:val="21"/>
                <w:szCs w:val="21"/>
                <w:highlight w:val="none"/>
                <w:lang w:val="en-US" w:eastAsia="zh-CN" w:bidi="ar-SA"/>
              </w:rPr>
              <w:t>套</w:t>
            </w:r>
          </w:p>
        </w:tc>
        <w:tc>
          <w:tcPr>
            <w:tcW w:w="303"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15000</w:t>
            </w:r>
          </w:p>
        </w:tc>
        <w:tc>
          <w:tcPr>
            <w:tcW w:w="301" w:type="pct"/>
            <w:vAlign w:val="center"/>
          </w:tcPr>
          <w:p>
            <w:pPr>
              <w:jc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Style w:val="4"/>
              <w:ind w:firstLine="480"/>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000" w:type="pct"/>
            <w:gridSpan w:val="9"/>
            <w:vAlign w:val="center"/>
          </w:tcPr>
          <w:p>
            <w:pPr>
              <w:pStyle w:val="4"/>
              <w:ind w:firstLine="48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
                <w:bCs/>
                <w:sz w:val="21"/>
                <w:szCs w:val="21"/>
                <w:highlight w:val="none"/>
                <w:lang w:val="en-US" w:eastAsia="zh-CN"/>
              </w:rPr>
              <w:t>人工智能学院</w:t>
            </w:r>
            <w:r>
              <w:rPr>
                <w:rFonts w:hint="default" w:ascii="Times New Roman" w:hAnsi="Times New Roman" w:eastAsia="宋体" w:cs="Times New Roman"/>
                <w:b/>
                <w:bCs/>
                <w:sz w:val="21"/>
                <w:szCs w:val="21"/>
                <w:highlight w:val="none"/>
              </w:rPr>
              <w:t>（</w:t>
            </w:r>
            <w:r>
              <w:rPr>
                <w:rFonts w:hint="default" w:ascii="Times New Roman" w:hAnsi="Times New Roman" w:eastAsia="宋体" w:cs="Times New Roman"/>
                <w:b/>
                <w:sz w:val="21"/>
                <w:szCs w:val="21"/>
                <w:highlight w:val="none"/>
              </w:rPr>
              <w:t>联系人：</w:t>
            </w:r>
            <w:r>
              <w:rPr>
                <w:rFonts w:hint="default" w:ascii="Times New Roman" w:hAnsi="Times New Roman" w:eastAsia="宋体" w:cs="Times New Roman"/>
                <w:b/>
                <w:sz w:val="21"/>
                <w:szCs w:val="21"/>
                <w:highlight w:val="none"/>
                <w:lang w:val="en-US" w:eastAsia="zh-CN"/>
              </w:rPr>
              <w:t>熊</w:t>
            </w:r>
            <w:r>
              <w:rPr>
                <w:rFonts w:hint="default" w:ascii="Times New Roman" w:hAnsi="Times New Roman" w:eastAsia="宋体" w:cs="Times New Roman"/>
                <w:b/>
                <w:sz w:val="21"/>
                <w:szCs w:val="21"/>
                <w:highlight w:val="none"/>
              </w:rPr>
              <w:t>老师</w:t>
            </w:r>
            <w:r>
              <w:rPr>
                <w:rFonts w:hint="default" w:ascii="Times New Roman" w:hAnsi="Times New Roman" w:eastAsia="宋体" w:cs="Times New Roman"/>
                <w:b/>
                <w:sz w:val="21"/>
                <w:szCs w:val="21"/>
                <w:highlight w:val="none"/>
                <w:lang w:eastAsia="zh-CN"/>
              </w:rPr>
              <w:t>，</w:t>
            </w:r>
            <w:r>
              <w:rPr>
                <w:rFonts w:hint="default" w:ascii="Times New Roman" w:hAnsi="Times New Roman" w:eastAsia="宋体" w:cs="Times New Roman"/>
                <w:b/>
                <w:sz w:val="21"/>
                <w:szCs w:val="21"/>
                <w:highlight w:val="none"/>
              </w:rPr>
              <w:t>13983882331）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 w:type="pct"/>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2</w:t>
            </w:r>
          </w:p>
        </w:tc>
        <w:tc>
          <w:tcPr>
            <w:tcW w:w="236" w:type="pct"/>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i w:val="0"/>
                <w:iCs w:val="0"/>
                <w:caps w:val="0"/>
                <w:color w:val="333333"/>
                <w:spacing w:val="0"/>
                <w:sz w:val="21"/>
                <w:szCs w:val="21"/>
                <w:highlight w:val="none"/>
              </w:rPr>
              <w:t>办公桌</w:t>
            </w:r>
          </w:p>
        </w:tc>
        <w:tc>
          <w:tcPr>
            <w:tcW w:w="523"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i w:val="0"/>
                <w:iCs w:val="0"/>
                <w:caps w:val="0"/>
                <w:color w:val="333333"/>
                <w:spacing w:val="0"/>
                <w:sz w:val="21"/>
                <w:szCs w:val="21"/>
                <w:highlight w:val="none"/>
              </w:rPr>
              <w:t>1400*700*760</w:t>
            </w:r>
          </w:p>
        </w:tc>
        <w:tc>
          <w:tcPr>
            <w:tcW w:w="2529" w:type="pct"/>
            <w:vAlign w:val="center"/>
          </w:tcPr>
          <w:p>
            <w:pPr>
              <w:spacing w:line="240" w:lineRule="auto"/>
              <w:outlineLvl w:val="2"/>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i w:val="0"/>
                <w:iCs w:val="0"/>
                <w:caps w:val="0"/>
                <w:color w:val="333333"/>
                <w:spacing w:val="0"/>
                <w:sz w:val="21"/>
                <w:szCs w:val="21"/>
                <w:highlight w:val="none"/>
              </w:rPr>
              <w:t>1、桌面及两侧立脚的厚度25mm，背板及搁板厚度16mm，E1级三聚氢氨板；2、封边：采用厚度2.2mmPVC直封边，无缝、防水；封边颜色为台面近似色；3、热熔胶：优质热溶胶封边。胶合性能极佳，抗温差候变较强、不易老化，不脱胶，不褪色、柔韧适中，无异味4、五金配件：滑轨、锁具、铰链及连接件符合国家标准，表面经镀铬处理；抽屉采用国内著名品牌三节超静音滑轨；门铰为充氮、防碰撞优质阻尼智能门铰。所有五金配件均精选于国内著名家具五金配件生产厂家，不生锈，不变形，耐磨损，健康环保。 5、颜色：红胡桃木色</w:t>
            </w:r>
          </w:p>
        </w:tc>
        <w:tc>
          <w:tcPr>
            <w:tcW w:w="374" w:type="pct"/>
            <w:vAlign w:val="center"/>
          </w:tcPr>
          <w:p>
            <w:pPr>
              <w:pStyle w:val="6"/>
              <w:spacing w:line="240" w:lineRule="auto"/>
              <w:ind w:left="0" w:leftChars="0"/>
              <w:jc w:val="center"/>
              <w:outlineLvl w:val="0"/>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1</w:t>
            </w:r>
          </w:p>
        </w:tc>
        <w:tc>
          <w:tcPr>
            <w:tcW w:w="282"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张</w:t>
            </w:r>
          </w:p>
        </w:tc>
        <w:tc>
          <w:tcPr>
            <w:tcW w:w="303"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860</w:t>
            </w:r>
          </w:p>
        </w:tc>
        <w:tc>
          <w:tcPr>
            <w:tcW w:w="301" w:type="pct"/>
            <w:vAlign w:val="center"/>
          </w:tcPr>
          <w:p>
            <w:pPr>
              <w:jc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Style w:val="4"/>
              <w:ind w:firstLine="480"/>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7" w:type="pct"/>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3</w:t>
            </w:r>
          </w:p>
        </w:tc>
        <w:tc>
          <w:tcPr>
            <w:tcW w:w="236" w:type="pct"/>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i w:val="0"/>
                <w:iCs w:val="0"/>
                <w:caps w:val="0"/>
                <w:color w:val="333333"/>
                <w:spacing w:val="0"/>
                <w:sz w:val="21"/>
                <w:szCs w:val="21"/>
                <w:highlight w:val="none"/>
              </w:rPr>
              <w:t>职员转椅</w:t>
            </w:r>
          </w:p>
        </w:tc>
        <w:tc>
          <w:tcPr>
            <w:tcW w:w="523"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i w:val="0"/>
                <w:iCs w:val="0"/>
                <w:caps w:val="0"/>
                <w:color w:val="333333"/>
                <w:spacing w:val="0"/>
                <w:sz w:val="21"/>
                <w:szCs w:val="21"/>
                <w:highlight w:val="none"/>
              </w:rPr>
              <w:t>550*600*950-1010</w:t>
            </w:r>
          </w:p>
        </w:tc>
        <w:tc>
          <w:tcPr>
            <w:tcW w:w="2529" w:type="pct"/>
            <w:vAlign w:val="center"/>
          </w:tcPr>
          <w:p>
            <w:pP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i w:val="0"/>
                <w:iCs w:val="0"/>
                <w:caps w:val="0"/>
                <w:color w:val="333333"/>
                <w:spacing w:val="0"/>
                <w:sz w:val="21"/>
                <w:szCs w:val="21"/>
                <w:highlight w:val="none"/>
              </w:rPr>
              <w:t>1）坐板基材:整体采用优质E1级实木多层板，甲醛释放量符合国家标准（GB18580）小于1.5mg/L，可承受 250kg压力,经过耐酸碱、防虫、防腐特殊处理。 2）面材：优质网状布艺饰面，坐感舒适、透气性强 3）海绵：高回弹45#PU发泡海绵，拉伸强度（KPa）≥180，伸长率（%）≥120，回弹率（%）≥40，撕裂强度（N/cm）≥2产品符合GB/T 10802-2006《通用软质聚醚型聚氨酯泡沫塑料》标准要求，回弹率 ≥44，检验依据须符合国家最新标准《GB/T 10802-2006通用软质聚醮型聚氨酯泡沫塑料》。 4）脚架：优质不锈钢脚架；采用1.2mm厚不锈钢管压铸成型；经磷化，酸洗，固化，清洗后镀铬处理，增加轴表面的防腐蚀性能。 5）工艺：面料缝线无跳针或明显浮线；无断线脱线现象或外露线头，嵌线圆滑顺直，圆弧处均匀对称；皮料包覆平服饱满无明显皱折，松紧均匀无明显松弛现象；</w:t>
            </w:r>
          </w:p>
        </w:tc>
        <w:tc>
          <w:tcPr>
            <w:tcW w:w="374" w:type="pct"/>
            <w:vAlign w:val="center"/>
          </w:tcPr>
          <w:p>
            <w:pPr>
              <w:pStyle w:val="6"/>
              <w:spacing w:line="240" w:lineRule="auto"/>
              <w:ind w:left="0" w:leftChars="0"/>
              <w:jc w:val="center"/>
              <w:outlineLvl w:val="0"/>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1</w:t>
            </w:r>
          </w:p>
        </w:tc>
        <w:tc>
          <w:tcPr>
            <w:tcW w:w="282"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把</w:t>
            </w:r>
          </w:p>
        </w:tc>
        <w:tc>
          <w:tcPr>
            <w:tcW w:w="303"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700</w:t>
            </w:r>
          </w:p>
        </w:tc>
        <w:tc>
          <w:tcPr>
            <w:tcW w:w="301" w:type="pct"/>
            <w:vAlign w:val="center"/>
          </w:tcPr>
          <w:p>
            <w:pPr>
              <w:jc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Style w:val="4"/>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47" w:type="pct"/>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4</w:t>
            </w:r>
          </w:p>
        </w:tc>
        <w:tc>
          <w:tcPr>
            <w:tcW w:w="236" w:type="pct"/>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i w:val="0"/>
                <w:iCs w:val="0"/>
                <w:caps w:val="0"/>
                <w:color w:val="333333"/>
                <w:spacing w:val="0"/>
                <w:sz w:val="21"/>
                <w:szCs w:val="21"/>
                <w:highlight w:val="none"/>
              </w:rPr>
              <w:t>五节铁皮柜</w:t>
            </w:r>
          </w:p>
        </w:tc>
        <w:tc>
          <w:tcPr>
            <w:tcW w:w="523"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i w:val="0"/>
                <w:iCs w:val="0"/>
                <w:caps w:val="0"/>
                <w:color w:val="333333"/>
                <w:spacing w:val="0"/>
                <w:sz w:val="21"/>
                <w:szCs w:val="21"/>
                <w:highlight w:val="none"/>
              </w:rPr>
              <w:t>850*390*1950</w:t>
            </w:r>
          </w:p>
        </w:tc>
        <w:tc>
          <w:tcPr>
            <w:tcW w:w="2529" w:type="pct"/>
            <w:vAlign w:val="center"/>
          </w:tcPr>
          <w:p>
            <w:pPr>
              <w:widowControl/>
              <w:jc w:val="left"/>
              <w:textAlignment w:val="center"/>
              <w:rPr>
                <w:rFonts w:hint="default"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i w:val="0"/>
                <w:iCs w:val="0"/>
                <w:caps w:val="0"/>
                <w:color w:val="333333"/>
                <w:spacing w:val="0"/>
                <w:sz w:val="21"/>
                <w:szCs w:val="21"/>
                <w:highlight w:val="none"/>
              </w:rPr>
              <w:t>2、采用优质品牌冷钆钢； 3、柜体：优质冷轧钢板，钢板厚度采用≥0.8mm标准，表面采用酸洗淋化、静电粉末喷涂处理； 4、柜门：优质冷轧钢板，钢板厚度采用足1.0mm标准，表面采用酸洗淋化、静电粉末喷涂处理，上下门采用铁皮门，均配锁； 5、搁板：优质冷轧钢板，钢板厚度采用足1.0mm标准，表面采用酸洗淋化、静电粉末喷涂处理，搁板底部加横梁处理，加大承重力，同时搁板支撑架加固。柜体由五节拼接而成，每层可独立使用 6、整体毛重≧40KG/个。 7、五金件：优质定位铰链；（开启角度为125°）；柜门拉手采用内嵌拉手。 8、外表处理：磨砂静电喷塑工艺 9、颜色：灰白色</w:t>
            </w:r>
            <w:r>
              <w:rPr>
                <w:rFonts w:hint="default" w:ascii="Times New Roman" w:hAnsi="Times New Roman" w:eastAsia="宋体" w:cs="Times New Roman"/>
                <w:color w:val="000000"/>
                <w:kern w:val="0"/>
                <w:sz w:val="21"/>
                <w:szCs w:val="21"/>
                <w:highlight w:val="none"/>
                <w:lang w:bidi="ar"/>
              </w:rPr>
              <w:t>7.工艺：经磷化，酸洗，固化，清洗后镀铬处理，增加轴表面的防腐蚀性能。</w:t>
            </w:r>
          </w:p>
        </w:tc>
        <w:tc>
          <w:tcPr>
            <w:tcW w:w="374" w:type="pct"/>
            <w:vAlign w:val="center"/>
          </w:tcPr>
          <w:p>
            <w:pPr>
              <w:pStyle w:val="6"/>
              <w:spacing w:line="240" w:lineRule="auto"/>
              <w:ind w:left="0" w:leftChars="0"/>
              <w:jc w:val="center"/>
              <w:outlineLvl w:val="0"/>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1</w:t>
            </w:r>
          </w:p>
        </w:tc>
        <w:tc>
          <w:tcPr>
            <w:tcW w:w="282"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组</w:t>
            </w:r>
          </w:p>
        </w:tc>
        <w:tc>
          <w:tcPr>
            <w:tcW w:w="303"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950</w:t>
            </w:r>
          </w:p>
        </w:tc>
        <w:tc>
          <w:tcPr>
            <w:tcW w:w="301" w:type="pct"/>
            <w:vAlign w:val="center"/>
          </w:tcPr>
          <w:p>
            <w:pPr>
              <w:jc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Style w:val="4"/>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000" w:type="pct"/>
            <w:gridSpan w:val="9"/>
            <w:vAlign w:val="center"/>
          </w:tcPr>
          <w:p>
            <w:pPr>
              <w:pStyle w:val="4"/>
              <w:jc w:val="center"/>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b/>
                <w:bCs/>
                <w:sz w:val="21"/>
                <w:szCs w:val="21"/>
                <w:highlight w:val="none"/>
                <w:lang w:val="en-US" w:eastAsia="zh-CN"/>
              </w:rPr>
              <w:t>经管中心</w:t>
            </w:r>
            <w:r>
              <w:rPr>
                <w:rFonts w:hint="default" w:ascii="Times New Roman" w:hAnsi="Times New Roman" w:eastAsia="宋体" w:cs="Times New Roman"/>
                <w:b/>
                <w:bCs/>
                <w:sz w:val="21"/>
                <w:szCs w:val="21"/>
                <w:highlight w:val="none"/>
              </w:rPr>
              <w:t>（</w:t>
            </w:r>
            <w:r>
              <w:rPr>
                <w:rFonts w:hint="default" w:ascii="Times New Roman" w:hAnsi="Times New Roman" w:eastAsia="宋体" w:cs="Times New Roman"/>
                <w:b/>
                <w:sz w:val="21"/>
                <w:szCs w:val="21"/>
                <w:highlight w:val="none"/>
              </w:rPr>
              <w:t>联系人：</w:t>
            </w:r>
            <w:r>
              <w:rPr>
                <w:rFonts w:hint="eastAsia" w:ascii="Times New Roman" w:hAnsi="Times New Roman" w:eastAsia="宋体" w:cs="Times New Roman"/>
                <w:b/>
                <w:sz w:val="21"/>
                <w:szCs w:val="21"/>
                <w:highlight w:val="none"/>
                <w:lang w:val="en-US" w:eastAsia="zh-CN"/>
              </w:rPr>
              <w:t>范</w:t>
            </w:r>
            <w:r>
              <w:rPr>
                <w:rFonts w:hint="default" w:ascii="Times New Roman" w:hAnsi="Times New Roman" w:eastAsia="宋体" w:cs="Times New Roman"/>
                <w:b/>
                <w:sz w:val="21"/>
                <w:szCs w:val="21"/>
                <w:highlight w:val="none"/>
              </w:rPr>
              <w:t>老师</w:t>
            </w:r>
            <w:r>
              <w:rPr>
                <w:rFonts w:hint="default" w:ascii="Times New Roman" w:hAnsi="Times New Roman" w:eastAsia="宋体" w:cs="Times New Roman"/>
                <w:b/>
                <w:sz w:val="21"/>
                <w:szCs w:val="21"/>
                <w:highlight w:val="none"/>
                <w:lang w:eastAsia="zh-CN"/>
              </w:rPr>
              <w:t>，</w:t>
            </w:r>
            <w:r>
              <w:rPr>
                <w:rFonts w:hint="default" w:ascii="Times New Roman" w:hAnsi="Times New Roman" w:eastAsia="宋体" w:cs="Times New Roman"/>
                <w:b/>
                <w:sz w:val="21"/>
                <w:szCs w:val="21"/>
                <w:highlight w:val="none"/>
              </w:rPr>
              <w:t>13983438183）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7" w:type="pct"/>
            <w:vAlign w:val="center"/>
          </w:tcPr>
          <w:p>
            <w:pPr>
              <w:jc w:val="center"/>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5</w:t>
            </w:r>
          </w:p>
        </w:tc>
        <w:tc>
          <w:tcPr>
            <w:tcW w:w="236" w:type="pct"/>
            <w:vAlign w:val="center"/>
          </w:tcPr>
          <w:p>
            <w:pPr>
              <w:jc w:val="center"/>
              <w:rPr>
                <w:rFonts w:hint="default" w:ascii="Times New Roman" w:hAnsi="Times New Roman" w:eastAsia="宋体" w:cs="Times New Roman"/>
                <w:i w:val="0"/>
                <w:iCs w:val="0"/>
                <w:caps w:val="0"/>
                <w:color w:val="333333"/>
                <w:spacing w:val="0"/>
                <w:sz w:val="21"/>
                <w:szCs w:val="21"/>
                <w:highlight w:val="none"/>
              </w:rPr>
            </w:pPr>
            <w:r>
              <w:rPr>
                <w:rFonts w:hint="default" w:ascii="Times New Roman" w:hAnsi="Times New Roman" w:eastAsia="宋体" w:cs="Times New Roman"/>
                <w:color w:val="000000"/>
                <w:kern w:val="0"/>
                <w:sz w:val="21"/>
                <w:szCs w:val="21"/>
                <w:highlight w:val="none"/>
                <w:lang w:bidi="ar"/>
              </w:rPr>
              <w:t>展示柜</w:t>
            </w:r>
          </w:p>
        </w:tc>
        <w:tc>
          <w:tcPr>
            <w:tcW w:w="523" w:type="pct"/>
            <w:vAlign w:val="center"/>
          </w:tcPr>
          <w:p>
            <w:pPr>
              <w:widowControl/>
              <w:jc w:val="left"/>
              <w:textAlignment w:val="center"/>
              <w:rPr>
                <w:rFonts w:hint="default"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color w:val="000000"/>
                <w:kern w:val="0"/>
                <w:sz w:val="21"/>
                <w:szCs w:val="21"/>
                <w:highlight w:val="none"/>
                <w:lang w:bidi="ar"/>
              </w:rPr>
              <w:t>4200*390*2200</w:t>
            </w:r>
            <w:r>
              <w:rPr>
                <w:rFonts w:hint="eastAsia" w:ascii="Times New Roman" w:hAnsi="Times New Roman" w:eastAsia="宋体" w:cs="Times New Roman"/>
                <w:color w:val="000000"/>
                <w:kern w:val="0"/>
                <w:sz w:val="21"/>
                <w:szCs w:val="21"/>
                <w:highlight w:val="none"/>
                <w:lang w:val="en-US" w:eastAsia="zh-CN" w:bidi="ar"/>
              </w:rPr>
              <w:t>cm</w:t>
            </w:r>
          </w:p>
        </w:tc>
        <w:tc>
          <w:tcPr>
            <w:tcW w:w="2529" w:type="pct"/>
            <w:vAlign w:val="center"/>
          </w:tcPr>
          <w:p>
            <w:pPr>
              <w:widowControl/>
              <w:jc w:val="left"/>
              <w:textAlignment w:val="center"/>
              <w:rPr>
                <w:rFonts w:hint="default"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color w:val="000000"/>
                <w:kern w:val="0"/>
                <w:sz w:val="21"/>
                <w:szCs w:val="21"/>
                <w:highlight w:val="none"/>
                <w:lang w:bidi="ar"/>
              </w:rPr>
              <w:t>1、基材：选用E1级浸渍胶膜纸饰面刨花板，浸渍胶膜纸饰面刨花板符合GB 18580-2017、GB/T 15102-2017 标准，判定依据为浸渍胶膜纸饰面纤维板和浸渍胶膜纸饰面刨花板产品质量监督抽查实施细则；其中静曲强度(MPa)≥11，2h吸水厚度膨胀率≤8%，表面胶合强度(MPa)≥0.6，表面耐磨检验合格，表面耐干热、表面耐龟裂≥5级，甲醛释放量≤0.08mg/m3； 2、封边：采用2.0mm厚PVC同色封边条，热熔胶（环保，一级）180℃ 高温全自动机封边，表面无划痕、粘固牢固，符合QB/T4463-2013标准，甲醛释放量≤0.1mg/L； 3、粘胶剂：采用品牌环保乳白胶，符合GB18583-2008标准， 游离甲醛(g/kg)≤1.0,苯(g/kg)≤0.2，甲苯+二甲苯(g/kg)≤5，总挥发有机物（g/L）≤100。 4、五金配件：采用品牌五金配件，所有五金件作电解处理，可以防锈、防腐，经久耐用。 5.边侧板、底板、门板、背板16mm板，其它25mm板</w:t>
            </w:r>
          </w:p>
        </w:tc>
        <w:tc>
          <w:tcPr>
            <w:tcW w:w="374" w:type="pct"/>
            <w:vAlign w:val="center"/>
          </w:tcPr>
          <w:p>
            <w:pPr>
              <w:widowControl/>
              <w:jc w:val="center"/>
              <w:textAlignment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bidi="ar"/>
              </w:rPr>
              <w:t>1</w:t>
            </w:r>
          </w:p>
        </w:tc>
        <w:tc>
          <w:tcPr>
            <w:tcW w:w="282" w:type="pct"/>
            <w:vAlign w:val="center"/>
          </w:tcPr>
          <w:p>
            <w:pPr>
              <w:widowControl/>
              <w:jc w:val="center"/>
              <w:textAlignment w:val="center"/>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bidi="ar"/>
              </w:rPr>
              <w:t>组</w:t>
            </w:r>
          </w:p>
        </w:tc>
        <w:tc>
          <w:tcPr>
            <w:tcW w:w="303"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eastAsia" w:ascii="Times New Roman" w:hAnsi="Times New Roman" w:eastAsia="宋体" w:cs="Times New Roman"/>
                <w:color w:val="000000"/>
                <w:kern w:val="2"/>
                <w:sz w:val="21"/>
                <w:szCs w:val="21"/>
                <w:highlight w:val="none"/>
                <w:lang w:val="en-US" w:eastAsia="zh-CN" w:bidi="ar-SA"/>
              </w:rPr>
              <w:t>2900</w:t>
            </w:r>
          </w:p>
        </w:tc>
        <w:tc>
          <w:tcPr>
            <w:tcW w:w="301" w:type="pct"/>
            <w:vAlign w:val="center"/>
          </w:tcPr>
          <w:p>
            <w:pPr>
              <w:jc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Style w:val="4"/>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000" w:type="pct"/>
            <w:gridSpan w:val="9"/>
            <w:vAlign w:val="center"/>
          </w:tcPr>
          <w:p>
            <w:pPr>
              <w:pStyle w:val="4"/>
              <w:jc w:val="center"/>
              <w:rPr>
                <w:rFonts w:hint="default" w:ascii="Times New Roman" w:hAnsi="Times New Roman" w:eastAsia="宋体" w:cs="Times New Roman"/>
                <w:sz w:val="21"/>
                <w:szCs w:val="21"/>
                <w:highlight w:val="none"/>
              </w:rPr>
            </w:pPr>
            <w:r>
              <w:rPr>
                <w:rFonts w:hint="eastAsia" w:ascii="Times New Roman" w:hAnsi="Times New Roman" w:eastAsia="宋体" w:cs="Times New Roman"/>
                <w:b/>
                <w:bCs/>
                <w:sz w:val="21"/>
                <w:szCs w:val="21"/>
                <w:highlight w:val="none"/>
                <w:lang w:val="en-US" w:eastAsia="zh-CN"/>
              </w:rPr>
              <w:t>党政办（联系人：莫老师，13996071408）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7"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6</w:t>
            </w:r>
          </w:p>
        </w:tc>
        <w:tc>
          <w:tcPr>
            <w:tcW w:w="236"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color w:val="000000"/>
                <w:kern w:val="0"/>
                <w:sz w:val="21"/>
                <w:szCs w:val="21"/>
                <w:highlight w:val="none"/>
                <w:lang w:bidi="ar"/>
              </w:rPr>
            </w:pPr>
            <w:r>
              <w:rPr>
                <w:rFonts w:hint="default" w:ascii="Times New Roman" w:hAnsi="Times New Roman" w:eastAsia="宋体" w:cs="Times New Roman"/>
                <w:sz w:val="21"/>
                <w:szCs w:val="21"/>
                <w:highlight w:val="none"/>
                <w:lang w:val="en-US" w:eastAsia="zh-CN"/>
              </w:rPr>
              <w:t>会议桌</w:t>
            </w:r>
          </w:p>
        </w:tc>
        <w:tc>
          <w:tcPr>
            <w:tcW w:w="523" w:type="pct"/>
            <w:vAlign w:val="center"/>
          </w:tcPr>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4500*1400*760</w:t>
            </w:r>
          </w:p>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color w:val="000000"/>
                <w:kern w:val="0"/>
                <w:sz w:val="21"/>
                <w:szCs w:val="21"/>
                <w:highlight w:val="none"/>
                <w:lang w:bidi="ar"/>
              </w:rPr>
            </w:pPr>
          </w:p>
        </w:tc>
        <w:tc>
          <w:tcPr>
            <w:tcW w:w="2529" w:type="pct"/>
            <w:vAlign w:val="center"/>
          </w:tcPr>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1.板材：优质E1级多层实木板，厚度32mm，经防虫、防腐等化学处理；符合GB 18580-2017、GB 8624-2012标准要求，提供合格佐证资料；甲醛释放量≤0.08mg/m³，燃烧性能达到B1级要求。</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2.封边：采用厚度≥2.2mm PVC直封边，无缝、防水；封边颜色为台面近似色；</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3.热熔胶：优质热溶胶封边。胶合性能极佳，抗温差候变较强、不易老化，不脱胶，不褪色、柔韧适中，无异味，产品质量均符合国家标准；甲醛释放量均低于(mg/L)≤0.3。</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4.五金配件：采用品牌五金配件，所有五金件作电解处理，可以防锈、防腐，经久耐用。</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color w:val="000000"/>
                <w:kern w:val="0"/>
                <w:sz w:val="21"/>
                <w:szCs w:val="21"/>
                <w:highlight w:val="none"/>
                <w:lang w:bidi="ar"/>
              </w:rPr>
            </w:pPr>
            <w:r>
              <w:rPr>
                <w:rFonts w:hint="default" w:ascii="Times New Roman" w:hAnsi="Times New Roman" w:eastAsia="宋体" w:cs="Times New Roman"/>
                <w:sz w:val="21"/>
                <w:szCs w:val="21"/>
                <w:highlight w:val="none"/>
                <w:lang w:val="en-US" w:eastAsia="zh-CN"/>
              </w:rPr>
              <w:t>5.颜色可选</w:t>
            </w:r>
          </w:p>
        </w:tc>
        <w:tc>
          <w:tcPr>
            <w:tcW w:w="374" w:type="pct"/>
            <w:vAlign w:val="center"/>
          </w:tcPr>
          <w:p>
            <w:pPr>
              <w:pageBreakBefore w:val="0"/>
              <w:kinsoku/>
              <w:wordWrap/>
              <w:overflowPunct/>
              <w:topLinePunct w:val="0"/>
              <w:autoSpaceDE/>
              <w:autoSpaceDN/>
              <w:bidi w:val="0"/>
              <w:snapToGrid/>
              <w:spacing w:line="240" w:lineRule="auto"/>
              <w:jc w:val="center"/>
              <w:rPr>
                <w:rFonts w:hint="eastAsia"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sz w:val="21"/>
                <w:szCs w:val="21"/>
                <w:highlight w:val="none"/>
                <w:lang w:val="en-US" w:eastAsia="zh-CN"/>
              </w:rPr>
              <w:t>1</w:t>
            </w:r>
          </w:p>
        </w:tc>
        <w:tc>
          <w:tcPr>
            <w:tcW w:w="282"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sz w:val="21"/>
                <w:szCs w:val="21"/>
                <w:highlight w:val="none"/>
                <w:lang w:val="en-US" w:eastAsia="zh-CN"/>
              </w:rPr>
              <w:t>张</w:t>
            </w:r>
          </w:p>
        </w:tc>
        <w:tc>
          <w:tcPr>
            <w:tcW w:w="303"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i w:val="0"/>
                <w:iCs w:val="0"/>
                <w:caps w:val="0"/>
                <w:color w:val="333333"/>
                <w:spacing w:val="0"/>
                <w:sz w:val="21"/>
                <w:szCs w:val="21"/>
                <w:highlight w:val="none"/>
              </w:rPr>
              <w:t>8740</w:t>
            </w:r>
          </w:p>
        </w:tc>
        <w:tc>
          <w:tcPr>
            <w:tcW w:w="301"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7"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7</w:t>
            </w:r>
          </w:p>
        </w:tc>
        <w:tc>
          <w:tcPr>
            <w:tcW w:w="236"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color w:val="000000"/>
                <w:kern w:val="0"/>
                <w:sz w:val="21"/>
                <w:szCs w:val="21"/>
                <w:highlight w:val="none"/>
                <w:lang w:bidi="ar"/>
              </w:rPr>
            </w:pPr>
            <w:r>
              <w:rPr>
                <w:rFonts w:hint="default" w:ascii="Times New Roman" w:hAnsi="Times New Roman" w:eastAsia="宋体" w:cs="Times New Roman"/>
                <w:sz w:val="21"/>
                <w:szCs w:val="21"/>
                <w:highlight w:val="none"/>
                <w:lang w:val="en-US" w:eastAsia="zh-CN"/>
              </w:rPr>
              <w:t>会议椅</w:t>
            </w:r>
          </w:p>
        </w:tc>
        <w:tc>
          <w:tcPr>
            <w:tcW w:w="52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color w:val="000000"/>
                <w:kern w:val="0"/>
                <w:sz w:val="21"/>
                <w:szCs w:val="21"/>
                <w:highlight w:val="none"/>
                <w:lang w:bidi="ar"/>
              </w:rPr>
            </w:pPr>
            <w:r>
              <w:rPr>
                <w:rFonts w:hint="default" w:ascii="Times New Roman" w:hAnsi="Times New Roman" w:eastAsia="宋体" w:cs="Times New Roman"/>
                <w:sz w:val="21"/>
                <w:szCs w:val="21"/>
                <w:highlight w:val="none"/>
                <w:lang w:val="en-US" w:eastAsia="zh-CN"/>
              </w:rPr>
              <w:t>565*620*1020</w:t>
            </w:r>
          </w:p>
        </w:tc>
        <w:tc>
          <w:tcPr>
            <w:tcW w:w="2529" w:type="pct"/>
            <w:vAlign w:val="center"/>
          </w:tcPr>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1.面料：表层选用优质西皮，皮面无明显色彩、表面无龟裂、手感柔软光泽度好，透气性强。</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2.海绵：高回弹阻燃橡塑海绵，软硬适中，回弹性能好，燃烧性能符合GB 8624-2012标准，提供合格佐证资料，燃烧性能检验达到B1要求。</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3.脚架：钢制弓形脚架，经磷化，酸洗，固化，清洗后镀铬处理，增加轴表面的防腐蚀性能。</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4.工艺：面料缝线无跳针或明显浮线；无断线脱线现象或外露线头，嵌线圆滑顺直，圆弧处均匀对称；皮料包覆平服饱满无明显皱折，松紧均匀无明显松弛现象。</w:t>
            </w:r>
          </w:p>
          <w:p>
            <w:pPr>
              <w:pageBreakBefore w:val="0"/>
              <w:widowControl/>
              <w:kinsoku/>
              <w:wordWrap/>
              <w:overflowPunct/>
              <w:topLinePunct w:val="0"/>
              <w:autoSpaceDE/>
              <w:autoSpaceDN/>
              <w:bidi w:val="0"/>
              <w:snapToGrid/>
              <w:spacing w:line="240" w:lineRule="auto"/>
              <w:ind w:left="0" w:leftChars="0" w:firstLine="0" w:firstLineChars="0"/>
              <w:jc w:val="left"/>
              <w:textAlignment w:val="center"/>
              <w:rPr>
                <w:rFonts w:hint="default" w:ascii="Times New Roman" w:hAnsi="Times New Roman" w:eastAsia="宋体" w:cs="Times New Roman"/>
                <w:color w:val="000000"/>
                <w:kern w:val="0"/>
                <w:sz w:val="21"/>
                <w:szCs w:val="21"/>
                <w:highlight w:val="none"/>
                <w:lang w:bidi="ar"/>
              </w:rPr>
            </w:pPr>
            <w:r>
              <w:rPr>
                <w:rFonts w:hint="default" w:ascii="Times New Roman" w:hAnsi="Times New Roman" w:eastAsia="宋体" w:cs="Times New Roman"/>
                <w:sz w:val="21"/>
                <w:szCs w:val="21"/>
                <w:highlight w:val="none"/>
                <w:lang w:val="en-US" w:eastAsia="zh-CN"/>
              </w:rPr>
              <w:t>5.颜色可选</w:t>
            </w:r>
          </w:p>
        </w:tc>
        <w:tc>
          <w:tcPr>
            <w:tcW w:w="374" w:type="pct"/>
            <w:vAlign w:val="center"/>
          </w:tcPr>
          <w:p>
            <w:pPr>
              <w:pageBreakBefore w:val="0"/>
              <w:kinsoku/>
              <w:wordWrap/>
              <w:overflowPunct/>
              <w:topLinePunct w:val="0"/>
              <w:autoSpaceDE/>
              <w:autoSpaceDN/>
              <w:bidi w:val="0"/>
              <w:snapToGrid/>
              <w:spacing w:line="240" w:lineRule="auto"/>
              <w:jc w:val="center"/>
              <w:rPr>
                <w:rFonts w:hint="eastAsia"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sz w:val="21"/>
                <w:szCs w:val="21"/>
                <w:highlight w:val="none"/>
                <w:lang w:val="en-US" w:eastAsia="zh-CN"/>
              </w:rPr>
              <w:t>18</w:t>
            </w:r>
          </w:p>
        </w:tc>
        <w:tc>
          <w:tcPr>
            <w:tcW w:w="282"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sz w:val="21"/>
                <w:szCs w:val="21"/>
                <w:highlight w:val="none"/>
                <w:lang w:val="en-US" w:eastAsia="zh-CN"/>
              </w:rPr>
              <w:t>把</w:t>
            </w:r>
          </w:p>
        </w:tc>
        <w:tc>
          <w:tcPr>
            <w:tcW w:w="303"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i w:val="0"/>
                <w:iCs w:val="0"/>
                <w:caps w:val="0"/>
                <w:color w:val="333333"/>
                <w:spacing w:val="0"/>
                <w:sz w:val="21"/>
                <w:szCs w:val="21"/>
                <w:highlight w:val="none"/>
              </w:rPr>
              <w:t>514</w:t>
            </w:r>
          </w:p>
        </w:tc>
        <w:tc>
          <w:tcPr>
            <w:tcW w:w="301"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7"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8</w:t>
            </w:r>
          </w:p>
        </w:tc>
        <w:tc>
          <w:tcPr>
            <w:tcW w:w="236"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color w:val="000000"/>
                <w:kern w:val="0"/>
                <w:sz w:val="21"/>
                <w:szCs w:val="21"/>
                <w:highlight w:val="none"/>
                <w:lang w:bidi="ar"/>
              </w:rPr>
            </w:pPr>
            <w:r>
              <w:rPr>
                <w:rFonts w:hint="default" w:ascii="Times New Roman" w:hAnsi="Times New Roman" w:eastAsia="宋体" w:cs="Times New Roman"/>
                <w:sz w:val="21"/>
                <w:szCs w:val="21"/>
                <w:highlight w:val="none"/>
                <w:lang w:val="en-US" w:eastAsia="zh-CN"/>
              </w:rPr>
              <w:t>茶水柜</w:t>
            </w:r>
          </w:p>
        </w:tc>
        <w:tc>
          <w:tcPr>
            <w:tcW w:w="523" w:type="pct"/>
            <w:vAlign w:val="center"/>
          </w:tcPr>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800*400*815</w:t>
            </w:r>
          </w:p>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color w:val="000000"/>
                <w:kern w:val="0"/>
                <w:sz w:val="21"/>
                <w:szCs w:val="21"/>
                <w:highlight w:val="none"/>
                <w:lang w:bidi="ar"/>
              </w:rPr>
            </w:pPr>
          </w:p>
        </w:tc>
        <w:tc>
          <w:tcPr>
            <w:tcW w:w="2529" w:type="pct"/>
            <w:vAlign w:val="center"/>
          </w:tcPr>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1.板材：优质E1级多层实木板，经防虫、防腐等化学处理；符合GB 18580-2017、GB 8624-2012标准要求，提供合格佐证资料；甲醛释放量≤0.08mg/m³，燃烧性能达到B1级要求。</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2.封边：采用厚度≥2.2mm PVC直封边，无缝、防水；封边颜色为台面近似色；</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3.热熔胶：优质热溶胶封边。胶合性能极佳，抗温差候变较强、不易老化，不脱胶，不褪色、柔韧适中，无异味，产品质量均符合国家标准；甲醛释放量均低于(mg/L)≤0.3。</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4.五金配件：采用品牌五金配件，所有五金件作电解处理，可以防锈、防腐，经久耐用。</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color w:val="000000"/>
                <w:kern w:val="0"/>
                <w:sz w:val="21"/>
                <w:szCs w:val="21"/>
                <w:highlight w:val="none"/>
                <w:lang w:bidi="ar"/>
              </w:rPr>
            </w:pPr>
            <w:r>
              <w:rPr>
                <w:rFonts w:hint="default" w:ascii="Times New Roman" w:hAnsi="Times New Roman" w:eastAsia="宋体" w:cs="Times New Roman"/>
                <w:sz w:val="21"/>
                <w:szCs w:val="21"/>
                <w:highlight w:val="none"/>
                <w:lang w:val="en-US" w:eastAsia="zh-CN"/>
              </w:rPr>
              <w:t>5.颜色可选</w:t>
            </w:r>
          </w:p>
        </w:tc>
        <w:tc>
          <w:tcPr>
            <w:tcW w:w="374" w:type="pct"/>
            <w:vAlign w:val="center"/>
          </w:tcPr>
          <w:p>
            <w:pPr>
              <w:pageBreakBefore w:val="0"/>
              <w:kinsoku/>
              <w:wordWrap/>
              <w:overflowPunct/>
              <w:topLinePunct w:val="0"/>
              <w:autoSpaceDE/>
              <w:autoSpaceDN/>
              <w:bidi w:val="0"/>
              <w:snapToGrid/>
              <w:spacing w:line="240" w:lineRule="auto"/>
              <w:jc w:val="center"/>
              <w:rPr>
                <w:rFonts w:hint="eastAsia"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sz w:val="21"/>
                <w:szCs w:val="21"/>
                <w:highlight w:val="none"/>
                <w:lang w:val="en-US" w:eastAsia="zh-CN"/>
              </w:rPr>
              <w:t>1</w:t>
            </w:r>
          </w:p>
        </w:tc>
        <w:tc>
          <w:tcPr>
            <w:tcW w:w="282"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sz w:val="21"/>
                <w:szCs w:val="21"/>
                <w:highlight w:val="none"/>
                <w:lang w:val="en-US" w:eastAsia="zh-CN"/>
              </w:rPr>
              <w:t>张</w:t>
            </w:r>
          </w:p>
        </w:tc>
        <w:tc>
          <w:tcPr>
            <w:tcW w:w="303"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i w:val="0"/>
                <w:iCs w:val="0"/>
                <w:caps w:val="0"/>
                <w:color w:val="333333"/>
                <w:spacing w:val="0"/>
                <w:sz w:val="21"/>
                <w:szCs w:val="21"/>
                <w:highlight w:val="none"/>
              </w:rPr>
              <w:t>1180</w:t>
            </w:r>
          </w:p>
        </w:tc>
        <w:tc>
          <w:tcPr>
            <w:tcW w:w="301"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7"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eastAsia="宋体" w:cs="Times New Roman"/>
                <w:b w:val="0"/>
                <w:bCs w:val="0"/>
                <w:color w:val="000000"/>
                <w:kern w:val="0"/>
                <w:sz w:val="21"/>
                <w:szCs w:val="21"/>
                <w:highlight w:val="none"/>
                <w:lang w:val="en-US" w:eastAsia="zh-CN" w:bidi="ar"/>
              </w:rPr>
              <w:t>9</w:t>
            </w:r>
          </w:p>
        </w:tc>
        <w:tc>
          <w:tcPr>
            <w:tcW w:w="236"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办公桌</w:t>
            </w:r>
          </w:p>
        </w:tc>
        <w:tc>
          <w:tcPr>
            <w:tcW w:w="52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vertAlign w:val="baseline"/>
                <w:lang w:val="en-US" w:eastAsia="zh-CN"/>
              </w:rPr>
              <w:t>2000*1000*760</w:t>
            </w:r>
          </w:p>
        </w:tc>
        <w:tc>
          <w:tcPr>
            <w:tcW w:w="2529" w:type="pct"/>
            <w:vAlign w:val="center"/>
          </w:tcPr>
          <w:p>
            <w:pPr>
              <w:pStyle w:val="2"/>
              <w:pageBreakBefore w:val="0"/>
              <w:numPr>
                <w:ilvl w:val="0"/>
                <w:numId w:val="0"/>
              </w:numPr>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kern w:val="2"/>
                <w:sz w:val="21"/>
                <w:szCs w:val="21"/>
                <w:highlight w:val="none"/>
                <w:lang w:val="en-US" w:eastAsia="zh-CN" w:bidi="ar-SA"/>
              </w:rPr>
              <w:t>1.基材:采用优质E1级高密度板基材,经过防虫、防腐等处理，强度高、刚性好，不易变形，各项技术指标均应达到国家标准，甲醛、苯释放量≤1.5mg/100L。2.面材：表面使用美国进口优质胡桃木皮贴面,厚≥0.6mm。3.封边：桌面四周采用实木封边，以防止桌面变型；4.油漆：油漆喷涂，采用七次无灰工艺，色泽光亮、温润，漆膜硬度达到或优于3H，有效对木纹形成保护作用；5.表面经过木磨、油磨、防裂、干燥、9底、7面27道工序精细作业完成。产品表面油漆均为水溶性特级环保产品，涂层丰满厚重，纹理通透清晰，耐黄变、耐划伤、质地手感细腻，强度高、刚性好，不易变形，各项技术指标均应达到国家标准，甲醛、苯释放量≤1.5mg/100L。6.热熔胶：优质热溶胶封边。胶合性能极佳，抗温差候变较强、不易老化，不脱胶，不褪色、柔韧适中，无异味，甲醛释放量均低于(mg/L)≤0.3。7.五金配件：所有五金配件均精选于国内著名家具五金配件生产厂家，不生锈，不变形，耐磨损，健康环保。8.设计说明：书柜采用6门设计，边上设计木制通门，内设挂衣杆；两个玻璃门加两个木门。</w:t>
            </w:r>
          </w:p>
        </w:tc>
        <w:tc>
          <w:tcPr>
            <w:tcW w:w="374"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282"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套</w:t>
            </w:r>
          </w:p>
        </w:tc>
        <w:tc>
          <w:tcPr>
            <w:tcW w:w="30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aps w:val="0"/>
                <w:color w:val="333333"/>
                <w:spacing w:val="0"/>
                <w:sz w:val="21"/>
                <w:szCs w:val="21"/>
                <w:highlight w:val="none"/>
              </w:rPr>
              <w:t>4750</w:t>
            </w:r>
          </w:p>
        </w:tc>
        <w:tc>
          <w:tcPr>
            <w:tcW w:w="301"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7"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eastAsia="宋体" w:cs="Times New Roman"/>
                <w:b w:val="0"/>
                <w:bCs w:val="0"/>
                <w:color w:val="000000"/>
                <w:kern w:val="0"/>
                <w:sz w:val="21"/>
                <w:szCs w:val="21"/>
                <w:highlight w:val="none"/>
                <w:lang w:val="en-US" w:eastAsia="zh-CN" w:bidi="ar"/>
              </w:rPr>
              <w:t>10</w:t>
            </w:r>
          </w:p>
        </w:tc>
        <w:tc>
          <w:tcPr>
            <w:tcW w:w="236"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办公椅</w:t>
            </w:r>
          </w:p>
        </w:tc>
        <w:tc>
          <w:tcPr>
            <w:tcW w:w="52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vertAlign w:val="baseline"/>
                <w:lang w:val="en-US" w:eastAsia="zh-CN"/>
              </w:rPr>
              <w:t>500*600*950-1100</w:t>
            </w:r>
          </w:p>
        </w:tc>
        <w:tc>
          <w:tcPr>
            <w:tcW w:w="2529" w:type="pct"/>
            <w:vAlign w:val="center"/>
          </w:tcPr>
          <w:p>
            <w:pPr>
              <w:pStyle w:val="2"/>
              <w:pageBreakBefore w:val="0"/>
              <w:numPr>
                <w:ilvl w:val="0"/>
                <w:numId w:val="0"/>
              </w:numPr>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kern w:val="2"/>
                <w:sz w:val="21"/>
                <w:szCs w:val="21"/>
                <w:highlight w:val="none"/>
                <w:vertAlign w:val="baseline"/>
                <w:lang w:val="en-US" w:eastAsia="zh-CN" w:bidi="ar-SA"/>
              </w:rPr>
            </w:pPr>
            <w:r>
              <w:rPr>
                <w:rFonts w:hint="default" w:ascii="Times New Roman" w:hAnsi="Times New Roman" w:eastAsia="宋体" w:cs="Times New Roman"/>
                <w:b w:val="0"/>
                <w:bCs w:val="0"/>
                <w:sz w:val="21"/>
                <w:szCs w:val="21"/>
                <w:highlight w:val="none"/>
                <w:vertAlign w:val="baseline"/>
              </w:rPr>
              <w:t>1.面料：表层选用优质头层细牛皮，厚度≥1.0mm，皮面无明显色彩、表面无龟裂、手感柔软光泽度好，透气性强。2.扶手：优质实木扶手，表面油漆处理，和办公台工艺和颜色均一直。3.海绵：高回弹45#PU定型海绵，拉伸强度（KPa）≥180，伸长率（%）≥120，回弹率（%）≥40，撕裂强度（N/cm）≥2，回弹率 ≥44。4.气泵：质量符合国家标准，烤漆颜色、亮度一致，无碰伤、掉漆现象。5.脚架：优质实木五星脚架，表面油漆处理，和办公台工艺和颜色均一致。轮子表面清洁干净，无碰伤现象；6.工艺：面料缝线无跳针或明显浮线；无断线脱线现象或外露线头，嵌线圆滑顺直，圆弧处均匀对称；皮料包覆平服饱满无明显皱折，松紧均匀无明显松弛现象；</w:t>
            </w:r>
          </w:p>
        </w:tc>
        <w:tc>
          <w:tcPr>
            <w:tcW w:w="374"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282"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套</w:t>
            </w:r>
          </w:p>
        </w:tc>
        <w:tc>
          <w:tcPr>
            <w:tcW w:w="30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aps w:val="0"/>
                <w:color w:val="333333"/>
                <w:spacing w:val="0"/>
                <w:sz w:val="21"/>
                <w:szCs w:val="21"/>
                <w:highlight w:val="none"/>
              </w:rPr>
              <w:t>1836</w:t>
            </w:r>
          </w:p>
        </w:tc>
        <w:tc>
          <w:tcPr>
            <w:tcW w:w="301"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7"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eastAsia="宋体" w:cs="Times New Roman"/>
                <w:b w:val="0"/>
                <w:bCs w:val="0"/>
                <w:color w:val="000000"/>
                <w:kern w:val="0"/>
                <w:sz w:val="21"/>
                <w:szCs w:val="21"/>
                <w:highlight w:val="none"/>
                <w:lang w:val="en-US" w:eastAsia="zh-CN" w:bidi="ar"/>
              </w:rPr>
              <w:t>11</w:t>
            </w:r>
          </w:p>
        </w:tc>
        <w:tc>
          <w:tcPr>
            <w:tcW w:w="236"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书柜</w:t>
            </w:r>
          </w:p>
        </w:tc>
        <w:tc>
          <w:tcPr>
            <w:tcW w:w="52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vertAlign w:val="baseline"/>
                <w:lang w:val="en-US" w:eastAsia="zh-CN"/>
              </w:rPr>
              <w:t>2400*400*2000</w:t>
            </w:r>
          </w:p>
        </w:tc>
        <w:tc>
          <w:tcPr>
            <w:tcW w:w="2529" w:type="pct"/>
            <w:vAlign w:val="center"/>
          </w:tcPr>
          <w:p>
            <w:pPr>
              <w:pStyle w:val="2"/>
              <w:pageBreakBefore w:val="0"/>
              <w:numPr>
                <w:ilvl w:val="0"/>
                <w:numId w:val="0"/>
              </w:numPr>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vertAlign w:val="baseline"/>
              </w:rPr>
              <w:t>1.基材:采用优质E1级高密度板基材,经过防虫、防腐等处理，强度高、刚性好，不易变形，各项技术指标均应达到国家标准，甲醛、苯释放量≤1.5mg/100L。2.面材：表面使用美国进口优质胡桃木皮贴面,厚≥0.6mm。3.封边：桌面四周采用实木封边，以防止桌面变型；4.油漆：油漆喷涂，采用七次无灰工艺，色泽光亮、温润，漆膜硬度达到或优于3H，有效对木纹形成保护作用；5.表面经过木磨、油磨、防裂、干燥、9底、7面27道工序精细作业完成。产品表面油漆均为水溶性特级环保产品，涂层丰满厚重，纹理通透清晰，耐黄变、耐划伤、质地手感细腻，强度高、刚性好，不易变形，各项技术指标均应达到国家标准，甲醛、苯释放量≤1.5mg/100L。6.热熔胶：优质热溶胶封边。胶合性能极佳，抗温差候变较强、不易老化，不脱胶，不褪色、柔韧适中，无异味，甲醛释放量均低于(mg/L)≤0.3。7.五金配件：所有五金配件均精选于国内著名家具五金配件生产厂家，不生锈，不变形，耐磨损，健康环保。8.设计说明：书柜采用6门设计，边上设计木制通门，内设挂衣杆；两个玻璃门加两个木门。</w:t>
            </w:r>
          </w:p>
        </w:tc>
        <w:tc>
          <w:tcPr>
            <w:tcW w:w="374"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282"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套</w:t>
            </w:r>
          </w:p>
        </w:tc>
        <w:tc>
          <w:tcPr>
            <w:tcW w:w="30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aps w:val="0"/>
                <w:color w:val="333333"/>
                <w:spacing w:val="0"/>
                <w:sz w:val="21"/>
                <w:szCs w:val="21"/>
                <w:highlight w:val="none"/>
              </w:rPr>
              <w:t>4715</w:t>
            </w:r>
          </w:p>
        </w:tc>
        <w:tc>
          <w:tcPr>
            <w:tcW w:w="301"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7"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eastAsia="宋体" w:cs="Times New Roman"/>
                <w:b w:val="0"/>
                <w:bCs w:val="0"/>
                <w:color w:val="000000"/>
                <w:kern w:val="0"/>
                <w:sz w:val="21"/>
                <w:szCs w:val="21"/>
                <w:highlight w:val="none"/>
                <w:lang w:val="en-US" w:eastAsia="zh-CN" w:bidi="ar"/>
              </w:rPr>
              <w:t>12</w:t>
            </w:r>
          </w:p>
        </w:tc>
        <w:tc>
          <w:tcPr>
            <w:tcW w:w="236"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接待椅</w:t>
            </w:r>
          </w:p>
        </w:tc>
        <w:tc>
          <w:tcPr>
            <w:tcW w:w="52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vertAlign w:val="baseline"/>
                <w:lang w:val="en-US" w:eastAsia="zh-CN"/>
              </w:rPr>
              <w:t>620*540*900</w:t>
            </w:r>
          </w:p>
        </w:tc>
        <w:tc>
          <w:tcPr>
            <w:tcW w:w="2529" w:type="pct"/>
            <w:vAlign w:val="center"/>
          </w:tcPr>
          <w:p>
            <w:pPr>
              <w:pStyle w:val="2"/>
              <w:pageBreakBefore w:val="0"/>
              <w:numPr>
                <w:ilvl w:val="0"/>
                <w:numId w:val="0"/>
              </w:numPr>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vertAlign w:val="baseline"/>
              </w:rPr>
              <w:t>1、面料：表层选用优质西皮。2、海绵：高回弹45#PU定型海绵，拉伸强度（KPa）≥180，伸长率（%）≥120，回弹率（%）≥40，撕裂强度（N/cm）≥2，回弹率 ≥44。3、气泵：质量符合国家标准，烤漆颜色、亮度一致，无碰伤、掉漆现象。4、脚架：优质曲木弓形脚架带扶手，表面油漆处理，和办公台工艺和颜色均一致。5、工艺：面料缝线无跳针或明显浮线；无断线脱线现象或外露线头，嵌线圆滑顺直，圆弧处均匀对称；皮料包覆平服饱满无明显皱折，松紧均匀无明显松弛现象。</w:t>
            </w:r>
          </w:p>
        </w:tc>
        <w:tc>
          <w:tcPr>
            <w:tcW w:w="374"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8</w:t>
            </w:r>
          </w:p>
        </w:tc>
        <w:tc>
          <w:tcPr>
            <w:tcW w:w="282"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套</w:t>
            </w:r>
          </w:p>
        </w:tc>
        <w:tc>
          <w:tcPr>
            <w:tcW w:w="30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eastAsia="宋体" w:cs="Times New Roman"/>
                <w:i w:val="0"/>
                <w:iCs w:val="0"/>
                <w:caps w:val="0"/>
                <w:color w:val="333333"/>
                <w:spacing w:val="0"/>
                <w:sz w:val="21"/>
                <w:szCs w:val="21"/>
                <w:highlight w:val="yellow"/>
                <w:lang w:val="en-US" w:eastAsia="zh-CN"/>
              </w:rPr>
              <w:t>538</w:t>
            </w:r>
            <w:bookmarkStart w:id="4" w:name="_GoBack"/>
            <w:bookmarkEnd w:id="4"/>
          </w:p>
        </w:tc>
        <w:tc>
          <w:tcPr>
            <w:tcW w:w="301"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7"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eastAsia="宋体" w:cs="Times New Roman"/>
                <w:b w:val="0"/>
                <w:bCs w:val="0"/>
                <w:color w:val="000000"/>
                <w:kern w:val="0"/>
                <w:sz w:val="21"/>
                <w:szCs w:val="21"/>
                <w:highlight w:val="none"/>
                <w:lang w:val="en-US" w:eastAsia="zh-CN" w:bidi="ar"/>
              </w:rPr>
              <w:t>13</w:t>
            </w:r>
          </w:p>
        </w:tc>
        <w:tc>
          <w:tcPr>
            <w:tcW w:w="236"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沙发（3+1+1）</w:t>
            </w:r>
          </w:p>
        </w:tc>
        <w:tc>
          <w:tcPr>
            <w:tcW w:w="523" w:type="pct"/>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vertAlign w:val="baseline"/>
              </w:rPr>
            </w:pPr>
            <w:r>
              <w:rPr>
                <w:rFonts w:hint="default" w:ascii="Times New Roman" w:hAnsi="Times New Roman" w:eastAsia="宋体" w:cs="Times New Roman"/>
                <w:b w:val="0"/>
                <w:bCs w:val="0"/>
                <w:sz w:val="21"/>
                <w:szCs w:val="21"/>
                <w:highlight w:val="none"/>
                <w:vertAlign w:val="baseline"/>
                <w:lang w:val="en-US" w:eastAsia="zh-CN"/>
              </w:rPr>
              <w:t>单</w:t>
            </w:r>
            <w:r>
              <w:rPr>
                <w:rFonts w:hint="default" w:ascii="Times New Roman" w:hAnsi="Times New Roman" w:eastAsia="宋体" w:cs="Times New Roman"/>
                <w:b w:val="0"/>
                <w:bCs w:val="0"/>
                <w:sz w:val="21"/>
                <w:szCs w:val="21"/>
                <w:highlight w:val="none"/>
                <w:vertAlign w:val="baseline"/>
              </w:rPr>
              <w:t>位1160*900*860</w:t>
            </w:r>
          </w:p>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vertAlign w:val="baseline"/>
              </w:rPr>
              <w:t>三位2160*900*860</w:t>
            </w:r>
          </w:p>
        </w:tc>
        <w:tc>
          <w:tcPr>
            <w:tcW w:w="2529" w:type="pct"/>
            <w:vAlign w:val="center"/>
          </w:tcPr>
          <w:p>
            <w:pPr>
              <w:pStyle w:val="2"/>
              <w:pageBreakBefore w:val="0"/>
              <w:numPr>
                <w:ilvl w:val="0"/>
                <w:numId w:val="0"/>
              </w:numPr>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kern w:val="2"/>
                <w:sz w:val="21"/>
                <w:szCs w:val="21"/>
                <w:highlight w:val="none"/>
                <w:vertAlign w:val="baseline"/>
                <w:lang w:val="en-US" w:eastAsia="zh-CN" w:bidi="ar-SA"/>
              </w:rPr>
            </w:pPr>
            <w:r>
              <w:rPr>
                <w:rFonts w:hint="default" w:ascii="Times New Roman" w:hAnsi="Times New Roman" w:eastAsia="宋体" w:cs="Times New Roman"/>
                <w:b w:val="0"/>
                <w:bCs w:val="0"/>
                <w:sz w:val="21"/>
                <w:szCs w:val="21"/>
                <w:highlight w:val="none"/>
                <w:vertAlign w:val="baseline"/>
              </w:rPr>
              <w:t>1.沙发架：全实木架（实木框架+实木夹板结构），木料框架四面刨削处理，粗光；木制构件全部经过木材防虫防腐处理及烘干处理含水率8%-13%；表面油漆处理，和办公台工艺和颜色均一致。2.面料：表层选用优质合成皮，厚度≥1.0mm，皮面无明显色彩、表面无龟裂、手感柔软光泽度好，透气性强；游离甲醛释(mg/L)≤10。3.4.0mm蛇形弹簧密度说明：蛇形弹簧及绷带以90㎜为间隔，固定在沙发的座前和座后的结构木方上，并在蛇形弹簧的底部，用5㎜的定位绷带以150㎜为间隔横排固定在蛇形弹簧上；4.工艺：面料缝线无跳针或明显浮线；无断线脱线现象或外露线头，嵌线圆滑顺直，圆弧处均匀对称；皮料包覆平服饱满无明显皱折，松紧均匀无明显松弛现象；</w:t>
            </w:r>
          </w:p>
        </w:tc>
        <w:tc>
          <w:tcPr>
            <w:tcW w:w="374"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282"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套</w:t>
            </w:r>
          </w:p>
        </w:tc>
        <w:tc>
          <w:tcPr>
            <w:tcW w:w="30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aps w:val="0"/>
                <w:color w:val="333333"/>
                <w:spacing w:val="0"/>
                <w:sz w:val="21"/>
                <w:szCs w:val="21"/>
                <w:highlight w:val="none"/>
              </w:rPr>
              <w:t>5090</w:t>
            </w:r>
          </w:p>
        </w:tc>
        <w:tc>
          <w:tcPr>
            <w:tcW w:w="301"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7"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eastAsia="宋体" w:cs="Times New Roman"/>
                <w:b w:val="0"/>
                <w:bCs w:val="0"/>
                <w:color w:val="000000"/>
                <w:kern w:val="0"/>
                <w:sz w:val="21"/>
                <w:szCs w:val="21"/>
                <w:highlight w:val="none"/>
                <w:lang w:val="en-US" w:eastAsia="zh-CN" w:bidi="ar"/>
              </w:rPr>
              <w:t>14</w:t>
            </w:r>
          </w:p>
        </w:tc>
        <w:tc>
          <w:tcPr>
            <w:tcW w:w="236"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茶几</w:t>
            </w:r>
          </w:p>
        </w:tc>
        <w:tc>
          <w:tcPr>
            <w:tcW w:w="52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vertAlign w:val="baseline"/>
              </w:rPr>
              <w:t>1200*600*420</w:t>
            </w:r>
          </w:p>
        </w:tc>
        <w:tc>
          <w:tcPr>
            <w:tcW w:w="2529" w:type="pct"/>
            <w:vAlign w:val="center"/>
          </w:tcPr>
          <w:p>
            <w:pPr>
              <w:pStyle w:val="2"/>
              <w:pageBreakBefore w:val="0"/>
              <w:numPr>
                <w:ilvl w:val="0"/>
                <w:numId w:val="0"/>
              </w:numPr>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vertAlign w:val="baseline"/>
              </w:rPr>
              <w:t>1.基材:采用优质E1级高密度板基材,经过防虫、防腐等处理，强度高、刚性好，不易变形，各项技术指标均应达到国家标准，甲醛、苯释放量≤1.5mg/100L。2.面材：表面使用美国进口优质胡桃木皮贴面,厚≥0.8mm。3.封边：桌面四周采用实木封边，以防止桌面变型；4.油漆：油漆喷涂，采用七次无灰工艺，色泽光亮、温润，漆膜硬度达到或优于3H，有效对木纹形成保护作用；5.表面经过木磨、油磨、防裂、干燥、9底、7面27道工序精细作业完成。产品表面油漆均为水溶性特级环保产品，涂层丰满厚重，纹理通透清晰，耐黄变、耐划伤、质地手感细腻，强度高、刚性好，不易变形，各项技术指标均应达到国家标准，甲醛、苯释放量≤1.5mg/100L。6.热熔胶：优质热溶胶封边。胶合性能极佳，抗温差候变较强、不易老化，不脱胶，不褪色、柔韧适中，无异味，甲醛释放量≤0.3(mg/L)。7.五金配件：所有五金配件均精选于国内著名家具五金配件生产厂家，不生锈，不变形，耐磨损，健康环保。</w:t>
            </w:r>
          </w:p>
        </w:tc>
        <w:tc>
          <w:tcPr>
            <w:tcW w:w="374"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282"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套</w:t>
            </w:r>
          </w:p>
        </w:tc>
        <w:tc>
          <w:tcPr>
            <w:tcW w:w="30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aps w:val="0"/>
                <w:color w:val="333333"/>
                <w:spacing w:val="0"/>
                <w:sz w:val="21"/>
                <w:szCs w:val="21"/>
                <w:highlight w:val="none"/>
              </w:rPr>
              <w:t>835</w:t>
            </w:r>
          </w:p>
        </w:tc>
        <w:tc>
          <w:tcPr>
            <w:tcW w:w="301"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7"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eastAsia="宋体" w:cs="Times New Roman"/>
                <w:b w:val="0"/>
                <w:bCs w:val="0"/>
                <w:color w:val="000000"/>
                <w:kern w:val="0"/>
                <w:sz w:val="21"/>
                <w:szCs w:val="21"/>
                <w:highlight w:val="none"/>
                <w:lang w:val="en-US" w:eastAsia="zh-CN" w:bidi="ar"/>
              </w:rPr>
              <w:t>15</w:t>
            </w:r>
          </w:p>
        </w:tc>
        <w:tc>
          <w:tcPr>
            <w:tcW w:w="236"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茶水柜</w:t>
            </w:r>
          </w:p>
        </w:tc>
        <w:tc>
          <w:tcPr>
            <w:tcW w:w="52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vertAlign w:val="baseline"/>
              </w:rPr>
              <w:t>1200*400*815</w:t>
            </w:r>
          </w:p>
        </w:tc>
        <w:tc>
          <w:tcPr>
            <w:tcW w:w="2529" w:type="pct"/>
            <w:vAlign w:val="center"/>
          </w:tcPr>
          <w:p>
            <w:pPr>
              <w:pStyle w:val="2"/>
              <w:pageBreakBefore w:val="0"/>
              <w:numPr>
                <w:ilvl w:val="0"/>
                <w:numId w:val="0"/>
              </w:numPr>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vertAlign w:val="baseline"/>
              </w:rPr>
              <w:t>1.基材:采用优质E1级高密度板基材,经过防虫、防腐等处理，强度高、刚性好，不易变形，各项技术指标均应达到国家标准，甲醛、苯释放量≤1.5mg/100L。2.封边：桌面四周采用实木封边，以防止桌面变型；3.油漆：油漆喷涂，采用七次无灰工艺，色泽光亮、温润，漆膜硬度达到或优于3H，有效对木纹形成保护作用；3.表面经过木磨、油磨、防裂、干燥、9底、7面27道工序精细作业完成。产品表面油漆均为水溶性特级环保产品，涂层丰满厚重，纹理通透清晰，耐黄变、耐划伤、质地手感细腻，强度高、刚性好，不易变形，各项技术指标均应达到国家标准，甲醛、苯释放量≤1.5mg/100L。4.热熔胶：优质热溶胶封边。胶合性能极佳，抗温差候变较强、不易老化，不脱胶，不褪色、柔韧适中，无异味，甲醛释放量均≤0.3 (mg/L)。6.五金配件：所有五金配件均精选于国内著名家具五金配件生产厂家，不生锈，不变形，耐磨损，健康环保。</w:t>
            </w:r>
          </w:p>
        </w:tc>
        <w:tc>
          <w:tcPr>
            <w:tcW w:w="374"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282"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套</w:t>
            </w:r>
          </w:p>
        </w:tc>
        <w:tc>
          <w:tcPr>
            <w:tcW w:w="30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aps w:val="0"/>
                <w:color w:val="333333"/>
                <w:spacing w:val="0"/>
                <w:sz w:val="21"/>
                <w:szCs w:val="21"/>
                <w:highlight w:val="none"/>
              </w:rPr>
              <w:t>1110</w:t>
            </w:r>
          </w:p>
        </w:tc>
        <w:tc>
          <w:tcPr>
            <w:tcW w:w="301"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7"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eastAsia="宋体" w:cs="Times New Roman"/>
                <w:b w:val="0"/>
                <w:bCs w:val="0"/>
                <w:color w:val="000000"/>
                <w:kern w:val="0"/>
                <w:sz w:val="21"/>
                <w:szCs w:val="21"/>
                <w:highlight w:val="none"/>
                <w:lang w:val="en-US" w:eastAsia="zh-CN" w:bidi="ar"/>
              </w:rPr>
              <w:t>16</w:t>
            </w:r>
          </w:p>
        </w:tc>
        <w:tc>
          <w:tcPr>
            <w:tcW w:w="236"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洽谈桌</w:t>
            </w:r>
          </w:p>
        </w:tc>
        <w:tc>
          <w:tcPr>
            <w:tcW w:w="52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vertAlign w:val="baseline"/>
              </w:rPr>
              <w:t>2000*1050*760</w:t>
            </w:r>
          </w:p>
        </w:tc>
        <w:tc>
          <w:tcPr>
            <w:tcW w:w="2529" w:type="pct"/>
            <w:vAlign w:val="center"/>
          </w:tcPr>
          <w:p>
            <w:pPr>
              <w:pStyle w:val="2"/>
              <w:pageBreakBefore w:val="0"/>
              <w:numPr>
                <w:ilvl w:val="0"/>
                <w:numId w:val="0"/>
              </w:numPr>
              <w:kinsoku/>
              <w:wordWrap/>
              <w:overflowPunct/>
              <w:topLinePunct w:val="0"/>
              <w:autoSpaceDE/>
              <w:autoSpaceDN/>
              <w:bidi w:val="0"/>
              <w:snapToGrid/>
              <w:spacing w:line="240" w:lineRule="auto"/>
              <w:ind w:left="0" w:leftChars="0" w:firstLine="0" w:firstLineChars="0"/>
              <w:jc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vertAlign w:val="baseline"/>
              </w:rPr>
              <w:t>1.基材:采用优质E1级高密度板基材,经过防虫、防腐等处理，强度高、刚性好，不易变形，各项技术指标均应达到国家标准，甲醛、苯释放量≤1.5mg/100L。2.面材：表面使用美国进口优质胡桃木皮贴面,厚≥0.6mm。3.封边：桌面四周采用实木封边，以防止桌面变型；4.油漆：油漆喷涂，采用七次无灰工艺，色泽光亮、温润，漆膜硬度达到或优于3H，有效对木纹形成保护作用；4.表面经过木磨、油磨、防裂、干燥、9底、7面27道工序精细作业完成。5.热熔胶：优质热溶胶封边。胶合性能极佳，抗温差候变较强、不易老化，不脱胶，不褪色、柔韧适中，无异味；甲醛释放量均≤0.3(mg/L)。6.五金配件：所有五金配件均精选于国内著名家具五金配件生产厂家，不生锈，不变形，耐磨损，健康环保。</w:t>
            </w:r>
          </w:p>
        </w:tc>
        <w:tc>
          <w:tcPr>
            <w:tcW w:w="374"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282"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套</w:t>
            </w:r>
          </w:p>
        </w:tc>
        <w:tc>
          <w:tcPr>
            <w:tcW w:w="30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aps w:val="0"/>
                <w:color w:val="333333"/>
                <w:spacing w:val="0"/>
                <w:sz w:val="21"/>
                <w:szCs w:val="21"/>
                <w:highlight w:val="none"/>
              </w:rPr>
              <w:t>2880</w:t>
            </w:r>
          </w:p>
        </w:tc>
        <w:tc>
          <w:tcPr>
            <w:tcW w:w="301"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07" w:type="pct"/>
            <w:gridSpan w:val="3"/>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
                <w:kern w:val="0"/>
                <w:sz w:val="21"/>
                <w:szCs w:val="21"/>
                <w:highlight w:val="none"/>
                <w:lang w:bidi="ar"/>
              </w:rPr>
              <w:t>合 计</w:t>
            </w:r>
          </w:p>
        </w:tc>
        <w:tc>
          <w:tcPr>
            <w:tcW w:w="4092" w:type="pct"/>
            <w:gridSpan w:val="6"/>
            <w:vAlign w:val="center"/>
          </w:tcPr>
          <w:p>
            <w:pPr>
              <w:jc w:val="center"/>
              <w:rPr>
                <w:rFonts w:hint="default" w:ascii="Times New Roman" w:hAnsi="Times New Roman" w:eastAsia="宋体" w:cs="Times New Roman"/>
                <w:b/>
                <w:kern w:val="0"/>
                <w:sz w:val="21"/>
                <w:szCs w:val="21"/>
                <w:highlight w:val="none"/>
                <w:lang w:bidi="ar"/>
              </w:rPr>
            </w:pPr>
            <w:r>
              <w:rPr>
                <w:rFonts w:hint="default" w:ascii="Times New Roman" w:hAnsi="Times New Roman" w:eastAsia="宋体" w:cs="Times New Roman"/>
                <w:b/>
                <w:kern w:val="0"/>
                <w:sz w:val="21"/>
                <w:szCs w:val="21"/>
                <w:highlight w:val="none"/>
                <w:lang w:bidi="ar"/>
              </w:rPr>
              <w:t>小写：        ，大写：</w:t>
            </w:r>
          </w:p>
        </w:tc>
      </w:tr>
    </w:tbl>
    <w:p>
      <w:pPr>
        <w:rPr>
          <w:sz w:val="24"/>
          <w:highlight w:val="none"/>
        </w:rPr>
      </w:pPr>
      <w:r>
        <w:rPr>
          <w:rFonts w:hint="eastAsia"/>
          <w:sz w:val="24"/>
          <w:highlight w:val="none"/>
        </w:rPr>
        <w:t>1、本次报价为</w:t>
      </w:r>
      <w:r>
        <w:rPr>
          <w:rFonts w:hint="eastAsia"/>
          <w:b/>
          <w:sz w:val="24"/>
          <w:highlight w:val="none"/>
        </w:rPr>
        <w:t>一口价，不再进行二次报价。</w:t>
      </w:r>
      <w:r>
        <w:rPr>
          <w:rFonts w:hint="eastAsia"/>
          <w:sz w:val="24"/>
          <w:highlight w:val="none"/>
        </w:rPr>
        <w:t>本次报价为</w:t>
      </w:r>
      <w:r>
        <w:rPr>
          <w:rFonts w:hint="eastAsia"/>
          <w:b/>
          <w:bCs/>
          <w:sz w:val="24"/>
          <w:highlight w:val="none"/>
        </w:rPr>
        <w:t>包干价</w:t>
      </w:r>
      <w:r>
        <w:rPr>
          <w:rFonts w:hint="eastAsia"/>
          <w:sz w:val="24"/>
          <w:highlight w:val="none"/>
        </w:rPr>
        <w:t>，报价包括完成本项目所需的服务费、人工费及提供服务所需的设备或货物购买（制造）费、辅材费、运输费、装卸费、安装调试费、培训费、代理服务费及各种应纳的税费等。因供应商自身原因造成漏报、少报皆由其自行承担责任，采购人不再补偿。</w:t>
      </w:r>
    </w:p>
    <w:p>
      <w:pPr>
        <w:rPr>
          <w:b/>
          <w:bCs/>
          <w:color w:val="FF0000"/>
          <w:sz w:val="24"/>
          <w:highlight w:val="none"/>
        </w:rPr>
      </w:pPr>
      <w:r>
        <w:rPr>
          <w:rFonts w:hint="eastAsia"/>
          <w:b/>
          <w:bCs/>
          <w:color w:val="FF0000"/>
          <w:sz w:val="24"/>
          <w:highlight w:val="none"/>
        </w:rPr>
        <w:t>2、各类商品的单价报价不得超过投标限价，否则报价无效。</w:t>
      </w:r>
    </w:p>
    <w:p>
      <w:pPr>
        <w:rPr>
          <w:sz w:val="24"/>
          <w:highlight w:val="none"/>
        </w:rPr>
      </w:pPr>
      <w:r>
        <w:rPr>
          <w:rFonts w:hint="eastAsia"/>
          <w:sz w:val="24"/>
          <w:highlight w:val="none"/>
        </w:rPr>
        <w:t>3、本表可扩展。</w:t>
      </w:r>
    </w:p>
    <w:sectPr>
      <w:pgSz w:w="16838" w:h="11906" w:orient="landscape"/>
      <w:pgMar w:top="1134" w:right="1134" w:bottom="1134"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大黑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1246711"/>
    </w:sdtPr>
    <w:sdtContent>
      <w:sdt>
        <w:sdtPr>
          <w:id w:val="860082579"/>
        </w:sdtPr>
        <w:sdtContent>
          <w:p>
            <w:pPr>
              <w:pStyle w:val="8"/>
              <w:jc w:val="right"/>
            </w:pPr>
            <w:r>
              <w:rPr>
                <w:lang w:val="zh-CN"/>
              </w:rPr>
              <w:t xml:space="preserve"> </w:t>
            </w:r>
            <w:r>
              <w:rPr>
                <w:b/>
                <w:bCs/>
                <w:sz w:val="24"/>
              </w:rPr>
              <w:fldChar w:fldCharType="begin"/>
            </w:r>
            <w:r>
              <w:rPr>
                <w:b/>
                <w:bCs/>
              </w:rPr>
              <w:instrText xml:space="preserve">PAGE</w:instrText>
            </w:r>
            <w:r>
              <w:rPr>
                <w:b/>
                <w:bCs/>
                <w:sz w:val="24"/>
              </w:rPr>
              <w:fldChar w:fldCharType="separate"/>
            </w:r>
            <w:r>
              <w:rPr>
                <w:b/>
                <w:bCs/>
              </w:rPr>
              <w:t>21</w:t>
            </w:r>
            <w:r>
              <w:rPr>
                <w:b/>
                <w:bCs/>
                <w:sz w:val="24"/>
              </w:rPr>
              <w:fldChar w:fldCharType="end"/>
            </w:r>
            <w:r>
              <w:rPr>
                <w:lang w:val="zh-CN"/>
              </w:rPr>
              <w:t xml:space="preserve"> / </w:t>
            </w:r>
            <w:r>
              <w:rPr>
                <w:b/>
                <w:bCs/>
                <w:sz w:val="24"/>
              </w:rPr>
              <w:fldChar w:fldCharType="begin"/>
            </w:r>
            <w:r>
              <w:rPr>
                <w:b/>
                <w:bCs/>
              </w:rPr>
              <w:instrText xml:space="preserve">NUMPAGES</w:instrText>
            </w:r>
            <w:r>
              <w:rPr>
                <w:b/>
                <w:bCs/>
                <w:sz w:val="24"/>
              </w:rPr>
              <w:fldChar w:fldCharType="separate"/>
            </w:r>
            <w:r>
              <w:rPr>
                <w:b/>
                <w:bCs/>
              </w:rPr>
              <w:t>21</w:t>
            </w:r>
            <w:r>
              <w:rPr>
                <w:b/>
                <w:bCs/>
                <w:sz w:val="24"/>
              </w:rPr>
              <w:fldChar w:fldCharType="end"/>
            </w:r>
          </w:p>
        </w:sdtContent>
      </w:sdt>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D88DC4"/>
    <w:multiLevelType w:val="singleLevel"/>
    <w:tmpl w:val="CBD88DC4"/>
    <w:lvl w:ilvl="0" w:tentative="0">
      <w:start w:val="3"/>
      <w:numFmt w:val="chineseCounting"/>
      <w:suff w:val="nothing"/>
      <w:lvlText w:val="%1、"/>
      <w:lvlJc w:val="left"/>
      <w:rPr>
        <w:rFonts w:hint="eastAsia"/>
      </w:rPr>
    </w:lvl>
  </w:abstractNum>
  <w:abstractNum w:abstractNumId="1">
    <w:nsid w:val="57F6ECC9"/>
    <w:multiLevelType w:val="singleLevel"/>
    <w:tmpl w:val="57F6ECC9"/>
    <w:lvl w:ilvl="0" w:tentative="0">
      <w:start w:val="1"/>
      <w:numFmt w:val="decimal"/>
      <w:suff w:val="nothing"/>
      <w:lvlText w:val="%1、"/>
      <w:lvlJc w:val="left"/>
    </w:lvl>
  </w:abstractNum>
  <w:abstractNum w:abstractNumId="2">
    <w:nsid w:val="70864C65"/>
    <w:multiLevelType w:val="singleLevel"/>
    <w:tmpl w:val="70864C65"/>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zNWRmMzdhZjdkNjQ3ZTY0ZDRiYjhhZWI4YzhiZTYifQ=="/>
  </w:docVars>
  <w:rsids>
    <w:rsidRoot w:val="2AAF106B"/>
    <w:rsid w:val="00004563"/>
    <w:rsid w:val="000206FC"/>
    <w:rsid w:val="00034259"/>
    <w:rsid w:val="0004418F"/>
    <w:rsid w:val="00056C40"/>
    <w:rsid w:val="00062EAC"/>
    <w:rsid w:val="0006628C"/>
    <w:rsid w:val="0007493A"/>
    <w:rsid w:val="00077425"/>
    <w:rsid w:val="0009168A"/>
    <w:rsid w:val="000A00F0"/>
    <w:rsid w:val="000A33CF"/>
    <w:rsid w:val="000A5E10"/>
    <w:rsid w:val="000B0EE3"/>
    <w:rsid w:val="000B1978"/>
    <w:rsid w:val="000F2209"/>
    <w:rsid w:val="000F3DA9"/>
    <w:rsid w:val="00100CA4"/>
    <w:rsid w:val="0010536B"/>
    <w:rsid w:val="00106BF7"/>
    <w:rsid w:val="00113B6B"/>
    <w:rsid w:val="00114E51"/>
    <w:rsid w:val="00135356"/>
    <w:rsid w:val="00150828"/>
    <w:rsid w:val="00157422"/>
    <w:rsid w:val="00175005"/>
    <w:rsid w:val="00183181"/>
    <w:rsid w:val="001855C5"/>
    <w:rsid w:val="00197329"/>
    <w:rsid w:val="001B5A4A"/>
    <w:rsid w:val="001B7AFB"/>
    <w:rsid w:val="001C7A2F"/>
    <w:rsid w:val="001C7A91"/>
    <w:rsid w:val="00214E84"/>
    <w:rsid w:val="002156E9"/>
    <w:rsid w:val="002319C4"/>
    <w:rsid w:val="00251299"/>
    <w:rsid w:val="00282B25"/>
    <w:rsid w:val="00290F8F"/>
    <w:rsid w:val="002916D1"/>
    <w:rsid w:val="002A1233"/>
    <w:rsid w:val="002C06BD"/>
    <w:rsid w:val="002C3872"/>
    <w:rsid w:val="002C4E3B"/>
    <w:rsid w:val="002C7D1C"/>
    <w:rsid w:val="002E33AB"/>
    <w:rsid w:val="002E6896"/>
    <w:rsid w:val="003028E7"/>
    <w:rsid w:val="00302A8D"/>
    <w:rsid w:val="0030561D"/>
    <w:rsid w:val="0030562F"/>
    <w:rsid w:val="003135B6"/>
    <w:rsid w:val="00322F97"/>
    <w:rsid w:val="00346F7D"/>
    <w:rsid w:val="00353EDF"/>
    <w:rsid w:val="003A07B9"/>
    <w:rsid w:val="003D1FA8"/>
    <w:rsid w:val="003E1D1F"/>
    <w:rsid w:val="003F5CB7"/>
    <w:rsid w:val="0040343B"/>
    <w:rsid w:val="00415897"/>
    <w:rsid w:val="00417E22"/>
    <w:rsid w:val="004231DC"/>
    <w:rsid w:val="004404D1"/>
    <w:rsid w:val="00462BFB"/>
    <w:rsid w:val="0047503D"/>
    <w:rsid w:val="004777BD"/>
    <w:rsid w:val="00486118"/>
    <w:rsid w:val="004932F2"/>
    <w:rsid w:val="004B2C2A"/>
    <w:rsid w:val="004B2F52"/>
    <w:rsid w:val="004B36AC"/>
    <w:rsid w:val="004C0F75"/>
    <w:rsid w:val="004C5F48"/>
    <w:rsid w:val="004C7F01"/>
    <w:rsid w:val="004D0826"/>
    <w:rsid w:val="004D5AAB"/>
    <w:rsid w:val="004E1497"/>
    <w:rsid w:val="0052082D"/>
    <w:rsid w:val="00522F44"/>
    <w:rsid w:val="00525E33"/>
    <w:rsid w:val="00527A20"/>
    <w:rsid w:val="00535DCC"/>
    <w:rsid w:val="00552729"/>
    <w:rsid w:val="0058271C"/>
    <w:rsid w:val="00591B93"/>
    <w:rsid w:val="005B0F20"/>
    <w:rsid w:val="005C021B"/>
    <w:rsid w:val="005D4A67"/>
    <w:rsid w:val="005E0E30"/>
    <w:rsid w:val="005E5A10"/>
    <w:rsid w:val="00622CD0"/>
    <w:rsid w:val="006308BB"/>
    <w:rsid w:val="006641BA"/>
    <w:rsid w:val="006650E5"/>
    <w:rsid w:val="00686CB8"/>
    <w:rsid w:val="00690689"/>
    <w:rsid w:val="00694D18"/>
    <w:rsid w:val="00696410"/>
    <w:rsid w:val="006A6807"/>
    <w:rsid w:val="006B2DFB"/>
    <w:rsid w:val="006B74AD"/>
    <w:rsid w:val="006C438A"/>
    <w:rsid w:val="006D6BBE"/>
    <w:rsid w:val="00720107"/>
    <w:rsid w:val="00722291"/>
    <w:rsid w:val="007448F4"/>
    <w:rsid w:val="0075704C"/>
    <w:rsid w:val="007574FA"/>
    <w:rsid w:val="00782BAB"/>
    <w:rsid w:val="007A6103"/>
    <w:rsid w:val="007C32FD"/>
    <w:rsid w:val="007E100B"/>
    <w:rsid w:val="007F0F17"/>
    <w:rsid w:val="00801721"/>
    <w:rsid w:val="00822C00"/>
    <w:rsid w:val="00867DA8"/>
    <w:rsid w:val="00881F97"/>
    <w:rsid w:val="00883861"/>
    <w:rsid w:val="008A65EC"/>
    <w:rsid w:val="008B26C8"/>
    <w:rsid w:val="008C7C27"/>
    <w:rsid w:val="008D0450"/>
    <w:rsid w:val="008E3006"/>
    <w:rsid w:val="008E77CD"/>
    <w:rsid w:val="00925EE4"/>
    <w:rsid w:val="009266B6"/>
    <w:rsid w:val="00932119"/>
    <w:rsid w:val="00943987"/>
    <w:rsid w:val="00955C07"/>
    <w:rsid w:val="00957122"/>
    <w:rsid w:val="00957E95"/>
    <w:rsid w:val="00964244"/>
    <w:rsid w:val="009734B6"/>
    <w:rsid w:val="00977AD2"/>
    <w:rsid w:val="00980306"/>
    <w:rsid w:val="00984442"/>
    <w:rsid w:val="009A30C4"/>
    <w:rsid w:val="009A6A84"/>
    <w:rsid w:val="009B4A46"/>
    <w:rsid w:val="009D0E1B"/>
    <w:rsid w:val="00A0114F"/>
    <w:rsid w:val="00A160A9"/>
    <w:rsid w:val="00A66E17"/>
    <w:rsid w:val="00A814BE"/>
    <w:rsid w:val="00A81999"/>
    <w:rsid w:val="00AB5BAA"/>
    <w:rsid w:val="00AC3462"/>
    <w:rsid w:val="00AD3C72"/>
    <w:rsid w:val="00AE46C3"/>
    <w:rsid w:val="00AF3EA4"/>
    <w:rsid w:val="00B064AC"/>
    <w:rsid w:val="00B11279"/>
    <w:rsid w:val="00B31527"/>
    <w:rsid w:val="00B36FC8"/>
    <w:rsid w:val="00B37056"/>
    <w:rsid w:val="00B471EE"/>
    <w:rsid w:val="00B47FF2"/>
    <w:rsid w:val="00B53BFD"/>
    <w:rsid w:val="00B839AA"/>
    <w:rsid w:val="00BB0432"/>
    <w:rsid w:val="00BC1C10"/>
    <w:rsid w:val="00BE1DBF"/>
    <w:rsid w:val="00BF2A1A"/>
    <w:rsid w:val="00BF3ABF"/>
    <w:rsid w:val="00C02F29"/>
    <w:rsid w:val="00C10B38"/>
    <w:rsid w:val="00C218B6"/>
    <w:rsid w:val="00C4248E"/>
    <w:rsid w:val="00C54E2D"/>
    <w:rsid w:val="00C70CA0"/>
    <w:rsid w:val="00C757EE"/>
    <w:rsid w:val="00C77205"/>
    <w:rsid w:val="00C87BE2"/>
    <w:rsid w:val="00CB6B11"/>
    <w:rsid w:val="00CD4F61"/>
    <w:rsid w:val="00CD6C2E"/>
    <w:rsid w:val="00CF0933"/>
    <w:rsid w:val="00CF6B91"/>
    <w:rsid w:val="00D00AF3"/>
    <w:rsid w:val="00D21F03"/>
    <w:rsid w:val="00D305D8"/>
    <w:rsid w:val="00D40280"/>
    <w:rsid w:val="00D40A0F"/>
    <w:rsid w:val="00D456AE"/>
    <w:rsid w:val="00D618FD"/>
    <w:rsid w:val="00D66462"/>
    <w:rsid w:val="00D71408"/>
    <w:rsid w:val="00D779E0"/>
    <w:rsid w:val="00D9316F"/>
    <w:rsid w:val="00D9485A"/>
    <w:rsid w:val="00DA4DD4"/>
    <w:rsid w:val="00DA5B3E"/>
    <w:rsid w:val="00DB32D2"/>
    <w:rsid w:val="00DE1274"/>
    <w:rsid w:val="00DE2FFC"/>
    <w:rsid w:val="00DF1030"/>
    <w:rsid w:val="00DF2B68"/>
    <w:rsid w:val="00E02E7B"/>
    <w:rsid w:val="00E051ED"/>
    <w:rsid w:val="00E40B1E"/>
    <w:rsid w:val="00E558A3"/>
    <w:rsid w:val="00E639C3"/>
    <w:rsid w:val="00E66338"/>
    <w:rsid w:val="00EA37B7"/>
    <w:rsid w:val="00EA748D"/>
    <w:rsid w:val="00EC3C1C"/>
    <w:rsid w:val="00EE1942"/>
    <w:rsid w:val="00F32A8B"/>
    <w:rsid w:val="00F36D62"/>
    <w:rsid w:val="00F442FC"/>
    <w:rsid w:val="00F4585A"/>
    <w:rsid w:val="00F56B7B"/>
    <w:rsid w:val="00F65904"/>
    <w:rsid w:val="00F74FCA"/>
    <w:rsid w:val="00F971DE"/>
    <w:rsid w:val="00FA4F2A"/>
    <w:rsid w:val="00FC2672"/>
    <w:rsid w:val="00FD006C"/>
    <w:rsid w:val="00FD347C"/>
    <w:rsid w:val="00FD4CC1"/>
    <w:rsid w:val="00FE1C27"/>
    <w:rsid w:val="00FE620A"/>
    <w:rsid w:val="01981D96"/>
    <w:rsid w:val="02981FD4"/>
    <w:rsid w:val="05483DDB"/>
    <w:rsid w:val="07A51BB2"/>
    <w:rsid w:val="08370B6D"/>
    <w:rsid w:val="08E078A7"/>
    <w:rsid w:val="0AD44814"/>
    <w:rsid w:val="0B1960B9"/>
    <w:rsid w:val="0B972741"/>
    <w:rsid w:val="0EB837EA"/>
    <w:rsid w:val="0F2E5E50"/>
    <w:rsid w:val="0FA26ED4"/>
    <w:rsid w:val="10CA1840"/>
    <w:rsid w:val="114871A2"/>
    <w:rsid w:val="1185517F"/>
    <w:rsid w:val="120767EB"/>
    <w:rsid w:val="12991950"/>
    <w:rsid w:val="13804F68"/>
    <w:rsid w:val="14EA6322"/>
    <w:rsid w:val="172B6C14"/>
    <w:rsid w:val="19CD19CF"/>
    <w:rsid w:val="1AB14D60"/>
    <w:rsid w:val="1B92721E"/>
    <w:rsid w:val="1BE659FA"/>
    <w:rsid w:val="22726641"/>
    <w:rsid w:val="237979D4"/>
    <w:rsid w:val="23797EB4"/>
    <w:rsid w:val="295740A3"/>
    <w:rsid w:val="297D539A"/>
    <w:rsid w:val="29BE374E"/>
    <w:rsid w:val="2A8510D8"/>
    <w:rsid w:val="2AAF106B"/>
    <w:rsid w:val="2D113626"/>
    <w:rsid w:val="2D115117"/>
    <w:rsid w:val="2EB208EB"/>
    <w:rsid w:val="2FA554DB"/>
    <w:rsid w:val="305B0DE0"/>
    <w:rsid w:val="306D4845"/>
    <w:rsid w:val="31C80197"/>
    <w:rsid w:val="31D2511E"/>
    <w:rsid w:val="32AA0F6A"/>
    <w:rsid w:val="346225E8"/>
    <w:rsid w:val="35AF4DDA"/>
    <w:rsid w:val="36A8236D"/>
    <w:rsid w:val="37D85B02"/>
    <w:rsid w:val="39532698"/>
    <w:rsid w:val="3C4D60FE"/>
    <w:rsid w:val="3F227DB4"/>
    <w:rsid w:val="41DC72E3"/>
    <w:rsid w:val="437749A0"/>
    <w:rsid w:val="43A04CA4"/>
    <w:rsid w:val="43E9584D"/>
    <w:rsid w:val="44BA53C1"/>
    <w:rsid w:val="49B561CB"/>
    <w:rsid w:val="49E11D42"/>
    <w:rsid w:val="49E23D90"/>
    <w:rsid w:val="4B415F67"/>
    <w:rsid w:val="4B615BF3"/>
    <w:rsid w:val="4BE807F1"/>
    <w:rsid w:val="4CBB57E9"/>
    <w:rsid w:val="4D3F44F6"/>
    <w:rsid w:val="4F3118DB"/>
    <w:rsid w:val="503A0B09"/>
    <w:rsid w:val="53906754"/>
    <w:rsid w:val="5438192C"/>
    <w:rsid w:val="55BE74B3"/>
    <w:rsid w:val="55D226A7"/>
    <w:rsid w:val="56FE6576"/>
    <w:rsid w:val="5731634B"/>
    <w:rsid w:val="57550BE8"/>
    <w:rsid w:val="594D5D76"/>
    <w:rsid w:val="59E36A9C"/>
    <w:rsid w:val="5B303794"/>
    <w:rsid w:val="5F6845F0"/>
    <w:rsid w:val="62441745"/>
    <w:rsid w:val="630327E4"/>
    <w:rsid w:val="65AD07DA"/>
    <w:rsid w:val="69CD6F12"/>
    <w:rsid w:val="6A2417B9"/>
    <w:rsid w:val="6CEC72C8"/>
    <w:rsid w:val="6D905835"/>
    <w:rsid w:val="6E52221E"/>
    <w:rsid w:val="6F66678A"/>
    <w:rsid w:val="71983564"/>
    <w:rsid w:val="7257791A"/>
    <w:rsid w:val="72AA3E51"/>
    <w:rsid w:val="744141CD"/>
    <w:rsid w:val="74CF7881"/>
    <w:rsid w:val="75C047E7"/>
    <w:rsid w:val="76416940"/>
    <w:rsid w:val="774C6CD4"/>
    <w:rsid w:val="786B1629"/>
    <w:rsid w:val="7873765F"/>
    <w:rsid w:val="78EF290F"/>
    <w:rsid w:val="7AE80C16"/>
    <w:rsid w:val="7C364E2D"/>
    <w:rsid w:val="7EC52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qFormat/>
    <w:uiPriority w:val="0"/>
    <w:pPr>
      <w:keepNext/>
      <w:keepLines/>
      <w:tabs>
        <w:tab w:val="left" w:pos="720"/>
      </w:tabs>
      <w:spacing w:before="560" w:after="290" w:line="377" w:lineRule="auto"/>
      <w:ind w:left="420" w:hanging="420"/>
      <w:outlineLvl w:val="3"/>
    </w:pPr>
    <w:rPr>
      <w:rFonts w:ascii="Arial" w:hAnsi="Arial" w:eastAsia="黑体"/>
      <w:b/>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adjustRightInd w:val="0"/>
      <w:spacing w:line="360" w:lineRule="auto"/>
      <w:ind w:firstLine="420"/>
    </w:pPr>
    <w:rPr>
      <w:rFonts w:ascii="Times New Roman" w:hAnsi="Times New Roman"/>
      <w:szCs w:val="20"/>
    </w:rPr>
  </w:style>
  <w:style w:type="paragraph" w:styleId="5">
    <w:name w:val="annotation text"/>
    <w:basedOn w:val="1"/>
    <w:qFormat/>
    <w:uiPriority w:val="0"/>
    <w:pPr>
      <w:jc w:val="left"/>
    </w:pPr>
  </w:style>
  <w:style w:type="paragraph" w:styleId="6">
    <w:name w:val="Body Text Indent"/>
    <w:basedOn w:val="1"/>
    <w:link w:val="22"/>
    <w:qFormat/>
    <w:uiPriority w:val="0"/>
    <w:pPr>
      <w:spacing w:line="700" w:lineRule="exact"/>
      <w:ind w:left="960"/>
    </w:pPr>
    <w:rPr>
      <w:rFonts w:ascii="Times New Roman" w:hAnsi="Times New Roman" w:eastAsia="宋体" w:cs="Times New Roman"/>
      <w:sz w:val="44"/>
      <w:szCs w:val="20"/>
    </w:rPr>
  </w:style>
  <w:style w:type="paragraph" w:styleId="7">
    <w:name w:val="Balloon Text"/>
    <w:basedOn w:val="1"/>
    <w:link w:val="15"/>
    <w:qFormat/>
    <w:uiPriority w:val="99"/>
    <w:rPr>
      <w:sz w:val="18"/>
      <w:szCs w:val="18"/>
    </w:rPr>
  </w:style>
  <w:style w:type="paragraph" w:styleId="8">
    <w:name w:val="footer"/>
    <w:basedOn w:val="1"/>
    <w:link w:val="16"/>
    <w:qFormat/>
    <w:uiPriority w:val="99"/>
    <w:pPr>
      <w:tabs>
        <w:tab w:val="center" w:pos="4153"/>
        <w:tab w:val="right" w:pos="8306"/>
      </w:tabs>
      <w:snapToGrid w:val="0"/>
      <w:jc w:val="left"/>
    </w:pPr>
    <w:rPr>
      <w:sz w:val="18"/>
    </w:rPr>
  </w:style>
  <w:style w:type="paragraph" w:styleId="9">
    <w:name w:val="header"/>
    <w:basedOn w:val="1"/>
    <w:link w:val="1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156356"/>
      <w:sz w:val="18"/>
      <w:szCs w:val="18"/>
      <w:u w:val="none"/>
      <w:shd w:val="clear" w:color="auto" w:fill="FF5722"/>
    </w:rPr>
  </w:style>
  <w:style w:type="character" w:styleId="14">
    <w:name w:val="Hyperlink"/>
    <w:basedOn w:val="12"/>
    <w:qFormat/>
    <w:uiPriority w:val="0"/>
    <w:rPr>
      <w:color w:val="156356"/>
      <w:u w:val="none"/>
    </w:rPr>
  </w:style>
  <w:style w:type="character" w:customStyle="1" w:styleId="15">
    <w:name w:val="批注框文本 Char"/>
    <w:basedOn w:val="12"/>
    <w:link w:val="7"/>
    <w:qFormat/>
    <w:uiPriority w:val="99"/>
    <w:rPr>
      <w:rFonts w:asciiTheme="minorHAnsi" w:hAnsiTheme="minorHAnsi" w:eastAsiaTheme="minorEastAsia" w:cstheme="minorBidi"/>
      <w:kern w:val="2"/>
      <w:sz w:val="18"/>
      <w:szCs w:val="18"/>
    </w:rPr>
  </w:style>
  <w:style w:type="character" w:customStyle="1" w:styleId="16">
    <w:name w:val="页脚 Char"/>
    <w:basedOn w:val="12"/>
    <w:link w:val="8"/>
    <w:qFormat/>
    <w:uiPriority w:val="99"/>
    <w:rPr>
      <w:rFonts w:asciiTheme="minorHAnsi" w:hAnsiTheme="minorHAnsi" w:eastAsiaTheme="minorEastAsia" w:cstheme="minorBidi"/>
      <w:kern w:val="2"/>
      <w:sz w:val="18"/>
      <w:szCs w:val="24"/>
    </w:rPr>
  </w:style>
  <w:style w:type="character" w:customStyle="1" w:styleId="17">
    <w:name w:val="标题 2 Char"/>
    <w:basedOn w:val="12"/>
    <w:link w:val="2"/>
    <w:semiHidden/>
    <w:qFormat/>
    <w:uiPriority w:val="0"/>
    <w:rPr>
      <w:rFonts w:asciiTheme="majorHAnsi" w:hAnsiTheme="majorHAnsi" w:eastAsiaTheme="majorEastAsia" w:cstheme="majorBidi"/>
      <w:b/>
      <w:bCs/>
      <w:kern w:val="2"/>
      <w:sz w:val="32"/>
      <w:szCs w:val="32"/>
    </w:rPr>
  </w:style>
  <w:style w:type="character" w:customStyle="1" w:styleId="18">
    <w:name w:val="页眉 Char"/>
    <w:basedOn w:val="12"/>
    <w:link w:val="9"/>
    <w:qFormat/>
    <w:uiPriority w:val="99"/>
    <w:rPr>
      <w:rFonts w:asciiTheme="minorHAnsi" w:hAnsiTheme="minorHAnsi" w:eastAsiaTheme="minorEastAsia" w:cstheme="minorBidi"/>
      <w:kern w:val="2"/>
      <w:sz w:val="18"/>
      <w:szCs w:val="24"/>
    </w:rPr>
  </w:style>
  <w:style w:type="character" w:customStyle="1" w:styleId="19">
    <w:name w:val="layui-laypage-curr"/>
    <w:basedOn w:val="12"/>
    <w:qFormat/>
    <w:uiPriority w:val="0"/>
  </w:style>
  <w:style w:type="character" w:customStyle="1" w:styleId="20">
    <w:name w:val="label"/>
    <w:basedOn w:val="12"/>
    <w:qFormat/>
    <w:uiPriority w:val="0"/>
    <w:rPr>
      <w:color w:val="999999"/>
    </w:rPr>
  </w:style>
  <w:style w:type="character" w:customStyle="1" w:styleId="21">
    <w:name w:val="hover13"/>
    <w:basedOn w:val="12"/>
    <w:qFormat/>
    <w:uiPriority w:val="0"/>
  </w:style>
  <w:style w:type="character" w:customStyle="1" w:styleId="22">
    <w:name w:val="正文文本缩进 Char"/>
    <w:basedOn w:val="12"/>
    <w:link w:val="6"/>
    <w:qFormat/>
    <w:uiPriority w:val="0"/>
    <w:rPr>
      <w:kern w:val="2"/>
      <w:sz w:val="44"/>
    </w:rPr>
  </w:style>
  <w:style w:type="table" w:customStyle="1" w:styleId="23">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33</Pages>
  <Words>19055</Words>
  <Characters>21768</Characters>
  <Lines>93</Lines>
  <Paragraphs>26</Paragraphs>
  <TotalTime>4</TotalTime>
  <ScaleCrop>false</ScaleCrop>
  <LinksUpToDate>false</LinksUpToDate>
  <CharactersWithSpaces>22093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2021-03-25T05:50:00Z</dcterms:created>
  <dc:creator>阎晗</dc:creator>
  <cp:lastModifiedBy>谭武斌</cp:lastModifiedBy>
  <cp:lastPrinted>2022-07-12T02:39:00Z</cp:lastPrinted>
  <dcterms:modified xsi:type="dcterms:W3CDTF">2023-05-17T09:27:41Z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A77C5E973C1C42EC9BAE6F344C06B244_13</vt:lpwstr>
  </property>
  <property fmtid="{D5CDD505-2E9C-101B-9397-08002B2CF9AE}" pid="4" name="KSOSaveFontToCloudKey">
    <vt:lpwstr>1223693500_btnclosed</vt:lpwstr>
  </property>
</Properties>
</file>