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黑简体" w:hAnsi="方正大黑简体" w:eastAsia="方正大黑简体" w:cs="方正大黑简体"/>
          <w:b/>
          <w:bCs/>
          <w:sz w:val="44"/>
          <w:szCs w:val="44"/>
        </w:rPr>
      </w:pPr>
      <w:r>
        <w:rPr>
          <w:rFonts w:hint="eastAsia" w:ascii="方正大黑简体" w:hAnsi="方正大黑简体" w:eastAsia="方正大黑简体" w:cs="方正大黑简体"/>
          <w:b/>
          <w:bCs/>
          <w:sz w:val="44"/>
          <w:szCs w:val="44"/>
        </w:rPr>
        <w:t>竞标人须知</w:t>
      </w:r>
    </w:p>
    <w:p>
      <w:pPr>
        <w:jc w:val="center"/>
        <w:rPr>
          <w:rFonts w:hint="eastAsia"/>
          <w:b/>
          <w:bCs/>
          <w:sz w:val="28"/>
          <w:szCs w:val="28"/>
        </w:rPr>
      </w:pPr>
      <w:r>
        <w:rPr>
          <w:rFonts w:hint="eastAsia"/>
          <w:b/>
          <w:bCs/>
          <w:sz w:val="28"/>
          <w:szCs w:val="28"/>
        </w:rPr>
        <w:t>项目名称：重庆工商大学国合基地实验台及配套气柜、</w:t>
      </w:r>
    </w:p>
    <w:p>
      <w:pPr>
        <w:jc w:val="center"/>
        <w:rPr>
          <w:b/>
          <w:bCs/>
          <w:sz w:val="28"/>
          <w:szCs w:val="28"/>
        </w:rPr>
      </w:pPr>
      <w:r>
        <w:rPr>
          <w:rFonts w:hint="eastAsia"/>
          <w:b/>
          <w:bCs/>
          <w:sz w:val="28"/>
          <w:szCs w:val="28"/>
        </w:rPr>
        <w:t>人工智能学院新进辅导员办公家具采购项目</w:t>
      </w:r>
    </w:p>
    <w:p>
      <w:pPr>
        <w:jc w:val="center"/>
        <w:rPr>
          <w:b/>
          <w:bCs/>
          <w:sz w:val="28"/>
          <w:szCs w:val="28"/>
        </w:rPr>
      </w:pPr>
      <w:r>
        <w:rPr>
          <w:rFonts w:hint="eastAsia"/>
          <w:b/>
          <w:bCs/>
          <w:sz w:val="28"/>
          <w:szCs w:val="28"/>
        </w:rPr>
        <w:t>（项目编号：CTBU-JZ202303</w:t>
      </w:r>
      <w:r>
        <w:rPr>
          <w:rFonts w:hint="eastAsia"/>
          <w:b/>
          <w:bCs/>
          <w:sz w:val="28"/>
          <w:szCs w:val="28"/>
          <w:lang w:val="en-US" w:eastAsia="zh-CN"/>
        </w:rPr>
        <w:t>8</w:t>
      </w:r>
      <w:r>
        <w:rPr>
          <w:rFonts w:hint="eastAsia"/>
          <w:b/>
          <w:bCs/>
          <w:sz w:val="28"/>
          <w:szCs w:val="28"/>
        </w:rPr>
        <w:t>）</w:t>
      </w:r>
    </w:p>
    <w:p>
      <w:pPr>
        <w:rPr>
          <w:b/>
          <w:bCs/>
          <w:sz w:val="24"/>
        </w:rPr>
      </w:pPr>
      <w:r>
        <w:rPr>
          <w:rFonts w:hint="eastAsia"/>
          <w:b/>
          <w:bCs/>
          <w:sz w:val="24"/>
        </w:rPr>
        <w:t>一、资格条件</w:t>
      </w:r>
    </w:p>
    <w:p>
      <w:pPr>
        <w:rPr>
          <w:b/>
          <w:bCs/>
          <w:sz w:val="24"/>
        </w:rPr>
      </w:pPr>
      <w:r>
        <w:rPr>
          <w:rFonts w:hint="eastAsia"/>
          <w:b/>
          <w:bCs/>
          <w:sz w:val="24"/>
        </w:rPr>
        <w:t xml:space="preserve">（一）一般资格要求 </w:t>
      </w:r>
    </w:p>
    <w:p>
      <w:pPr>
        <w:rPr>
          <w:sz w:val="24"/>
        </w:rPr>
      </w:pPr>
      <w:r>
        <w:rPr>
          <w:rFonts w:hint="eastAsia"/>
          <w:sz w:val="24"/>
        </w:rPr>
        <w:t xml:space="preserve">1、具有独立承担民事责任的能力； </w:t>
      </w:r>
    </w:p>
    <w:p>
      <w:pPr>
        <w:rPr>
          <w:sz w:val="24"/>
        </w:rPr>
      </w:pPr>
      <w:r>
        <w:rPr>
          <w:rFonts w:hint="eastAsia"/>
          <w:sz w:val="24"/>
        </w:rPr>
        <w:t xml:space="preserve">2、具有良好的商业信誉和健全的财务会计制度； </w:t>
      </w:r>
    </w:p>
    <w:p>
      <w:pPr>
        <w:rPr>
          <w:sz w:val="24"/>
        </w:rPr>
      </w:pPr>
      <w:r>
        <w:rPr>
          <w:rFonts w:hint="eastAsia"/>
          <w:sz w:val="24"/>
        </w:rPr>
        <w:t xml:space="preserve">3、具有履行合同所必须的设备和专业技术能力； </w:t>
      </w:r>
    </w:p>
    <w:p>
      <w:pPr>
        <w:rPr>
          <w:sz w:val="24"/>
        </w:rPr>
      </w:pPr>
      <w:r>
        <w:rPr>
          <w:rFonts w:hint="eastAsia"/>
          <w:sz w:val="24"/>
        </w:rPr>
        <w:t xml:space="preserve">4、有依法缴纳税收和社会保障资金的良好记录； </w:t>
      </w:r>
    </w:p>
    <w:p>
      <w:pPr>
        <w:rPr>
          <w:sz w:val="24"/>
        </w:rPr>
      </w:pPr>
      <w:r>
        <w:rPr>
          <w:rFonts w:hint="eastAsia"/>
          <w:sz w:val="24"/>
        </w:rPr>
        <w:t xml:space="preserve">5、参加政府采购活动近三年内，在经营活动中没有重大违法记录； </w:t>
      </w:r>
    </w:p>
    <w:p>
      <w:pPr>
        <w:rPr>
          <w:sz w:val="24"/>
        </w:rPr>
      </w:pPr>
      <w:r>
        <w:rPr>
          <w:rFonts w:hint="eastAsia"/>
          <w:sz w:val="24"/>
        </w:rPr>
        <w:t xml:space="preserve">6、法律、行政法规规定的其他条件。 </w:t>
      </w:r>
    </w:p>
    <w:p>
      <w:pPr>
        <w:rPr>
          <w:b/>
          <w:bCs/>
          <w:sz w:val="24"/>
        </w:rPr>
      </w:pPr>
      <w:r>
        <w:rPr>
          <w:rFonts w:hint="eastAsia"/>
          <w:b/>
          <w:bCs/>
          <w:sz w:val="24"/>
        </w:rPr>
        <w:t xml:space="preserve">（二）特定资格条件 </w:t>
      </w:r>
    </w:p>
    <w:p>
      <w:pPr>
        <w:rPr>
          <w:sz w:val="24"/>
        </w:rPr>
      </w:pPr>
      <w:r>
        <w:rPr>
          <w:rFonts w:hint="eastAsia"/>
          <w:sz w:val="24"/>
        </w:rPr>
        <w:t>1、本项目仅接受所投产品制造商参与投标；</w:t>
      </w:r>
    </w:p>
    <w:p>
      <w:pPr>
        <w:rPr>
          <w:sz w:val="24"/>
        </w:rPr>
      </w:pPr>
      <w:r>
        <w:rPr>
          <w:rFonts w:hint="eastAsia"/>
          <w:sz w:val="24"/>
        </w:rPr>
        <w:t>2、竞标人具有有效期内的中国环境标志产品认证证书（十环认证），且认证范围包含钢木家具，响应文件中须提供证书复印件加盖竞标人公章；</w:t>
      </w:r>
    </w:p>
    <w:p>
      <w:pPr>
        <w:rPr>
          <w:rFonts w:asciiTheme="minorEastAsia" w:hAnsiTheme="minorEastAsia"/>
          <w:kern w:val="0"/>
          <w:sz w:val="24"/>
        </w:rPr>
      </w:pPr>
      <w:r>
        <w:rPr>
          <w:rFonts w:hint="eastAsia"/>
          <w:sz w:val="24"/>
        </w:rPr>
        <w:t>3、</w:t>
      </w:r>
      <w:r>
        <w:rPr>
          <w:rFonts w:hint="eastAsia" w:asciiTheme="minorEastAsia" w:hAnsiTheme="minorEastAsia"/>
          <w:kern w:val="0"/>
          <w:sz w:val="24"/>
        </w:rPr>
        <w:t>竞标人具有有效的ISO14025环境标志国际标准Ⅲ型环境标志证书或Ⅲ型环境产品声明评价证书；</w:t>
      </w:r>
    </w:p>
    <w:p>
      <w:pPr>
        <w:rPr>
          <w:rFonts w:asciiTheme="minorEastAsia" w:hAnsiTheme="minorEastAsia"/>
          <w:kern w:val="0"/>
          <w:sz w:val="24"/>
        </w:rPr>
      </w:pPr>
      <w:r>
        <w:rPr>
          <w:rFonts w:hint="eastAsia" w:asciiTheme="minorEastAsia" w:hAnsiTheme="minorEastAsia"/>
          <w:kern w:val="0"/>
          <w:sz w:val="24"/>
        </w:rPr>
        <w:t>4、投标人获得有效的GB/T27922-2011商品售后服务评价体系认证五星级及以上证书，或投标人获得全国商品售后服务评价达标认证评审委员会颁发的在有效期内的售后服务方面的五星级及以上认证证书。</w:t>
      </w:r>
    </w:p>
    <w:p>
      <w:pPr>
        <w:rPr>
          <w:sz w:val="24"/>
        </w:rPr>
      </w:pPr>
      <w:r>
        <w:rPr>
          <w:rFonts w:hint="eastAsia" w:asciiTheme="minorEastAsia" w:hAnsiTheme="minorEastAsia"/>
          <w:kern w:val="0"/>
          <w:sz w:val="24"/>
        </w:rPr>
        <w:t>5、</w:t>
      </w:r>
      <w:r>
        <w:rPr>
          <w:rFonts w:hint="eastAsia"/>
          <w:sz w:val="24"/>
        </w:rPr>
        <w:t xml:space="preserve">本项目不接受联合体投标。 </w:t>
      </w:r>
    </w:p>
    <w:p>
      <w:pPr>
        <w:rPr>
          <w:b/>
          <w:bCs/>
          <w:color w:val="FF0000"/>
          <w:sz w:val="24"/>
        </w:rPr>
      </w:pPr>
      <w:r>
        <w:rPr>
          <w:rFonts w:hint="eastAsia"/>
          <w:b/>
          <w:bCs/>
          <w:color w:val="FF0000"/>
          <w:sz w:val="24"/>
        </w:rPr>
        <w:t>注：1.竞标人的一般资格条件的证明文件可用书面声明替代（详见响应文件格式《书面声明》），并承担法律责任。</w:t>
      </w:r>
    </w:p>
    <w:p>
      <w:pPr>
        <w:rPr>
          <w:sz w:val="24"/>
        </w:rPr>
      </w:pPr>
      <w:r>
        <w:rPr>
          <w:rFonts w:hint="eastAsia"/>
          <w:b/>
          <w:bCs/>
          <w:color w:val="FF0000"/>
          <w:sz w:val="24"/>
        </w:rPr>
        <w:t>2.必须上传营业执照及特定资格条件的证明文件（不能用《书面声明》替代）。</w:t>
      </w:r>
      <w:r>
        <w:rPr>
          <w:rFonts w:hint="eastAsia"/>
          <w:sz w:val="24"/>
        </w:rPr>
        <w:t xml:space="preserve"> </w:t>
      </w:r>
    </w:p>
    <w:p>
      <w:pPr>
        <w:rPr>
          <w:sz w:val="24"/>
        </w:rPr>
      </w:pPr>
    </w:p>
    <w:p>
      <w:pPr>
        <w:rPr>
          <w:b/>
          <w:bCs/>
          <w:sz w:val="24"/>
        </w:rPr>
      </w:pPr>
      <w:r>
        <w:rPr>
          <w:rFonts w:hint="eastAsia"/>
          <w:b/>
          <w:bCs/>
          <w:sz w:val="24"/>
        </w:rPr>
        <w:t>二、报价要求</w:t>
      </w:r>
    </w:p>
    <w:p>
      <w:pPr>
        <w:rPr>
          <w:sz w:val="24"/>
        </w:rPr>
      </w:pPr>
      <w:r>
        <w:rPr>
          <w:rFonts w:hint="eastAsia"/>
          <w:sz w:val="24"/>
        </w:rPr>
        <w:t>1、项目预算金额</w:t>
      </w:r>
      <w:r>
        <w:rPr>
          <w:rFonts w:hint="eastAsia"/>
          <w:sz w:val="24"/>
          <w:lang w:val="en-US" w:eastAsia="zh-CN"/>
        </w:rPr>
        <w:t>1.751</w:t>
      </w:r>
      <w:r>
        <w:rPr>
          <w:rFonts w:hint="eastAsia"/>
          <w:sz w:val="24"/>
        </w:rPr>
        <w:t>万元。</w:t>
      </w:r>
    </w:p>
    <w:p>
      <w:pPr>
        <w:rPr>
          <w:b/>
          <w:bCs/>
          <w:color w:val="FF0000"/>
          <w:sz w:val="24"/>
        </w:rPr>
      </w:pPr>
      <w:r>
        <w:rPr>
          <w:rFonts w:hint="eastAsia"/>
          <w:sz w:val="24"/>
        </w:rPr>
        <w:t>2、本次报价为</w:t>
      </w:r>
      <w:r>
        <w:rPr>
          <w:rFonts w:hint="eastAsia"/>
          <w:b/>
          <w:sz w:val="24"/>
        </w:rPr>
        <w:t>一口价，不再进行二次报价。</w:t>
      </w:r>
      <w:r>
        <w:rPr>
          <w:rFonts w:hint="eastAsia"/>
          <w:sz w:val="24"/>
        </w:rPr>
        <w:t>本次报价为</w:t>
      </w:r>
      <w:r>
        <w:rPr>
          <w:rFonts w:hint="eastAsia"/>
          <w:b/>
          <w:bCs/>
          <w:sz w:val="24"/>
        </w:rPr>
        <w:t>包干价</w:t>
      </w:r>
      <w:r>
        <w:rPr>
          <w:rFonts w:hint="eastAsia"/>
          <w:sz w:val="24"/>
        </w:rPr>
        <w:t>，报价包括产品购买（制造）费、辅材费、运输费（含装卸费）、保险费、税费、安装费、检测费、因检测被破坏货物的补货费等货到采购人指定地点并完成安装、调试直至验收合格的所有费用。因竞标人自身原因造成漏报、少报皆由其自行承担责任，采购人不再补偿。</w:t>
      </w:r>
    </w:p>
    <w:p>
      <w:pPr>
        <w:rPr>
          <w:b/>
          <w:color w:val="FF0000"/>
          <w:sz w:val="24"/>
        </w:rPr>
      </w:pPr>
      <w:r>
        <w:rPr>
          <w:rFonts w:hint="eastAsia"/>
          <w:b/>
          <w:color w:val="FF0000"/>
          <w:sz w:val="24"/>
        </w:rPr>
        <w:t>3、必须须上传报价明细表（详见响应文件格式）。</w:t>
      </w:r>
    </w:p>
    <w:p>
      <w:pPr>
        <w:rPr>
          <w:b/>
          <w:sz w:val="24"/>
        </w:rPr>
      </w:pPr>
      <w:r>
        <w:rPr>
          <w:rFonts w:hint="eastAsia"/>
          <w:b/>
          <w:sz w:val="24"/>
        </w:rPr>
        <w:t>4、报价修正方法</w:t>
      </w:r>
    </w:p>
    <w:p>
      <w:pPr>
        <w:rPr>
          <w:sz w:val="24"/>
        </w:rPr>
      </w:pPr>
      <w:r>
        <w:rPr>
          <w:rFonts w:hint="eastAsia"/>
          <w:sz w:val="24"/>
        </w:rPr>
        <w:t>（1）如供应商平台填写总报价与报价函及承诺中的总报价不一致时，以二者中的低价作为总价。</w:t>
      </w:r>
    </w:p>
    <w:p>
      <w:pPr>
        <w:rPr>
          <w:sz w:val="24"/>
        </w:rPr>
      </w:pPr>
      <w:r>
        <w:rPr>
          <w:rFonts w:hint="eastAsia"/>
          <w:sz w:val="24"/>
        </w:rPr>
        <w:t>（2）如报价函及承诺中的明细分项报价（如有）汇总与总报价不一致时，以二者中的低值作为总价。如分项汇总小于总报价时，修正总报价；如分项汇总大于总报价时，同比例修正所有分项单价。</w:t>
      </w:r>
    </w:p>
    <w:p>
      <w:pPr>
        <w:rPr>
          <w:sz w:val="24"/>
        </w:rPr>
      </w:pPr>
      <w:r>
        <w:rPr>
          <w:rFonts w:hint="eastAsia"/>
          <w:sz w:val="24"/>
        </w:rPr>
        <w:t>（3）如分项数量（或标准收费）乘以单价（或结算系数）与该分项总价不一致时，按二者中的低值修正该分项的单价（结算系统）或该分项的总价、总报价。如分项数量（或标准收费）与单价（或结算系数）的乘积小于分项总价时，修正分项总价及总报价；如分项数量（或标准收费）与单价（或结算系数）的乘积大于分项总价时，修正分项单价。</w:t>
      </w:r>
    </w:p>
    <w:p>
      <w:pPr>
        <w:rPr>
          <w:sz w:val="24"/>
        </w:rPr>
      </w:pPr>
      <w:r>
        <w:rPr>
          <w:rFonts w:hint="eastAsia"/>
          <w:sz w:val="24"/>
        </w:rPr>
        <w:t>5.出现以下情形之一的，将失去成为成交供应商的资格</w:t>
      </w:r>
    </w:p>
    <w:p>
      <w:pPr>
        <w:rPr>
          <w:sz w:val="24"/>
        </w:rPr>
      </w:pPr>
      <w:r>
        <w:rPr>
          <w:rFonts w:hint="eastAsia"/>
          <w:sz w:val="24"/>
        </w:rPr>
        <w:t>（1）供应商云平台网上竞采填写报价与报价函及承诺中的报价不一致而影响云平台报价排序时。</w:t>
      </w:r>
    </w:p>
    <w:p>
      <w:pPr>
        <w:rPr>
          <w:sz w:val="24"/>
        </w:rPr>
      </w:pPr>
      <w:r>
        <w:rPr>
          <w:rFonts w:hint="eastAsia"/>
          <w:sz w:val="24"/>
        </w:rPr>
        <w:t>（2）供应商投标总价超过采购人发布的限价时；分项报价超过采购人发布的分项限价时（如有）。</w:t>
      </w:r>
    </w:p>
    <w:p>
      <w:pPr>
        <w:rPr>
          <w:sz w:val="24"/>
        </w:rPr>
      </w:pPr>
      <w:r>
        <w:rPr>
          <w:rFonts w:hint="eastAsia"/>
          <w:sz w:val="24"/>
        </w:rPr>
        <w:t>（3）供应商不同意采购人对供应商报价进行修正时。</w:t>
      </w:r>
    </w:p>
    <w:p>
      <w:pPr>
        <w:rPr>
          <w:sz w:val="24"/>
        </w:rPr>
      </w:pPr>
      <w:r>
        <w:rPr>
          <w:rFonts w:hint="eastAsia"/>
          <w:sz w:val="24"/>
        </w:rPr>
        <w:t>（4）供应商对采购人发布的响应文件格式中的内容进行了修改时。</w:t>
      </w:r>
    </w:p>
    <w:p>
      <w:pPr>
        <w:rPr>
          <w:sz w:val="24"/>
        </w:rPr>
      </w:pPr>
    </w:p>
    <w:p>
      <w:pPr>
        <w:rPr>
          <w:b/>
          <w:sz w:val="24"/>
        </w:rPr>
      </w:pPr>
      <w:bookmarkStart w:id="0" w:name="_Toc8114917"/>
      <w:r>
        <w:rPr>
          <w:rFonts w:hint="eastAsia"/>
          <w:b/>
          <w:sz w:val="24"/>
        </w:rPr>
        <w:t>三、家具制作及安装要求</w:t>
      </w:r>
      <w:bookmarkEnd w:id="0"/>
    </w:p>
    <w:p>
      <w:pPr>
        <w:rPr>
          <w:b/>
          <w:sz w:val="24"/>
        </w:rPr>
      </w:pPr>
      <w:r>
        <w:rPr>
          <w:rFonts w:hint="eastAsia"/>
          <w:b/>
          <w:sz w:val="24"/>
        </w:rPr>
        <w:t>（一）需求清单及参数详见附件1。</w:t>
      </w:r>
    </w:p>
    <w:p>
      <w:pPr>
        <w:rPr>
          <w:sz w:val="24"/>
        </w:rPr>
      </w:pPr>
      <w:r>
        <w:rPr>
          <w:rFonts w:hint="eastAsia"/>
          <w:bCs/>
          <w:sz w:val="24"/>
        </w:rPr>
        <w:t>（二）</w:t>
      </w:r>
      <w:r>
        <w:rPr>
          <w:rFonts w:hint="eastAsia"/>
          <w:sz w:val="24"/>
        </w:rPr>
        <w:t>执行标准</w:t>
      </w:r>
    </w:p>
    <w:p>
      <w:pPr>
        <w:rPr>
          <w:sz w:val="24"/>
        </w:rPr>
      </w:pPr>
      <w:r>
        <w:rPr>
          <w:rFonts w:hint="eastAsia"/>
          <w:sz w:val="24"/>
        </w:rPr>
        <w:t>GB/T3324-2017《木家具通用技术标准》</w:t>
      </w:r>
    </w:p>
    <w:p>
      <w:pPr>
        <w:rPr>
          <w:sz w:val="24"/>
        </w:rPr>
      </w:pPr>
      <w:r>
        <w:rPr>
          <w:rFonts w:hint="eastAsia"/>
          <w:sz w:val="24"/>
        </w:rPr>
        <w:t>GB/T3325-2017《金属家具通用技术条件》</w:t>
      </w:r>
    </w:p>
    <w:p>
      <w:pPr>
        <w:rPr>
          <w:sz w:val="24"/>
        </w:rPr>
      </w:pPr>
      <w:r>
        <w:rPr>
          <w:rFonts w:hint="eastAsia"/>
          <w:sz w:val="24"/>
        </w:rPr>
        <w:t>GB 18580-2017《室内装饰装修材料人造板及其制品中甲醛释放限量》</w:t>
      </w:r>
    </w:p>
    <w:p>
      <w:pPr>
        <w:rPr>
          <w:sz w:val="24"/>
        </w:rPr>
      </w:pPr>
      <w:r>
        <w:rPr>
          <w:rFonts w:hint="eastAsia"/>
          <w:sz w:val="24"/>
        </w:rPr>
        <w:t>GB 18584-2001《室内装饰装修材料 木家具中有害物质限量》</w:t>
      </w:r>
    </w:p>
    <w:p>
      <w:pPr>
        <w:rPr>
          <w:sz w:val="24"/>
        </w:rPr>
      </w:pPr>
      <w:r>
        <w:rPr>
          <w:rFonts w:hint="eastAsia"/>
          <w:sz w:val="24"/>
        </w:rPr>
        <w:t>QB/T 1951.1-2010《木质家具质量检验及质量评定》</w:t>
      </w:r>
    </w:p>
    <w:p>
      <w:pPr>
        <w:rPr>
          <w:sz w:val="24"/>
        </w:rPr>
      </w:pPr>
      <w:r>
        <w:rPr>
          <w:rFonts w:hint="eastAsia"/>
          <w:sz w:val="24"/>
        </w:rPr>
        <w:t>QB/T1951.2-2013《金属家具质量检验及质量评定》</w:t>
      </w:r>
    </w:p>
    <w:p>
      <w:pPr>
        <w:rPr>
          <w:sz w:val="24"/>
        </w:rPr>
      </w:pPr>
      <w:r>
        <w:rPr>
          <w:rFonts w:hint="eastAsia"/>
          <w:sz w:val="24"/>
        </w:rPr>
        <w:t>GB/T 34722-2017《浸渍胶膜纸饰面胶合板和细木工板》</w:t>
      </w:r>
    </w:p>
    <w:p>
      <w:pPr>
        <w:rPr>
          <w:sz w:val="24"/>
        </w:rPr>
      </w:pPr>
      <w:r>
        <w:rPr>
          <w:rFonts w:hint="eastAsia"/>
          <w:sz w:val="24"/>
        </w:rPr>
        <w:t>GB/T18259-2009《人造板及表面装饰术语》</w:t>
      </w:r>
    </w:p>
    <w:p>
      <w:pPr>
        <w:rPr>
          <w:sz w:val="24"/>
        </w:rPr>
      </w:pPr>
      <w:r>
        <w:rPr>
          <w:rFonts w:hint="eastAsia"/>
          <w:sz w:val="24"/>
        </w:rPr>
        <w:t>GB/T 18583-2008《室内装饰材料胶粘剂中害物质限量》</w:t>
      </w:r>
    </w:p>
    <w:p>
      <w:pPr>
        <w:rPr>
          <w:sz w:val="24"/>
        </w:rPr>
      </w:pPr>
      <w:r>
        <w:rPr>
          <w:rFonts w:hint="eastAsia"/>
          <w:sz w:val="24"/>
        </w:rPr>
        <w:t>GB 18581- 2020《木器涂料中有害物质限量》</w:t>
      </w:r>
    </w:p>
    <w:p>
      <w:pPr>
        <w:rPr>
          <w:sz w:val="24"/>
        </w:rPr>
      </w:pPr>
      <w:r>
        <w:rPr>
          <w:rFonts w:hint="eastAsia"/>
          <w:sz w:val="24"/>
        </w:rPr>
        <w:t>GB/T 10802-2006《通用软质聚醚型聚氨酯泡沫塑料》</w:t>
      </w:r>
    </w:p>
    <w:p>
      <w:pPr>
        <w:rPr>
          <w:sz w:val="24"/>
        </w:rPr>
      </w:pPr>
      <w:r>
        <w:rPr>
          <w:rFonts w:hint="eastAsia"/>
          <w:sz w:val="24"/>
        </w:rPr>
        <w:t>GB/T 3324-2017《木家具通用技术条件》</w:t>
      </w:r>
    </w:p>
    <w:p>
      <w:pPr>
        <w:rPr>
          <w:bCs/>
          <w:sz w:val="24"/>
        </w:rPr>
      </w:pPr>
      <w:r>
        <w:rPr>
          <w:rFonts w:hint="eastAsia"/>
          <w:sz w:val="24"/>
        </w:rPr>
        <w:t>注：如有未特别注明需执行的国家相关标准、行业标准、地方标准或其他标准、规范，则统一执行最新标准、规范。项目需求清单及参数要求中已明确规定的标准也须一并执行。</w:t>
      </w:r>
    </w:p>
    <w:p>
      <w:pPr>
        <w:rPr>
          <w:bCs/>
          <w:sz w:val="24"/>
        </w:rPr>
      </w:pPr>
      <w:r>
        <w:rPr>
          <w:rFonts w:hint="eastAsia"/>
          <w:bCs/>
          <w:sz w:val="24"/>
        </w:rPr>
        <w:t>（三）制作</w:t>
      </w:r>
    </w:p>
    <w:p>
      <w:pPr>
        <w:rPr>
          <w:bCs/>
          <w:sz w:val="24"/>
        </w:rPr>
      </w:pPr>
      <w:r>
        <w:rPr>
          <w:rFonts w:hint="eastAsia"/>
          <w:bCs/>
          <w:sz w:val="24"/>
        </w:rPr>
        <w:t>所有图片样式作为参考。家具颜色、样式等设计方案须采购人使用部门进行书面确认，一旦确认后，</w:t>
      </w:r>
      <w:r>
        <w:rPr>
          <w:rFonts w:hint="eastAsia"/>
          <w:bCs/>
          <w:sz w:val="24"/>
          <w:lang w:eastAsia="zh-CN"/>
        </w:rPr>
        <w:t>成交供应商</w:t>
      </w:r>
      <w:r>
        <w:rPr>
          <w:rFonts w:hint="eastAsia"/>
          <w:bCs/>
          <w:sz w:val="24"/>
        </w:rPr>
        <w:t>严格按确认的设计方案进行生产并安装。</w:t>
      </w:r>
    </w:p>
    <w:p>
      <w:pPr>
        <w:rPr>
          <w:bCs/>
          <w:sz w:val="24"/>
        </w:rPr>
      </w:pPr>
      <w:r>
        <w:rPr>
          <w:rFonts w:hint="eastAsia"/>
          <w:bCs/>
          <w:sz w:val="24"/>
        </w:rPr>
        <w:t>（四）施工交底</w:t>
      </w:r>
    </w:p>
    <w:p>
      <w:pPr>
        <w:rPr>
          <w:bCs/>
          <w:sz w:val="24"/>
        </w:rPr>
      </w:pPr>
      <w:r>
        <w:rPr>
          <w:rFonts w:hint="eastAsia"/>
          <w:bCs/>
          <w:sz w:val="24"/>
        </w:rPr>
        <w:t>相关家具及设施、设备到校后，由采购人使用部门组织安装、调试。</w:t>
      </w:r>
    </w:p>
    <w:p>
      <w:pPr>
        <w:rPr>
          <w:bCs/>
          <w:sz w:val="24"/>
        </w:rPr>
      </w:pPr>
      <w:r>
        <w:rPr>
          <w:rFonts w:hint="eastAsia"/>
          <w:bCs/>
          <w:sz w:val="24"/>
        </w:rPr>
        <w:t>（五）安全及环境管理</w:t>
      </w:r>
    </w:p>
    <w:p>
      <w:pPr>
        <w:rPr>
          <w:bCs/>
          <w:sz w:val="24"/>
        </w:rPr>
      </w:pPr>
      <w:r>
        <w:rPr>
          <w:rFonts w:hint="eastAsia"/>
          <w:bCs/>
          <w:sz w:val="24"/>
        </w:rPr>
        <w:t>本项目的物品保管、施工安全、消防安全、环境卫生等均由供应商自行负责，如因管理不善造成的损失由供应商全部承担。</w:t>
      </w:r>
      <w:bookmarkStart w:id="1" w:name="_Toc8114921"/>
      <w:bookmarkStart w:id="2" w:name="_Toc8114919"/>
    </w:p>
    <w:p>
      <w:pPr>
        <w:rPr>
          <w:sz w:val="24"/>
        </w:rPr>
      </w:pPr>
    </w:p>
    <w:p>
      <w:pPr>
        <w:rPr>
          <w:b/>
          <w:bCs/>
          <w:sz w:val="24"/>
        </w:rPr>
      </w:pPr>
      <w:r>
        <w:rPr>
          <w:rFonts w:hint="eastAsia"/>
          <w:b/>
          <w:bCs/>
          <w:sz w:val="24"/>
        </w:rPr>
        <w:t>四、质量保证及售后服务</w:t>
      </w:r>
      <w:bookmarkEnd w:id="1"/>
    </w:p>
    <w:p>
      <w:pPr>
        <w:rPr>
          <w:sz w:val="24"/>
        </w:rPr>
      </w:pPr>
      <w:r>
        <w:rPr>
          <w:rFonts w:hint="eastAsia"/>
          <w:sz w:val="24"/>
        </w:rPr>
        <w:t>（一）产品质量保证期</w:t>
      </w:r>
    </w:p>
    <w:p>
      <w:pPr>
        <w:rPr>
          <w:sz w:val="24"/>
        </w:rPr>
      </w:pPr>
      <w:r>
        <w:rPr>
          <w:rFonts w:hint="eastAsia"/>
          <w:sz w:val="24"/>
        </w:rPr>
        <w:t>1、竞标人应明确承诺：所有投标产品质量保证期不少于5年，免费质量保证期自项目验收合格之日起计算。</w:t>
      </w:r>
    </w:p>
    <w:p>
      <w:pPr>
        <w:rPr>
          <w:sz w:val="24"/>
        </w:rPr>
      </w:pPr>
      <w:r>
        <w:rPr>
          <w:rFonts w:hint="eastAsia"/>
          <w:sz w:val="24"/>
        </w:rPr>
        <w:t>2、投标产品属于国家规定“三包”范围的，其产品质量保证期不得低于“三包”规定。</w:t>
      </w:r>
    </w:p>
    <w:p>
      <w:pPr>
        <w:rPr>
          <w:sz w:val="24"/>
        </w:rPr>
      </w:pPr>
      <w:r>
        <w:rPr>
          <w:rFonts w:hint="eastAsia"/>
          <w:sz w:val="24"/>
        </w:rPr>
        <w:t>3、竞标人的质量保证期承诺优于国家“三包”规定的，按竞标人实际承诺执行。</w:t>
      </w:r>
    </w:p>
    <w:p>
      <w:pPr>
        <w:rPr>
          <w:sz w:val="24"/>
        </w:rPr>
      </w:pPr>
      <w:r>
        <w:rPr>
          <w:rFonts w:hint="eastAsia"/>
          <w:sz w:val="24"/>
        </w:rPr>
        <w:t>（二）售后服务内容</w:t>
      </w:r>
    </w:p>
    <w:p>
      <w:pPr>
        <w:rPr>
          <w:sz w:val="24"/>
        </w:rPr>
      </w:pPr>
      <w:r>
        <w:rPr>
          <w:rFonts w:hint="eastAsia"/>
          <w:sz w:val="24"/>
        </w:rPr>
        <w:t>1、</w:t>
      </w:r>
      <w:r>
        <w:rPr>
          <w:rFonts w:hint="eastAsia"/>
          <w:sz w:val="24"/>
          <w:lang w:eastAsia="zh-CN"/>
        </w:rPr>
        <w:t>成交供应商</w:t>
      </w:r>
      <w:r>
        <w:rPr>
          <w:rFonts w:hint="eastAsia"/>
          <w:sz w:val="24"/>
        </w:rPr>
        <w:t>提供的售后服务应符合GB/T 37652-2019《家具售后服务要求》。</w:t>
      </w:r>
    </w:p>
    <w:p>
      <w:pPr>
        <w:rPr>
          <w:sz w:val="24"/>
        </w:rPr>
      </w:pPr>
      <w:r>
        <w:rPr>
          <w:rFonts w:hint="eastAsia"/>
          <w:sz w:val="24"/>
        </w:rPr>
        <w:t>2、供应商应在质量保证期内应当为采购人提供以下技术支持和服务：</w:t>
      </w:r>
    </w:p>
    <w:p>
      <w:pPr>
        <w:rPr>
          <w:sz w:val="24"/>
        </w:rPr>
      </w:pPr>
      <w:r>
        <w:rPr>
          <w:rFonts w:hint="eastAsia"/>
          <w:sz w:val="24"/>
        </w:rPr>
        <w:t>（1）电话咨询</w:t>
      </w:r>
    </w:p>
    <w:p>
      <w:pPr>
        <w:rPr>
          <w:sz w:val="24"/>
        </w:rPr>
      </w:pPr>
      <w:r>
        <w:rPr>
          <w:rFonts w:hint="eastAsia"/>
          <w:sz w:val="24"/>
        </w:rPr>
        <w:t>供应商应当为采购人提供技术援助电话，解答采购人在使用中遇到的问题，及时为采购人提出解决问题的建议。</w:t>
      </w:r>
    </w:p>
    <w:p>
      <w:pPr>
        <w:rPr>
          <w:sz w:val="24"/>
        </w:rPr>
      </w:pPr>
      <w:r>
        <w:rPr>
          <w:rFonts w:hint="eastAsia"/>
          <w:sz w:val="24"/>
        </w:rPr>
        <w:t>（2）现场响应</w:t>
      </w:r>
    </w:p>
    <w:p>
      <w:pPr>
        <w:rPr>
          <w:sz w:val="24"/>
        </w:rPr>
      </w:pPr>
      <w:r>
        <w:rPr>
          <w:rFonts w:hint="eastAsia"/>
          <w:sz w:val="24"/>
        </w:rPr>
        <w:t>采购人遇到所有使用及技术问题，电话咨询不能解决的，供应商应在4小内到达现场免费进行处理，确保产品正常工作。</w:t>
      </w:r>
    </w:p>
    <w:p>
      <w:pPr>
        <w:rPr>
          <w:sz w:val="24"/>
        </w:rPr>
      </w:pPr>
      <w:r>
        <w:rPr>
          <w:rFonts w:hint="eastAsia"/>
          <w:sz w:val="24"/>
        </w:rPr>
        <w:t>3、质保期外服务要求</w:t>
      </w:r>
    </w:p>
    <w:p>
      <w:pPr>
        <w:rPr>
          <w:sz w:val="24"/>
        </w:rPr>
      </w:pPr>
      <w:r>
        <w:rPr>
          <w:rFonts w:hint="eastAsia"/>
          <w:sz w:val="24"/>
        </w:rPr>
        <w:t>（1）质量保证期过后，供应商应同样提供免费电话咨询服务，并应承诺提供产品上门维护服务。</w:t>
      </w:r>
    </w:p>
    <w:p>
      <w:pPr>
        <w:rPr>
          <w:sz w:val="24"/>
        </w:rPr>
      </w:pPr>
      <w:r>
        <w:rPr>
          <w:rFonts w:hint="eastAsia"/>
          <w:sz w:val="24"/>
        </w:rPr>
        <w:t>（2）质量保证期过后，采购人需要继续由原供应商提供售后服务的，该供应商应以优惠价格提供售后服务。</w:t>
      </w:r>
    </w:p>
    <w:p>
      <w:pPr>
        <w:rPr>
          <w:sz w:val="24"/>
        </w:rPr>
      </w:pPr>
      <w:r>
        <w:rPr>
          <w:rFonts w:hint="eastAsia"/>
          <w:sz w:val="24"/>
        </w:rPr>
        <w:t>（3）安装及维修时的备品备件及易损件须为原厂配件，未经需方同意，不得使用非原厂配件，且由供方根据实际情况免费提供。</w:t>
      </w:r>
    </w:p>
    <w:p>
      <w:pPr>
        <w:rPr>
          <w:sz w:val="24"/>
        </w:rPr>
      </w:pPr>
      <w:r>
        <w:rPr>
          <w:rFonts w:hint="eastAsia"/>
          <w:sz w:val="24"/>
        </w:rPr>
        <w:t>（三）若供应商有更优惠的售后服务，应当在投标文件中说明。</w:t>
      </w:r>
    </w:p>
    <w:p>
      <w:pPr>
        <w:rPr>
          <w:sz w:val="24"/>
        </w:rPr>
      </w:pPr>
    </w:p>
    <w:p>
      <w:pPr>
        <w:rPr>
          <w:b/>
          <w:bCs/>
          <w:sz w:val="24"/>
        </w:rPr>
      </w:pPr>
      <w:r>
        <w:rPr>
          <w:rFonts w:hint="eastAsia"/>
          <w:b/>
          <w:bCs/>
          <w:sz w:val="24"/>
        </w:rPr>
        <w:t>五、交货期、交货地点及验收方式</w:t>
      </w:r>
      <w:bookmarkEnd w:id="2"/>
    </w:p>
    <w:p>
      <w:pPr>
        <w:rPr>
          <w:sz w:val="24"/>
        </w:rPr>
      </w:pPr>
      <w:r>
        <w:rPr>
          <w:rFonts w:hint="eastAsia"/>
          <w:sz w:val="24"/>
        </w:rPr>
        <w:t>（一）交货期</w:t>
      </w:r>
    </w:p>
    <w:p>
      <w:pPr>
        <w:rPr>
          <w:b/>
          <w:bCs/>
          <w:sz w:val="24"/>
        </w:rPr>
      </w:pPr>
      <w:r>
        <w:rPr>
          <w:rFonts w:hint="eastAsia"/>
          <w:b/>
          <w:bCs/>
          <w:sz w:val="24"/>
        </w:rPr>
        <w:t>成交公告发布后15个工作日内完成送货并安装调试。</w:t>
      </w:r>
    </w:p>
    <w:p>
      <w:pPr>
        <w:rPr>
          <w:sz w:val="24"/>
        </w:rPr>
      </w:pPr>
      <w:r>
        <w:rPr>
          <w:rFonts w:hint="eastAsia"/>
          <w:sz w:val="24"/>
        </w:rPr>
        <w:t>（二）交货地点</w:t>
      </w:r>
    </w:p>
    <w:p>
      <w:pPr>
        <w:rPr>
          <w:sz w:val="24"/>
        </w:rPr>
      </w:pPr>
      <w:r>
        <w:rPr>
          <w:rFonts w:hint="eastAsia"/>
          <w:sz w:val="24"/>
        </w:rPr>
        <w:t>交货地点：重庆工商大学指定地点。</w:t>
      </w:r>
    </w:p>
    <w:p>
      <w:pPr>
        <w:rPr>
          <w:sz w:val="24"/>
        </w:rPr>
      </w:pPr>
      <w:r>
        <w:rPr>
          <w:rFonts w:hint="eastAsia"/>
          <w:sz w:val="24"/>
        </w:rPr>
        <w:t>（三）验收方式</w:t>
      </w:r>
    </w:p>
    <w:p>
      <w:pPr>
        <w:rPr>
          <w:rFonts w:hint="eastAsia" w:eastAsiaTheme="minorEastAsia"/>
          <w:sz w:val="24"/>
          <w:highlight w:val="none"/>
          <w:lang w:val="en-US" w:eastAsia="zh-CN"/>
        </w:rPr>
      </w:pPr>
      <w:r>
        <w:rPr>
          <w:rFonts w:hint="eastAsia"/>
          <w:sz w:val="24"/>
          <w:highlight w:val="none"/>
          <w:lang w:val="en-US" w:eastAsia="zh-CN"/>
        </w:rPr>
        <w:t>1、</w:t>
      </w:r>
      <w:r>
        <w:rPr>
          <w:rFonts w:hint="eastAsia" w:ascii="宋体" w:hAnsi="宋体" w:cs="宋体"/>
          <w:kern w:val="0"/>
          <w:sz w:val="24"/>
          <w:szCs w:val="24"/>
          <w:highlight w:val="none"/>
        </w:rPr>
        <w:t>到货验收。货物到达现场后，采购人需求部门应做好到货验收，严格按照合同及</w:t>
      </w:r>
      <w:r>
        <w:rPr>
          <w:rFonts w:hint="eastAsia" w:ascii="宋体" w:hAnsi="宋体" w:cs="宋体"/>
          <w:kern w:val="0"/>
          <w:sz w:val="24"/>
          <w:szCs w:val="24"/>
          <w:highlight w:val="none"/>
          <w:lang w:eastAsia="zh-CN"/>
        </w:rPr>
        <w:t>采购</w:t>
      </w:r>
      <w:r>
        <w:rPr>
          <w:rFonts w:hint="eastAsia" w:ascii="宋体" w:hAnsi="宋体" w:cs="宋体"/>
          <w:kern w:val="0"/>
          <w:sz w:val="24"/>
          <w:szCs w:val="24"/>
          <w:highlight w:val="none"/>
        </w:rPr>
        <w:t>文件的产品清单核实查验到货产品的品牌、型号及规格参数。</w:t>
      </w:r>
      <w:r>
        <w:rPr>
          <w:rFonts w:hint="eastAsia" w:ascii="宋体" w:hAnsi="宋体" w:cs="宋体"/>
          <w:kern w:val="0"/>
          <w:sz w:val="24"/>
          <w:szCs w:val="24"/>
          <w:highlight w:val="none"/>
          <w:lang w:eastAsia="zh-CN"/>
        </w:rPr>
        <w:t>成交供应商</w:t>
      </w:r>
      <w:r>
        <w:rPr>
          <w:rFonts w:hint="eastAsia" w:ascii="宋体" w:hAnsi="宋体" w:cs="宋体"/>
          <w:kern w:val="0"/>
          <w:sz w:val="24"/>
          <w:szCs w:val="24"/>
          <w:highlight w:val="none"/>
        </w:rPr>
        <w:t>应在采购人需求部门在场情况下当面开箱，共同清点、检查外观，作出开箱记录，双方签字确认。若到货产品品牌、型号及规格参数等与合同及招标文件的规定不符的，</w:t>
      </w:r>
      <w:r>
        <w:rPr>
          <w:rFonts w:hint="eastAsia" w:ascii="宋体" w:hAnsi="宋体" w:cs="宋体"/>
          <w:kern w:val="0"/>
          <w:sz w:val="24"/>
          <w:szCs w:val="24"/>
          <w:highlight w:val="none"/>
          <w:lang w:eastAsia="zh-CN"/>
        </w:rPr>
        <w:t>成交供应商</w:t>
      </w:r>
      <w:r>
        <w:rPr>
          <w:rFonts w:hint="eastAsia" w:ascii="宋体" w:hAnsi="宋体" w:cs="宋体"/>
          <w:kern w:val="0"/>
          <w:sz w:val="24"/>
          <w:szCs w:val="24"/>
          <w:highlight w:val="none"/>
        </w:rPr>
        <w:t>不得进行设备安装，采购人需求部门应及时告知采购人采购管理部门与归口管理部门。</w:t>
      </w:r>
    </w:p>
    <w:p>
      <w:pPr>
        <w:rPr>
          <w:sz w:val="24"/>
        </w:rPr>
      </w:pPr>
      <w:r>
        <w:rPr>
          <w:rFonts w:hint="eastAsia"/>
          <w:sz w:val="24"/>
          <w:lang w:val="en-US" w:eastAsia="zh-CN"/>
        </w:rPr>
        <w:t>2</w:t>
      </w:r>
      <w:r>
        <w:rPr>
          <w:rFonts w:hint="eastAsia"/>
          <w:sz w:val="24"/>
        </w:rPr>
        <w:t>、货物到达现场后，供应商应在使用单位人员在场情况下当面开箱，共同清点、检查外观，作出开箱记录，双方签字确认。</w:t>
      </w:r>
    </w:p>
    <w:p>
      <w:pPr>
        <w:rPr>
          <w:sz w:val="24"/>
        </w:rPr>
      </w:pPr>
      <w:r>
        <w:rPr>
          <w:rFonts w:hint="eastAsia"/>
          <w:sz w:val="24"/>
          <w:lang w:val="en-US" w:eastAsia="zh-CN"/>
        </w:rPr>
        <w:t>3</w:t>
      </w:r>
      <w:r>
        <w:rPr>
          <w:rFonts w:hint="eastAsia"/>
          <w:sz w:val="24"/>
        </w:rPr>
        <w:t>、供应商应保证货物到达采购人所在地完好无损，如有缺漏、损坏，由供应商负责调换、补齐或赔偿。</w:t>
      </w:r>
    </w:p>
    <w:p>
      <w:pPr>
        <w:rPr>
          <w:sz w:val="24"/>
        </w:rPr>
      </w:pPr>
      <w:r>
        <w:rPr>
          <w:rFonts w:hint="eastAsia"/>
          <w:sz w:val="24"/>
          <w:lang w:val="en-US" w:eastAsia="zh-CN"/>
        </w:rPr>
        <w:t>4</w:t>
      </w:r>
      <w:r>
        <w:rPr>
          <w:rFonts w:hint="eastAsia"/>
          <w:sz w:val="24"/>
        </w:rPr>
        <w:t>、供应商应提供完备的技术资料、装箱单和合格证等，并派遣专业技术人员进行现场安装调试。验收合格条件如下：</w:t>
      </w:r>
    </w:p>
    <w:p>
      <w:pPr>
        <w:rPr>
          <w:sz w:val="24"/>
        </w:rPr>
      </w:pPr>
      <w:r>
        <w:rPr>
          <w:rFonts w:hint="eastAsia"/>
          <w:sz w:val="24"/>
        </w:rPr>
        <w:t>（1）设备技术参数与采购合同一致，性能指标达到规定的标准。</w:t>
      </w:r>
    </w:p>
    <w:p>
      <w:pPr>
        <w:rPr>
          <w:sz w:val="24"/>
        </w:rPr>
      </w:pPr>
      <w:r>
        <w:rPr>
          <w:rFonts w:hint="eastAsia"/>
          <w:sz w:val="24"/>
        </w:rPr>
        <w:t>（2）货物技术资料、装箱单、合格证等资料齐全。</w:t>
      </w:r>
    </w:p>
    <w:p>
      <w:pPr>
        <w:rPr>
          <w:sz w:val="24"/>
        </w:rPr>
      </w:pPr>
      <w:r>
        <w:rPr>
          <w:rFonts w:hint="eastAsia"/>
          <w:sz w:val="24"/>
        </w:rPr>
        <w:t>（3）在系统试运行期间所出现的问题得到解决，并运行正常。</w:t>
      </w:r>
    </w:p>
    <w:p>
      <w:pPr>
        <w:rPr>
          <w:sz w:val="24"/>
        </w:rPr>
      </w:pPr>
      <w:r>
        <w:rPr>
          <w:rFonts w:hint="eastAsia"/>
          <w:sz w:val="24"/>
        </w:rPr>
        <w:t>（4）在规定时间内完成交货并验收，并经采购人确认。</w:t>
      </w:r>
    </w:p>
    <w:p>
      <w:pPr>
        <w:rPr>
          <w:sz w:val="24"/>
          <w:highlight w:val="none"/>
        </w:rPr>
      </w:pPr>
      <w:r>
        <w:rPr>
          <w:rFonts w:hint="eastAsia"/>
          <w:sz w:val="24"/>
          <w:lang w:val="en-US" w:eastAsia="zh-CN"/>
        </w:rPr>
        <w:t>5</w:t>
      </w:r>
      <w:r>
        <w:rPr>
          <w:rFonts w:hint="eastAsia"/>
          <w:sz w:val="24"/>
        </w:rPr>
        <w:t>、</w:t>
      </w:r>
      <w:r>
        <w:rPr>
          <w:rFonts w:hint="eastAsia" w:ascii="宋体" w:hAnsi="宋体" w:cs="宋体"/>
          <w:kern w:val="0"/>
          <w:sz w:val="24"/>
          <w:szCs w:val="24"/>
          <w:highlight w:val="none"/>
        </w:rPr>
        <w:t>产品在安装调试符合合同及</w:t>
      </w:r>
      <w:r>
        <w:rPr>
          <w:rFonts w:hint="eastAsia" w:ascii="宋体" w:hAnsi="宋体" w:cs="宋体"/>
          <w:kern w:val="0"/>
          <w:sz w:val="24"/>
          <w:szCs w:val="24"/>
          <w:highlight w:val="none"/>
          <w:lang w:eastAsia="zh-CN"/>
        </w:rPr>
        <w:t>采购</w:t>
      </w:r>
      <w:r>
        <w:rPr>
          <w:rFonts w:hint="eastAsia" w:ascii="宋体" w:hAnsi="宋体" w:cs="宋体"/>
          <w:kern w:val="0"/>
          <w:sz w:val="24"/>
          <w:szCs w:val="24"/>
          <w:highlight w:val="none"/>
        </w:rPr>
        <w:t>文件相关要求后，</w:t>
      </w:r>
      <w:r>
        <w:rPr>
          <w:rFonts w:hint="eastAsia" w:ascii="宋体" w:hAnsi="宋体" w:cs="宋体"/>
          <w:kern w:val="0"/>
          <w:sz w:val="24"/>
          <w:szCs w:val="24"/>
          <w:highlight w:val="none"/>
          <w:lang w:eastAsia="zh-CN"/>
        </w:rPr>
        <w:t>方可进行</w:t>
      </w:r>
      <w:r>
        <w:rPr>
          <w:rFonts w:hint="eastAsia" w:ascii="宋体" w:hAnsi="宋体" w:cs="宋体"/>
          <w:kern w:val="0"/>
          <w:sz w:val="24"/>
          <w:szCs w:val="24"/>
          <w:highlight w:val="none"/>
        </w:rPr>
        <w:t>最终验收。</w:t>
      </w:r>
    </w:p>
    <w:p>
      <w:pPr>
        <w:rPr>
          <w:sz w:val="24"/>
          <w:highlight w:val="none"/>
        </w:rPr>
      </w:pPr>
      <w:r>
        <w:rPr>
          <w:rFonts w:hint="eastAsia"/>
          <w:sz w:val="24"/>
          <w:highlight w:val="none"/>
          <w:lang w:val="en-US" w:eastAsia="zh-CN"/>
        </w:rPr>
        <w:t>6</w:t>
      </w:r>
      <w:r>
        <w:rPr>
          <w:rFonts w:hint="eastAsia"/>
          <w:sz w:val="24"/>
          <w:highlight w:val="none"/>
        </w:rPr>
        <w:t>、供应商提供的货物未达到竞价文件规定要求，由供应商承担一切责任，并赔偿所造成的损失。</w:t>
      </w:r>
    </w:p>
    <w:p>
      <w:pPr>
        <w:rPr>
          <w:sz w:val="24"/>
          <w:highlight w:val="none"/>
        </w:rPr>
      </w:pPr>
      <w:r>
        <w:rPr>
          <w:rFonts w:hint="eastAsia"/>
          <w:sz w:val="24"/>
          <w:highlight w:val="none"/>
          <w:lang w:val="en-US" w:eastAsia="zh-CN"/>
        </w:rPr>
        <w:t>7</w:t>
      </w:r>
      <w:r>
        <w:rPr>
          <w:rFonts w:hint="eastAsia"/>
          <w:sz w:val="24"/>
          <w:highlight w:val="none"/>
        </w:rPr>
        <w:t>、采购人需要制造商对供应商交付的产品（包括质量、技术参数等）进行确认的，制造商应予以配合，并出具书面意见。</w:t>
      </w:r>
    </w:p>
    <w:p>
      <w:pPr>
        <w:rPr>
          <w:sz w:val="24"/>
          <w:highlight w:val="none"/>
        </w:rPr>
      </w:pPr>
      <w:r>
        <w:rPr>
          <w:rFonts w:hint="eastAsia"/>
          <w:sz w:val="24"/>
          <w:highlight w:val="none"/>
          <w:lang w:val="en-US" w:eastAsia="zh-CN"/>
        </w:rPr>
        <w:t>8</w:t>
      </w:r>
      <w:r>
        <w:rPr>
          <w:rFonts w:hint="eastAsia"/>
          <w:sz w:val="24"/>
          <w:highlight w:val="none"/>
        </w:rPr>
        <w:t>.产品包装材料归采购人所有。</w:t>
      </w:r>
    </w:p>
    <w:p>
      <w:pPr>
        <w:rPr>
          <w:sz w:val="24"/>
          <w:highlight w:val="none"/>
        </w:rPr>
      </w:pPr>
    </w:p>
    <w:p>
      <w:pPr>
        <w:rPr>
          <w:b/>
          <w:bCs/>
          <w:sz w:val="24"/>
          <w:highlight w:val="none"/>
        </w:rPr>
      </w:pPr>
      <w:r>
        <w:rPr>
          <w:rFonts w:hint="eastAsia"/>
          <w:b/>
          <w:bCs/>
          <w:sz w:val="24"/>
          <w:highlight w:val="none"/>
        </w:rPr>
        <w:t>六、付款方式</w:t>
      </w:r>
    </w:p>
    <w:p>
      <w:pPr>
        <w:rPr>
          <w:sz w:val="24"/>
          <w:highlight w:val="none"/>
        </w:rPr>
      </w:pPr>
      <w:r>
        <w:rPr>
          <w:rFonts w:hint="eastAsia"/>
          <w:sz w:val="24"/>
          <w:highlight w:val="none"/>
        </w:rPr>
        <w:t>1、供应商按采购合同交货并安装调试完成，经验收合格后采购人出具项目验收报告；</w:t>
      </w:r>
    </w:p>
    <w:p>
      <w:pPr>
        <w:rPr>
          <w:sz w:val="24"/>
          <w:highlight w:val="none"/>
        </w:rPr>
      </w:pPr>
      <w:r>
        <w:rPr>
          <w:rFonts w:hint="eastAsia"/>
          <w:sz w:val="24"/>
          <w:highlight w:val="none"/>
        </w:rPr>
        <w:t>2、供应商向采购人开具增值税专用发票含抵扣联和记账联（若项目为硬件和软件一体的，应分别开具硬件、软件（服务）的发票），协助使用部门办理入库手续后，采购人以转账方式一次性向供应商支付合同全款。</w:t>
      </w:r>
    </w:p>
    <w:p>
      <w:pPr>
        <w:rPr>
          <w:sz w:val="24"/>
          <w:highlight w:val="none"/>
        </w:rPr>
      </w:pPr>
      <w:r>
        <w:rPr>
          <w:rFonts w:hint="eastAsia"/>
          <w:sz w:val="24"/>
          <w:highlight w:val="none"/>
        </w:rPr>
        <w:t>注：如遇寒暑假或国家重大事件，则顺延至开学或条件允许后支付。</w:t>
      </w:r>
    </w:p>
    <w:p>
      <w:pPr>
        <w:rPr>
          <w:sz w:val="24"/>
          <w:highlight w:val="none"/>
        </w:rPr>
      </w:pPr>
      <w:r>
        <w:rPr>
          <w:rFonts w:hint="eastAsia"/>
          <w:b/>
          <w:sz w:val="24"/>
          <w:highlight w:val="none"/>
        </w:rPr>
        <w:t>七、违约责任</w:t>
      </w:r>
    </w:p>
    <w:p>
      <w:pPr>
        <w:rPr>
          <w:rFonts w:hint="eastAsia"/>
          <w:sz w:val="24"/>
        </w:rPr>
      </w:pPr>
      <w:r>
        <w:rPr>
          <w:rFonts w:hint="eastAsia" w:ascii="宋体" w:hAnsi="宋体"/>
          <w:sz w:val="24"/>
          <w:szCs w:val="24"/>
          <w:highlight w:val="none"/>
          <w:lang w:val="en-US" w:eastAsia="zh-CN"/>
        </w:rPr>
        <w:t>1、</w:t>
      </w:r>
      <w:r>
        <w:rPr>
          <w:rFonts w:hint="eastAsia" w:ascii="宋体" w:hAnsi="宋体"/>
          <w:sz w:val="24"/>
          <w:szCs w:val="24"/>
          <w:highlight w:val="none"/>
        </w:rPr>
        <w:t>采购人可通过现场考察、函询等多种方式对</w:t>
      </w:r>
      <w:r>
        <w:rPr>
          <w:rFonts w:hint="eastAsia" w:ascii="宋体" w:hAnsi="宋体"/>
          <w:sz w:val="24"/>
          <w:szCs w:val="24"/>
          <w:highlight w:val="none"/>
          <w:lang w:eastAsia="zh-CN"/>
        </w:rPr>
        <w:t>成交供应商</w:t>
      </w:r>
      <w:r>
        <w:rPr>
          <w:rFonts w:hint="eastAsia" w:ascii="宋体" w:hAnsi="宋体"/>
          <w:sz w:val="24"/>
          <w:szCs w:val="24"/>
          <w:highlight w:val="none"/>
        </w:rPr>
        <w:t>的投标文件响应情况予以核查，</w:t>
      </w:r>
      <w:r>
        <w:rPr>
          <w:rFonts w:hint="eastAsia" w:ascii="宋体" w:hAnsi="宋体"/>
          <w:sz w:val="24"/>
          <w:szCs w:val="24"/>
          <w:highlight w:val="none"/>
          <w:lang w:eastAsia="zh-CN"/>
        </w:rPr>
        <w:t>成交供应商</w:t>
      </w:r>
      <w:r>
        <w:rPr>
          <w:rFonts w:hint="eastAsia" w:ascii="宋体" w:hAnsi="宋体"/>
          <w:sz w:val="24"/>
          <w:szCs w:val="24"/>
          <w:highlight w:val="none"/>
        </w:rPr>
        <w:t>须无条件配合并提供有关证明材料，证明其响应内容的真实有效性。采购人若发现</w:t>
      </w:r>
      <w:r>
        <w:rPr>
          <w:rFonts w:hint="eastAsia" w:ascii="宋体" w:hAnsi="宋体"/>
          <w:sz w:val="24"/>
          <w:szCs w:val="24"/>
          <w:highlight w:val="none"/>
          <w:lang w:eastAsia="zh-CN"/>
        </w:rPr>
        <w:t>成交供应商</w:t>
      </w:r>
      <w:r>
        <w:rPr>
          <w:rFonts w:hint="eastAsia" w:ascii="宋体" w:hAnsi="宋体"/>
          <w:sz w:val="24"/>
          <w:szCs w:val="24"/>
          <w:highlight w:val="none"/>
        </w:rPr>
        <w:t>进行虚假响应或提供虚假材料的，有权取消</w:t>
      </w:r>
      <w:r>
        <w:rPr>
          <w:rFonts w:hint="eastAsia" w:ascii="宋体" w:hAnsi="宋体"/>
          <w:sz w:val="24"/>
          <w:szCs w:val="24"/>
          <w:highlight w:val="none"/>
          <w:lang w:eastAsia="zh-CN"/>
        </w:rPr>
        <w:t>成交供应商</w:t>
      </w:r>
      <w:r>
        <w:rPr>
          <w:rFonts w:hint="eastAsia" w:ascii="宋体" w:hAnsi="宋体"/>
          <w:sz w:val="24"/>
          <w:szCs w:val="24"/>
          <w:highlight w:val="none"/>
        </w:rPr>
        <w:t>的中标资格；若在合同签订后查实</w:t>
      </w:r>
      <w:r>
        <w:rPr>
          <w:rFonts w:hint="eastAsia" w:ascii="宋体" w:hAnsi="宋体"/>
          <w:sz w:val="24"/>
          <w:szCs w:val="24"/>
          <w:highlight w:val="none"/>
          <w:lang w:eastAsia="zh-CN"/>
        </w:rPr>
        <w:t>成交供应商</w:t>
      </w:r>
      <w:r>
        <w:rPr>
          <w:rFonts w:hint="eastAsia" w:ascii="宋体" w:hAnsi="宋体"/>
          <w:sz w:val="24"/>
          <w:szCs w:val="24"/>
          <w:highlight w:val="none"/>
        </w:rPr>
        <w:t>进行虚假响应或提供虚假材料的，采购人有权单方面终止合同</w:t>
      </w:r>
      <w:r>
        <w:rPr>
          <w:rFonts w:hint="eastAsia" w:ascii="宋体" w:hAnsi="宋体"/>
          <w:sz w:val="24"/>
          <w:szCs w:val="24"/>
          <w:highlight w:val="none"/>
          <w:lang w:eastAsia="zh-CN"/>
        </w:rPr>
        <w:t>，并全额没收履约保证金</w:t>
      </w:r>
      <w:r>
        <w:rPr>
          <w:rFonts w:hint="eastAsia" w:ascii="宋体" w:hAnsi="宋体"/>
          <w:sz w:val="24"/>
          <w:szCs w:val="24"/>
          <w:highlight w:val="none"/>
        </w:rPr>
        <w:t>。在整个网上竞采采购过程中，</w:t>
      </w:r>
      <w:r>
        <w:rPr>
          <w:rFonts w:hint="eastAsia" w:ascii="宋体" w:hAnsi="宋体"/>
          <w:sz w:val="24"/>
          <w:szCs w:val="24"/>
          <w:highlight w:val="none"/>
          <w:lang w:eastAsia="zh-CN"/>
        </w:rPr>
        <w:t>成交供应商</w:t>
      </w:r>
      <w:r>
        <w:rPr>
          <w:rFonts w:hint="eastAsia" w:ascii="宋体" w:hAnsi="宋体"/>
          <w:sz w:val="24"/>
          <w:szCs w:val="24"/>
          <w:highlight w:val="none"/>
        </w:rPr>
        <w:t>若有违规行为，</w:t>
      </w:r>
      <w:r>
        <w:rPr>
          <w:rFonts w:hint="eastAsia" w:ascii="宋体" w:hAnsi="宋体"/>
          <w:sz w:val="24"/>
          <w:szCs w:val="24"/>
          <w:highlight w:val="none"/>
          <w:lang w:eastAsia="zh-CN"/>
        </w:rPr>
        <w:t>须</w:t>
      </w:r>
      <w:r>
        <w:rPr>
          <w:rFonts w:hint="eastAsia" w:ascii="宋体" w:hAnsi="宋体"/>
          <w:sz w:val="24"/>
          <w:szCs w:val="24"/>
          <w:highlight w:val="none"/>
        </w:rPr>
        <w:t>按照《中华人民共和国政府采购法》及其实施条例、重庆市政府采购云平台规定给予惩罚。</w:t>
      </w:r>
    </w:p>
    <w:p>
      <w:pPr>
        <w:rPr>
          <w:sz w:val="24"/>
        </w:rPr>
      </w:pPr>
      <w:r>
        <w:rPr>
          <w:rFonts w:hint="eastAsia"/>
          <w:sz w:val="24"/>
          <w:lang w:val="en-US" w:eastAsia="zh-CN"/>
        </w:rPr>
        <w:t>2</w:t>
      </w:r>
      <w:r>
        <w:rPr>
          <w:rFonts w:hint="eastAsia"/>
          <w:sz w:val="24"/>
        </w:rPr>
        <w:t>、因不可抗力，或需方自身原因，致使交货期限延后的，供方不承担相应违约责任。但供方须提供需方使用部门出具的同意延迟交货以及确定延迟交货期的书面情况说明，需方使用部门负责人签字并加盖需方使用部门公章。</w:t>
      </w:r>
    </w:p>
    <w:p>
      <w:pPr>
        <w:rPr>
          <w:sz w:val="24"/>
        </w:rPr>
      </w:pPr>
      <w:r>
        <w:rPr>
          <w:rFonts w:hint="eastAsia"/>
          <w:sz w:val="24"/>
          <w:lang w:val="en-US" w:eastAsia="zh-CN"/>
        </w:rPr>
        <w:t>3</w:t>
      </w:r>
      <w:r>
        <w:rPr>
          <w:rFonts w:hint="eastAsia"/>
          <w:sz w:val="24"/>
        </w:rPr>
        <w:t>、如供方在投标或履约环节出现违法、违规或违约行为，除须承担相应的经济责任之外，需方将报送重庆市财政局处以相关行政处罚，并追究相关的法律责任。</w:t>
      </w:r>
    </w:p>
    <w:p>
      <w:pPr>
        <w:rPr>
          <w:sz w:val="24"/>
        </w:rPr>
      </w:pPr>
      <w:r>
        <w:rPr>
          <w:rFonts w:hint="eastAsia"/>
          <w:sz w:val="24"/>
          <w:lang w:val="en-US" w:eastAsia="zh-CN"/>
        </w:rPr>
        <w:t>4</w:t>
      </w:r>
      <w:r>
        <w:rPr>
          <w:rFonts w:hint="eastAsia"/>
          <w:sz w:val="24"/>
        </w:rPr>
        <w:t>、其他未尽事宜按按《中华人民共和国民法典》、《中华人民共和国政府采购法》执行。</w:t>
      </w:r>
    </w:p>
    <w:p>
      <w:pPr>
        <w:rPr>
          <w:sz w:val="24"/>
        </w:rPr>
      </w:pPr>
    </w:p>
    <w:p>
      <w:pPr>
        <w:rPr>
          <w:b/>
          <w:bCs/>
          <w:sz w:val="24"/>
        </w:rPr>
      </w:pPr>
      <w:r>
        <w:rPr>
          <w:rFonts w:hint="eastAsia"/>
          <w:b/>
          <w:bCs/>
          <w:sz w:val="24"/>
        </w:rPr>
        <w:t>八、其他注意事项</w:t>
      </w:r>
    </w:p>
    <w:p>
      <w:pPr>
        <w:rPr>
          <w:sz w:val="24"/>
        </w:rPr>
      </w:pPr>
      <w:r>
        <w:rPr>
          <w:rFonts w:hint="eastAsia"/>
          <w:sz w:val="24"/>
        </w:rPr>
        <w:t>本项目的最终解释权归属于采购人采购与招投标管理中心。</w:t>
      </w:r>
    </w:p>
    <w:p>
      <w:pPr>
        <w:widowControl/>
        <w:jc w:val="center"/>
        <w:rPr>
          <w:sz w:val="24"/>
        </w:rPr>
      </w:pPr>
      <w:r>
        <w:rPr>
          <w:sz w:val="24"/>
        </w:rPr>
        <w:br w:type="page"/>
      </w:r>
      <w:bookmarkStart w:id="3" w:name="_Toc5567522"/>
    </w:p>
    <w:p>
      <w:pPr>
        <w:widowControl/>
        <w:jc w:val="left"/>
        <w:rPr>
          <w:b/>
          <w:sz w:val="24"/>
        </w:rPr>
      </w:pPr>
      <w:r>
        <w:rPr>
          <w:b/>
          <w:sz w:val="24"/>
        </w:rPr>
        <w:t>附件</w:t>
      </w:r>
      <w:r>
        <w:rPr>
          <w:rFonts w:hint="eastAsia"/>
          <w:b/>
          <w:sz w:val="24"/>
        </w:rPr>
        <w:t>1：</w:t>
      </w:r>
    </w:p>
    <w:p>
      <w:pPr>
        <w:widowControl/>
        <w:jc w:val="center"/>
        <w:rPr>
          <w:sz w:val="24"/>
        </w:rPr>
      </w:pPr>
      <w:r>
        <w:rPr>
          <w:rFonts w:hint="eastAsia"/>
          <w:b/>
          <w:sz w:val="24"/>
        </w:rPr>
        <w:t>需求清单及参数</w:t>
      </w:r>
    </w:p>
    <w:tbl>
      <w:tblPr>
        <w:tblStyle w:val="10"/>
        <w:tblW w:w="4995" w:type="pct"/>
        <w:tblInd w:w="0" w:type="dxa"/>
        <w:tblLayout w:type="fixed"/>
        <w:tblCellMar>
          <w:top w:w="0" w:type="dxa"/>
          <w:left w:w="108" w:type="dxa"/>
          <w:bottom w:w="0" w:type="dxa"/>
          <w:right w:w="108" w:type="dxa"/>
        </w:tblCellMar>
      </w:tblPr>
      <w:tblGrid>
        <w:gridCol w:w="426"/>
        <w:gridCol w:w="681"/>
        <w:gridCol w:w="1268"/>
        <w:gridCol w:w="1560"/>
        <w:gridCol w:w="4520"/>
        <w:gridCol w:w="479"/>
        <w:gridCol w:w="488"/>
        <w:gridCol w:w="423"/>
      </w:tblGrid>
      <w:tr>
        <w:tblPrEx>
          <w:tblCellMar>
            <w:top w:w="0" w:type="dxa"/>
            <w:left w:w="108" w:type="dxa"/>
            <w:bottom w:w="0" w:type="dxa"/>
            <w:right w:w="108" w:type="dxa"/>
          </w:tblCellMar>
        </w:tblPrEx>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产品名称</w:t>
            </w:r>
          </w:p>
        </w:tc>
        <w:tc>
          <w:tcPr>
            <w:tcW w:w="64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图片款式</w:t>
            </w:r>
          </w:p>
        </w:tc>
        <w:tc>
          <w:tcPr>
            <w:tcW w:w="79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规格尺寸（长*宽*高mm）</w:t>
            </w:r>
          </w:p>
        </w:tc>
        <w:tc>
          <w:tcPr>
            <w:tcW w:w="229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技术参数</w:t>
            </w: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21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CellMar>
            <w:top w:w="0" w:type="dxa"/>
            <w:left w:w="108" w:type="dxa"/>
            <w:bottom w:w="0" w:type="dxa"/>
            <w:right w:w="108" w:type="dxa"/>
          </w:tblCellMar>
        </w:tblPrEx>
        <w:tc>
          <w:tcPr>
            <w:tcW w:w="4294"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lang w:val="en-US" w:eastAsia="zh-CN"/>
              </w:rPr>
              <w:t>国合基地</w:t>
            </w:r>
            <w:r>
              <w:rPr>
                <w:rFonts w:hint="default" w:ascii="Times New Roman" w:hAnsi="Times New Roman" w:eastAsia="宋体" w:cs="Times New Roman"/>
                <w:b/>
                <w:sz w:val="21"/>
                <w:szCs w:val="21"/>
              </w:rPr>
              <w:t>（联系人：</w:t>
            </w:r>
            <w:r>
              <w:rPr>
                <w:rFonts w:hint="default" w:ascii="Times New Roman" w:hAnsi="Times New Roman" w:eastAsia="宋体" w:cs="Times New Roman"/>
                <w:b/>
                <w:sz w:val="21"/>
                <w:szCs w:val="21"/>
                <w:lang w:val="en-US" w:eastAsia="zh-CN"/>
              </w:rPr>
              <w:t>肖</w:t>
            </w:r>
            <w:r>
              <w:rPr>
                <w:rFonts w:hint="default" w:ascii="Times New Roman" w:hAnsi="Times New Roman" w:eastAsia="宋体" w:cs="Times New Roman"/>
                <w:b/>
                <w:sz w:val="21"/>
                <w:szCs w:val="21"/>
              </w:rPr>
              <w:t>老师</w:t>
            </w:r>
            <w:r>
              <w:rPr>
                <w:rFonts w:hint="default" w:ascii="Times New Roman" w:hAnsi="Times New Roman" w:eastAsia="宋体" w:cs="Times New Roman"/>
                <w:b/>
                <w:sz w:val="21"/>
                <w:szCs w:val="21"/>
                <w:lang w:val="en-US" w:eastAsia="zh-CN"/>
              </w:rPr>
              <w:t>，13452342648</w:t>
            </w:r>
            <w:r>
              <w:rPr>
                <w:rFonts w:hint="default" w:ascii="Times New Roman" w:hAnsi="Times New Roman" w:eastAsia="宋体" w:cs="Times New Roman"/>
                <w:b/>
                <w:sz w:val="21"/>
                <w:szCs w:val="21"/>
              </w:rPr>
              <w:t>）</w:t>
            </w: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2946"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实验台及配套气柜</w:t>
            </w:r>
          </w:p>
        </w:tc>
        <w:tc>
          <w:tcPr>
            <w:tcW w:w="643"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imes New Roman" w:hAnsi="Times New Roman" w:eastAsia="宋体" w:cs="Times New Roman"/>
                <w:sz w:val="21"/>
                <w:szCs w:val="21"/>
              </w:rPr>
            </w:pPr>
          </w:p>
        </w:tc>
        <w:tc>
          <w:tcPr>
            <w:tcW w:w="79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aps w:val="0"/>
                <w:spacing w:val="0"/>
                <w:sz w:val="21"/>
                <w:szCs w:val="21"/>
                <w:shd w:val="clear" w:fill="FFFFFF"/>
              </w:rPr>
            </w:pPr>
            <w:r>
              <w:rPr>
                <w:rFonts w:hint="default" w:ascii="Times New Roman" w:hAnsi="Times New Roman" w:eastAsia="宋体" w:cs="Times New Roman"/>
                <w:i w:val="0"/>
                <w:iCs w:val="0"/>
                <w:caps w:val="0"/>
                <w:spacing w:val="0"/>
                <w:sz w:val="21"/>
                <w:szCs w:val="21"/>
                <w:shd w:val="clear" w:fill="FFFFFF"/>
                <w:lang w:val="en-US" w:eastAsia="zh-CN"/>
              </w:rPr>
              <w:t>实验台：</w:t>
            </w:r>
            <w:r>
              <w:rPr>
                <w:rFonts w:hint="default" w:ascii="Times New Roman" w:hAnsi="Times New Roman" w:eastAsia="宋体" w:cs="Times New Roman"/>
                <w:i w:val="0"/>
                <w:iCs w:val="0"/>
                <w:caps w:val="0"/>
                <w:spacing w:val="0"/>
                <w:sz w:val="21"/>
                <w:szCs w:val="21"/>
                <w:shd w:val="clear" w:fill="FFFFFF"/>
              </w:rPr>
              <w:t>8980*750*800</w:t>
            </w:r>
          </w:p>
          <w:p>
            <w:pPr>
              <w:jc w:val="center"/>
              <w:rPr>
                <w:rFonts w:hint="default" w:ascii="Times New Roman" w:hAnsi="Times New Roman" w:eastAsia="宋体" w:cs="Times New Roman"/>
                <w:i w:val="0"/>
                <w:iCs w:val="0"/>
                <w:caps w:val="0"/>
                <w:spacing w:val="0"/>
                <w:sz w:val="21"/>
                <w:szCs w:val="21"/>
                <w:shd w:val="clear" w:fill="FFFFFF"/>
              </w:rPr>
            </w:pPr>
            <w:r>
              <w:rPr>
                <w:rFonts w:hint="default" w:ascii="Times New Roman" w:hAnsi="Times New Roman" w:eastAsia="宋体" w:cs="Times New Roman"/>
                <w:i w:val="0"/>
                <w:iCs w:val="0"/>
                <w:caps w:val="0"/>
                <w:spacing w:val="0"/>
                <w:sz w:val="21"/>
                <w:szCs w:val="21"/>
                <w:shd w:val="clear" w:fill="FFFFFF"/>
              </w:rPr>
              <w:t>双瓶气瓶柜</w:t>
            </w:r>
            <w:r>
              <w:rPr>
                <w:rFonts w:hint="default" w:ascii="Times New Roman" w:hAnsi="Times New Roman" w:eastAsia="宋体" w:cs="Times New Roman"/>
                <w:i w:val="0"/>
                <w:iCs w:val="0"/>
                <w:caps w:val="0"/>
                <w:spacing w:val="0"/>
                <w:sz w:val="21"/>
                <w:szCs w:val="21"/>
                <w:shd w:val="clear" w:fill="FFFFFF"/>
                <w:lang w:eastAsia="zh-CN"/>
              </w:rPr>
              <w:t>：</w:t>
            </w:r>
            <w:r>
              <w:rPr>
                <w:rFonts w:hint="default" w:ascii="Times New Roman" w:hAnsi="Times New Roman" w:eastAsia="宋体" w:cs="Times New Roman"/>
                <w:i w:val="0"/>
                <w:iCs w:val="0"/>
                <w:caps w:val="0"/>
                <w:spacing w:val="0"/>
                <w:sz w:val="21"/>
                <w:szCs w:val="21"/>
                <w:shd w:val="clear" w:fill="FFFFFF"/>
              </w:rPr>
              <w:t>900*450*1900</w:t>
            </w:r>
          </w:p>
        </w:tc>
        <w:tc>
          <w:tcPr>
            <w:tcW w:w="2295" w:type="pct"/>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333333"/>
                <w:spacing w:val="0"/>
                <w:sz w:val="21"/>
                <w:szCs w:val="21"/>
              </w:rPr>
              <w:t>1、实验台 实验台尺寸为8980*750*800；包括边台、转角柜、水槽、试剂架、滴水架等；实验台整体为钢木结构，要求具有耐强酸强碱、防火、防水、防腐蚀、耐抗击、抗刮痕、不变形、无毒、易清洁等特点。 2、双瓶气瓶柜 双瓶气瓶柜尺寸为900*450*1900，数量为2个；柜体选用1.2mm厚宝钢好的冷轧钢板，经酸洗磷化处理，外表经过环氧树脂静电喷涂，达到防酸碱及防锈之作用。门板选用可脱卸铰链，正面带视窗，视窗为防爆玻璃。柜体侧面设有PASS孔，保证柜内气体流动。内部选用固定式链条，避免气瓶倾倒。柜体底部设有可调度踏板，便利气瓶装卸。选用嵌入式高强度拉手。</w:t>
            </w: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套</w:t>
            </w:r>
          </w:p>
        </w:tc>
        <w:tc>
          <w:tcPr>
            <w:tcW w:w="214" w:type="pc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12" w:hRule="atLeast"/>
        </w:trPr>
        <w:tc>
          <w:tcPr>
            <w:tcW w:w="5000"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人工智能学院</w:t>
            </w:r>
            <w:r>
              <w:rPr>
                <w:rFonts w:hint="default" w:ascii="Times New Roman" w:hAnsi="Times New Roman" w:eastAsia="宋体" w:cs="Times New Roman"/>
                <w:b/>
                <w:bCs/>
                <w:sz w:val="21"/>
                <w:szCs w:val="21"/>
              </w:rPr>
              <w:t>（</w:t>
            </w:r>
            <w:r>
              <w:rPr>
                <w:rFonts w:hint="default" w:ascii="Times New Roman" w:hAnsi="Times New Roman" w:eastAsia="宋体" w:cs="Times New Roman"/>
                <w:b/>
                <w:sz w:val="21"/>
                <w:szCs w:val="21"/>
              </w:rPr>
              <w:t>联系人：</w:t>
            </w:r>
            <w:r>
              <w:rPr>
                <w:rFonts w:hint="default" w:ascii="Times New Roman" w:hAnsi="Times New Roman" w:eastAsia="宋体" w:cs="Times New Roman"/>
                <w:b/>
                <w:sz w:val="21"/>
                <w:szCs w:val="21"/>
                <w:lang w:val="en-US" w:eastAsia="zh-CN"/>
              </w:rPr>
              <w:t>熊</w:t>
            </w:r>
            <w:r>
              <w:rPr>
                <w:rFonts w:hint="default" w:ascii="Times New Roman" w:hAnsi="Times New Roman" w:eastAsia="宋体" w:cs="Times New Roman"/>
                <w:b/>
                <w:sz w:val="21"/>
                <w:szCs w:val="21"/>
              </w:rPr>
              <w:t>老师</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13983882331）</w:t>
            </w:r>
          </w:p>
        </w:tc>
      </w:tr>
      <w:tr>
        <w:tblPrEx>
          <w:tblCellMar>
            <w:top w:w="0" w:type="dxa"/>
            <w:left w:w="108" w:type="dxa"/>
            <w:bottom w:w="0" w:type="dxa"/>
            <w:right w:w="108" w:type="dxa"/>
          </w:tblCellMar>
        </w:tblPrEx>
        <w:trPr>
          <w:trHeight w:val="558"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333333"/>
                <w:spacing w:val="0"/>
                <w:sz w:val="21"/>
                <w:szCs w:val="21"/>
              </w:rPr>
              <w:t>办公桌</w:t>
            </w:r>
          </w:p>
        </w:tc>
        <w:tc>
          <w:tcPr>
            <w:tcW w:w="643"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801370" cy="561975"/>
                  <wp:effectExtent l="0" t="0" r="1143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801370" cy="561975"/>
                          </a:xfrm>
                          <a:prstGeom prst="rect">
                            <a:avLst/>
                          </a:prstGeom>
                          <a:noFill/>
                          <a:ln w="1">
                            <a:noFill/>
                            <a:miter lim="800000"/>
                            <a:headEnd/>
                            <a:tailEnd type="none" w="med" len="med"/>
                          </a:ln>
                          <a:effectLst/>
                        </pic:spPr>
                      </pic:pic>
                    </a:graphicData>
                  </a:graphic>
                </wp:inline>
              </w:drawing>
            </w:r>
          </w:p>
        </w:tc>
        <w:tc>
          <w:tcPr>
            <w:tcW w:w="79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1400*700*760</w:t>
            </w:r>
          </w:p>
        </w:tc>
        <w:tc>
          <w:tcPr>
            <w:tcW w:w="2295" w:type="pct"/>
            <w:tcBorders>
              <w:top w:val="single" w:color="000000" w:sz="4" w:space="0"/>
              <w:left w:val="single" w:color="000000" w:sz="4" w:space="0"/>
              <w:bottom w:val="single" w:color="000000" w:sz="4" w:space="0"/>
              <w:right w:val="single" w:color="000000" w:sz="4" w:space="0"/>
            </w:tcBorders>
            <w:vAlign w:val="center"/>
          </w:tcPr>
          <w:p>
            <w:pPr>
              <w:spacing w:line="400" w:lineRule="exact"/>
              <w:outlineLvl w:val="2"/>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 1、桌面及两侧立脚的厚度25mm，背板及搁板厚度16mm，E1级三聚氢氨板；2、封边：采用厚度2.2mmPVC直封边，无缝、防水；封边颜色为台面近似色；3、热熔胶：优质热溶胶封边。胶合性能极佳，抗温差候变较强、不易老化，不脱胶，不褪色、柔韧适中，无异味4、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 5、颜色：红胡桃木色</w:t>
            </w:r>
          </w:p>
        </w:tc>
        <w:tc>
          <w:tcPr>
            <w:tcW w:w="243" w:type="pct"/>
            <w:tcBorders>
              <w:top w:val="single" w:color="000000" w:sz="4" w:space="0"/>
              <w:left w:val="single" w:color="000000" w:sz="4" w:space="0"/>
              <w:bottom w:val="single" w:color="000000" w:sz="4" w:space="0"/>
              <w:right w:val="single" w:color="000000" w:sz="4" w:space="0"/>
            </w:tcBorders>
            <w:vAlign w:val="center"/>
          </w:tcPr>
          <w:p>
            <w:pPr>
              <w:pStyle w:val="6"/>
              <w:spacing w:line="240" w:lineRule="auto"/>
              <w:ind w:left="0"/>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张</w:t>
            </w:r>
          </w:p>
        </w:tc>
        <w:tc>
          <w:tcPr>
            <w:tcW w:w="214" w:type="pc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1338"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333333"/>
                <w:spacing w:val="0"/>
                <w:sz w:val="21"/>
                <w:szCs w:val="21"/>
              </w:rPr>
              <w:t>职员转椅</w:t>
            </w:r>
          </w:p>
        </w:tc>
        <w:tc>
          <w:tcPr>
            <w:tcW w:w="643"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450215" cy="652145"/>
                  <wp:effectExtent l="0" t="0" r="6985" b="8255"/>
                  <wp:docPr id="4" name="Picture 1" descr="C:\Users\user\Documents\Tencent Files\360223993\Image\C2C\}XFNJMMA{S`3N]L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user\Documents\Tencent Files\360223993\Image\C2C\}XFNJMMA{S`3N]L4(_[`1`1.jpg"/>
                          <pic:cNvPicPr>
                            <a:picLocks noChangeAspect="1" noChangeArrowheads="1"/>
                          </pic:cNvPicPr>
                        </pic:nvPicPr>
                        <pic:blipFill>
                          <a:blip r:embed="rId6"/>
                          <a:srcRect/>
                          <a:stretch>
                            <a:fillRect/>
                          </a:stretch>
                        </pic:blipFill>
                        <pic:spPr>
                          <a:xfrm>
                            <a:off x="0" y="0"/>
                            <a:ext cx="450215" cy="652145"/>
                          </a:xfrm>
                          <a:prstGeom prst="rect">
                            <a:avLst/>
                          </a:prstGeom>
                          <a:noFill/>
                        </pic:spPr>
                      </pic:pic>
                    </a:graphicData>
                  </a:graphic>
                </wp:inline>
              </w:drawing>
            </w:r>
          </w:p>
        </w:tc>
        <w:tc>
          <w:tcPr>
            <w:tcW w:w="79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550*600*950-1010</w:t>
            </w:r>
          </w:p>
        </w:tc>
        <w:tc>
          <w:tcPr>
            <w:tcW w:w="2295" w:type="pct"/>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1）坐板基材:整体采用优质E1级实木多层板，甲醛释放量符合国家标准（GB18580）小于1.5mg/L，可承受 250kg压力,经过耐酸碱、防虫、防腐特殊处理。 2）面材：优质网状布艺饰面，坐感舒适、透气性强 3）海绵：高回弹45#PU发泡海绵，拉伸强度（KPa）≥180，伸长率（%）≥120，回弹率（%）≥40，撕裂强度（N/cm）≥2产品符合GB/T 10802-2006《通用软质聚醚型聚氨酯泡沫塑料》标准要求，回弹率 ≥44，检验依据须符合国家最新标准《GB/T 10802-2006通用软质聚醮型聚氨酯泡沫塑料》。 4）脚架：优质不锈钢脚架；采用1.2mm厚不锈钢管压铸成型；经磷化，酸洗，固化，清洗后镀铬处理，增加轴表面的防腐蚀性能。 5）工艺：面料缝线无跳针或明显浮线；无断线脱线现象或外露线头，嵌线圆滑顺直，圆弧处均匀对称；皮料包覆平服饱满无明显皱折，松紧均匀无明显松弛现象；</w:t>
            </w:r>
          </w:p>
        </w:tc>
        <w:tc>
          <w:tcPr>
            <w:tcW w:w="243" w:type="pct"/>
            <w:tcBorders>
              <w:top w:val="single" w:color="000000" w:sz="4" w:space="0"/>
              <w:left w:val="single" w:color="000000" w:sz="4" w:space="0"/>
              <w:bottom w:val="single" w:color="000000" w:sz="4" w:space="0"/>
              <w:right w:val="single" w:color="000000" w:sz="4" w:space="0"/>
            </w:tcBorders>
            <w:vAlign w:val="center"/>
          </w:tcPr>
          <w:p>
            <w:pPr>
              <w:pStyle w:val="6"/>
              <w:spacing w:line="240" w:lineRule="auto"/>
              <w:ind w:left="0"/>
              <w:jc w:val="center"/>
              <w:outlineLvl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把</w:t>
            </w:r>
          </w:p>
        </w:tc>
        <w:tc>
          <w:tcPr>
            <w:tcW w:w="214" w:type="pc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2876"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333333"/>
                <w:spacing w:val="0"/>
                <w:sz w:val="21"/>
                <w:szCs w:val="21"/>
              </w:rPr>
              <w:t>五节铁皮柜</w:t>
            </w:r>
          </w:p>
        </w:tc>
        <w:tc>
          <w:tcPr>
            <w:tcW w:w="643"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953135" cy="1148715"/>
                  <wp:effectExtent l="0" t="0" r="1206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a:lum bright="-12000"/>
                          </a:blip>
                          <a:srcRect/>
                          <a:stretch>
                            <a:fillRect/>
                          </a:stretch>
                        </pic:blipFill>
                        <pic:spPr>
                          <a:xfrm>
                            <a:off x="0" y="0"/>
                            <a:ext cx="953135" cy="1148715"/>
                          </a:xfrm>
                          <a:prstGeom prst="rect">
                            <a:avLst/>
                          </a:prstGeom>
                          <a:noFill/>
                          <a:ln w="9525">
                            <a:noFill/>
                            <a:miter lim="800000"/>
                            <a:headEnd/>
                            <a:tailEnd/>
                          </a:ln>
                        </pic:spPr>
                      </pic:pic>
                    </a:graphicData>
                  </a:graphic>
                </wp:inline>
              </w:drawing>
            </w:r>
          </w:p>
        </w:tc>
        <w:tc>
          <w:tcPr>
            <w:tcW w:w="79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333333"/>
                <w:spacing w:val="0"/>
                <w:sz w:val="21"/>
                <w:szCs w:val="21"/>
              </w:rPr>
              <w:t>850*390*1950</w:t>
            </w:r>
          </w:p>
        </w:tc>
        <w:tc>
          <w:tcPr>
            <w:tcW w:w="22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iCs w:val="0"/>
                <w:caps w:val="0"/>
                <w:color w:val="333333"/>
                <w:spacing w:val="0"/>
                <w:sz w:val="21"/>
                <w:szCs w:val="21"/>
              </w:rPr>
              <w:t>2、采用优质品牌冷钆钢； 3、柜体：优质冷轧钢板，钢板厚度采用≥0.8mm标准，表面采用酸洗淋化、静电粉末喷涂处理； 4、柜门：优质冷轧钢板，钢板厚度采用足1.0mm标准，表面采用酸洗淋化、静电粉末喷涂处理，上下门采用铁皮门，均配锁； 5、搁板：优质冷轧钢板，钢板厚度采用足1.0mm标准，表面采用酸洗淋化、静电粉末喷涂处理，搁板底部加横梁处理，加大承重力，同时搁板支撑架加固。柜体由五节拼接而成，每层可独立使用 6、整体毛重≧40KG/个。 7、五金件：优质定位铰链；（开启角度为125°）；柜门拉手采用内嵌拉手。 8、外表处理：磨砂静电喷塑工艺 9、颜色：灰白色</w:t>
            </w:r>
            <w:r>
              <w:rPr>
                <w:rFonts w:hint="default" w:ascii="Times New Roman" w:hAnsi="Times New Roman" w:eastAsia="宋体" w:cs="Times New Roman"/>
                <w:color w:val="000000"/>
                <w:kern w:val="0"/>
                <w:sz w:val="21"/>
                <w:szCs w:val="21"/>
                <w:lang w:bidi="ar"/>
              </w:rPr>
              <w:t>7.工艺：经磷化，酸洗，固化，清洗后镀铬处理，增加轴表面的防腐蚀性能。</w:t>
            </w:r>
          </w:p>
        </w:tc>
        <w:tc>
          <w:tcPr>
            <w:tcW w:w="243" w:type="pct"/>
            <w:tcBorders>
              <w:top w:val="single" w:color="000000" w:sz="4" w:space="0"/>
              <w:left w:val="single" w:color="000000" w:sz="4" w:space="0"/>
              <w:bottom w:val="single" w:color="000000" w:sz="4" w:space="0"/>
              <w:right w:val="single" w:color="000000" w:sz="4" w:space="0"/>
            </w:tcBorders>
            <w:vAlign w:val="center"/>
          </w:tcPr>
          <w:p>
            <w:pPr>
              <w:pStyle w:val="6"/>
              <w:spacing w:line="240" w:lineRule="auto"/>
              <w:ind w:left="0"/>
              <w:jc w:val="center"/>
              <w:outlineLvl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组</w:t>
            </w:r>
          </w:p>
        </w:tc>
        <w:tc>
          <w:tcPr>
            <w:tcW w:w="214" w:type="pc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sz w:val="21"/>
                <w:szCs w:val="21"/>
              </w:rPr>
            </w:pPr>
          </w:p>
        </w:tc>
      </w:tr>
    </w:tbl>
    <w:p>
      <w:pPr>
        <w:widowControl/>
        <w:jc w:val="left"/>
        <w:rPr>
          <w:sz w:val="24"/>
        </w:rPr>
      </w:pPr>
      <w:r>
        <w:rPr>
          <w:sz w:val="24"/>
        </w:rPr>
        <w:br w:type="page"/>
      </w:r>
    </w:p>
    <w:bookmarkEnd w:id="3"/>
    <w:p>
      <w:pPr>
        <w:rPr>
          <w:rFonts w:ascii="黑体" w:hAnsi="黑体" w:eastAsia="黑体"/>
          <w:sz w:val="30"/>
          <w:szCs w:val="30"/>
        </w:rPr>
      </w:pPr>
      <w:r>
        <w:rPr>
          <w:rFonts w:hint="eastAsia" w:ascii="黑体" w:hAnsi="黑体" w:eastAsia="黑体" w:cs="宋体"/>
          <w:sz w:val="30"/>
          <w:szCs w:val="30"/>
        </w:rPr>
        <w:t>合同格式</w:t>
      </w:r>
    </w:p>
    <w:p>
      <w:pPr>
        <w:spacing w:line="500" w:lineRule="exact"/>
        <w:jc w:val="center"/>
        <w:rPr>
          <w:b/>
          <w:color w:val="000000" w:themeColor="text1"/>
          <w:sz w:val="36"/>
          <w:szCs w:val="20"/>
          <w14:textFill>
            <w14:solidFill>
              <w14:schemeClr w14:val="tx1"/>
            </w14:solidFill>
          </w14:textFill>
        </w:rPr>
      </w:pPr>
      <w:r>
        <w:rPr>
          <w:rFonts w:hint="eastAsia"/>
          <w:b/>
          <w:color w:val="000000" w:themeColor="text1"/>
          <w:sz w:val="36"/>
          <w:szCs w:val="20"/>
          <w14:textFill>
            <w14:solidFill>
              <w14:schemeClr w14:val="tx1"/>
            </w14:solidFill>
          </w14:textFill>
        </w:rPr>
        <w:t>重庆工商大学学生处、党政办、通识学院、科研处、纪检监察室家具采购合同</w:t>
      </w:r>
    </w:p>
    <w:p>
      <w:pPr>
        <w:spacing w:line="500" w:lineRule="exact"/>
        <w:jc w:val="center"/>
        <w:rPr>
          <w:b/>
          <w:color w:val="FF0000"/>
          <w:sz w:val="36"/>
          <w:szCs w:val="20"/>
        </w:rPr>
      </w:pPr>
      <w:r>
        <w:rPr>
          <w:rFonts w:hint="eastAsia"/>
          <w:sz w:val="28"/>
          <w:szCs w:val="20"/>
        </w:rPr>
        <w:t>（采购项目编号：CTBU-JZ202303</w:t>
      </w:r>
      <w:r>
        <w:rPr>
          <w:rFonts w:hint="eastAsia"/>
          <w:sz w:val="28"/>
          <w:szCs w:val="20"/>
          <w:lang w:val="en-US" w:eastAsia="zh-CN"/>
        </w:rPr>
        <w:t>8</w:t>
      </w:r>
      <w:r>
        <w:rPr>
          <w:rFonts w:hint="eastAsia"/>
          <w:sz w:val="28"/>
          <w:szCs w:val="20"/>
        </w:rPr>
        <w:t>）</w:t>
      </w:r>
    </w:p>
    <w:p>
      <w:pPr>
        <w:spacing w:line="500" w:lineRule="exact"/>
        <w:jc w:val="center"/>
        <w:rPr>
          <w:sz w:val="28"/>
          <w:szCs w:val="20"/>
        </w:rPr>
      </w:pPr>
    </w:p>
    <w:p>
      <w:pPr>
        <w:spacing w:line="500" w:lineRule="exact"/>
        <w:rPr>
          <w:sz w:val="24"/>
        </w:rPr>
      </w:pPr>
      <w:r>
        <w:rPr>
          <w:rFonts w:hint="eastAsia"/>
          <w:sz w:val="24"/>
        </w:rPr>
        <w:t>甲方（需方）：__</w:t>
      </w:r>
      <w:r>
        <w:rPr>
          <w:rFonts w:hint="eastAsia"/>
          <w:sz w:val="24"/>
          <w:u w:val="single"/>
        </w:rPr>
        <w:t>重庆工商大学</w:t>
      </w:r>
      <w:r>
        <w:rPr>
          <w:rFonts w:hint="eastAsia"/>
          <w:sz w:val="24"/>
        </w:rPr>
        <w:t>_______      计价单位：______</w:t>
      </w:r>
      <w:r>
        <w:rPr>
          <w:rFonts w:hint="eastAsia"/>
          <w:sz w:val="24"/>
          <w:u w:val="single"/>
        </w:rPr>
        <w:t>元_</w:t>
      </w:r>
      <w:r>
        <w:rPr>
          <w:rFonts w:hint="eastAsia"/>
          <w:sz w:val="24"/>
        </w:rPr>
        <w:t>____</w:t>
      </w:r>
    </w:p>
    <w:p>
      <w:pPr>
        <w:spacing w:line="500" w:lineRule="exact"/>
        <w:rPr>
          <w:sz w:val="24"/>
        </w:rPr>
      </w:pPr>
      <w:r>
        <w:rPr>
          <w:rFonts w:hint="eastAsia"/>
          <w:sz w:val="24"/>
        </w:rPr>
        <w:t>乙方（供方）：_____________________      计量单位：_____________</w:t>
      </w:r>
    </w:p>
    <w:p>
      <w:pPr>
        <w:spacing w:line="500" w:lineRule="exact"/>
        <w:rPr>
          <w:sz w:val="24"/>
        </w:rPr>
      </w:pPr>
    </w:p>
    <w:p>
      <w:pPr>
        <w:spacing w:line="500" w:lineRule="exact"/>
        <w:rPr>
          <w:sz w:val="24"/>
        </w:rPr>
      </w:pPr>
      <w:r>
        <w:rPr>
          <w:rFonts w:hint="eastAsia"/>
          <w:sz w:val="24"/>
        </w:rPr>
        <w:t>经双方协商一致，达成以下购销合同：</w:t>
      </w:r>
    </w:p>
    <w:tbl>
      <w:tblPr>
        <w:tblStyle w:val="10"/>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65"/>
        <w:gridCol w:w="1348"/>
        <w:gridCol w:w="1333"/>
        <w:gridCol w:w="569"/>
        <w:gridCol w:w="688"/>
        <w:gridCol w:w="912"/>
        <w:gridCol w:w="851"/>
        <w:gridCol w:w="850"/>
        <w:gridCol w:w="97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jc w:val="center"/>
        </w:trPr>
        <w:tc>
          <w:tcPr>
            <w:tcW w:w="1328" w:type="dxa"/>
            <w:vAlign w:val="center"/>
          </w:tcPr>
          <w:p>
            <w:pPr>
              <w:spacing w:line="240" w:lineRule="atLeast"/>
              <w:jc w:val="center"/>
              <w:rPr>
                <w:b/>
                <w:sz w:val="24"/>
              </w:rPr>
            </w:pPr>
            <w:r>
              <w:rPr>
                <w:rFonts w:hint="eastAsia"/>
                <w:b/>
                <w:sz w:val="24"/>
              </w:rPr>
              <w:t>商品名称</w:t>
            </w:r>
          </w:p>
        </w:tc>
        <w:tc>
          <w:tcPr>
            <w:tcW w:w="765" w:type="dxa"/>
            <w:vAlign w:val="center"/>
          </w:tcPr>
          <w:p>
            <w:pPr>
              <w:spacing w:line="240" w:lineRule="atLeast"/>
              <w:jc w:val="center"/>
              <w:rPr>
                <w:b/>
                <w:sz w:val="24"/>
              </w:rPr>
            </w:pPr>
            <w:r>
              <w:rPr>
                <w:rFonts w:hint="eastAsia"/>
                <w:b/>
                <w:sz w:val="24"/>
              </w:rPr>
              <w:t>品牌</w:t>
            </w:r>
          </w:p>
          <w:p>
            <w:pPr>
              <w:spacing w:line="240" w:lineRule="atLeast"/>
              <w:jc w:val="center"/>
              <w:rPr>
                <w:b/>
                <w:sz w:val="24"/>
              </w:rPr>
            </w:pPr>
            <w:r>
              <w:rPr>
                <w:rFonts w:hint="eastAsia"/>
                <w:b/>
                <w:sz w:val="24"/>
              </w:rPr>
              <w:t>产地</w:t>
            </w:r>
          </w:p>
        </w:tc>
        <w:tc>
          <w:tcPr>
            <w:tcW w:w="1348" w:type="dxa"/>
            <w:vAlign w:val="center"/>
          </w:tcPr>
          <w:p>
            <w:pPr>
              <w:spacing w:line="240" w:lineRule="atLeast"/>
              <w:jc w:val="center"/>
              <w:rPr>
                <w:b/>
                <w:sz w:val="24"/>
              </w:rPr>
            </w:pPr>
            <w:r>
              <w:rPr>
                <w:rFonts w:hint="eastAsia"/>
                <w:b/>
                <w:sz w:val="24"/>
              </w:rPr>
              <w:t>生产</w:t>
            </w:r>
          </w:p>
          <w:p>
            <w:pPr>
              <w:spacing w:line="240" w:lineRule="atLeast"/>
              <w:jc w:val="center"/>
              <w:rPr>
                <w:b/>
                <w:sz w:val="24"/>
              </w:rPr>
            </w:pPr>
            <w:r>
              <w:rPr>
                <w:rFonts w:hint="eastAsia"/>
                <w:b/>
                <w:sz w:val="24"/>
              </w:rPr>
              <w:t>厂商</w:t>
            </w:r>
          </w:p>
        </w:tc>
        <w:tc>
          <w:tcPr>
            <w:tcW w:w="1902" w:type="dxa"/>
            <w:gridSpan w:val="2"/>
            <w:vAlign w:val="center"/>
          </w:tcPr>
          <w:p>
            <w:pPr>
              <w:spacing w:line="240" w:lineRule="atLeast"/>
              <w:jc w:val="center"/>
              <w:rPr>
                <w:b/>
                <w:sz w:val="24"/>
              </w:rPr>
            </w:pPr>
            <w:r>
              <w:rPr>
                <w:rFonts w:hint="eastAsia"/>
                <w:b/>
                <w:sz w:val="24"/>
              </w:rPr>
              <w:t>规格型号</w:t>
            </w:r>
          </w:p>
        </w:tc>
        <w:tc>
          <w:tcPr>
            <w:tcW w:w="688" w:type="dxa"/>
            <w:vAlign w:val="center"/>
          </w:tcPr>
          <w:p>
            <w:pPr>
              <w:spacing w:line="240" w:lineRule="atLeast"/>
              <w:jc w:val="center"/>
              <w:rPr>
                <w:b/>
                <w:sz w:val="24"/>
              </w:rPr>
            </w:pPr>
            <w:r>
              <w:rPr>
                <w:rFonts w:hint="eastAsia"/>
                <w:b/>
                <w:sz w:val="24"/>
              </w:rPr>
              <w:t>数量</w:t>
            </w:r>
          </w:p>
        </w:tc>
        <w:tc>
          <w:tcPr>
            <w:tcW w:w="912" w:type="dxa"/>
            <w:vAlign w:val="center"/>
          </w:tcPr>
          <w:p>
            <w:pPr>
              <w:spacing w:line="240" w:lineRule="atLeast"/>
              <w:jc w:val="center"/>
              <w:rPr>
                <w:b/>
                <w:sz w:val="24"/>
              </w:rPr>
            </w:pPr>
            <w:r>
              <w:rPr>
                <w:rFonts w:hint="eastAsia"/>
                <w:b/>
                <w:sz w:val="24"/>
              </w:rPr>
              <w:t>单价（元）</w:t>
            </w:r>
          </w:p>
        </w:tc>
        <w:tc>
          <w:tcPr>
            <w:tcW w:w="851" w:type="dxa"/>
            <w:vAlign w:val="center"/>
          </w:tcPr>
          <w:p>
            <w:pPr>
              <w:spacing w:line="240" w:lineRule="atLeast"/>
              <w:jc w:val="center"/>
              <w:rPr>
                <w:b/>
                <w:sz w:val="24"/>
              </w:rPr>
            </w:pPr>
            <w:r>
              <w:rPr>
                <w:rFonts w:hint="eastAsia"/>
                <w:b/>
                <w:sz w:val="24"/>
              </w:rPr>
              <w:t>总价（元）</w:t>
            </w:r>
          </w:p>
        </w:tc>
        <w:tc>
          <w:tcPr>
            <w:tcW w:w="850" w:type="dxa"/>
            <w:vAlign w:val="center"/>
          </w:tcPr>
          <w:p>
            <w:pPr>
              <w:spacing w:line="240" w:lineRule="atLeast"/>
              <w:jc w:val="center"/>
              <w:rPr>
                <w:b/>
                <w:sz w:val="24"/>
              </w:rPr>
            </w:pPr>
            <w:r>
              <w:rPr>
                <w:rFonts w:hint="eastAsia"/>
                <w:b/>
                <w:sz w:val="24"/>
              </w:rPr>
              <w:t>交货时间</w:t>
            </w:r>
          </w:p>
        </w:tc>
        <w:tc>
          <w:tcPr>
            <w:tcW w:w="973" w:type="dxa"/>
            <w:vAlign w:val="center"/>
          </w:tcPr>
          <w:p>
            <w:pPr>
              <w:spacing w:line="240" w:lineRule="atLeast"/>
              <w:jc w:val="center"/>
              <w:rPr>
                <w:b/>
                <w:sz w:val="24"/>
              </w:rPr>
            </w:pPr>
            <w:r>
              <w:rPr>
                <w:rFonts w:hint="eastAsia"/>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7794" w:type="dxa"/>
            <w:gridSpan w:val="8"/>
          </w:tcPr>
          <w:p>
            <w:pPr>
              <w:widowControl/>
              <w:textAlignment w:val="center"/>
              <w:rPr>
                <w:rFonts w:hint="eastAsia" w:eastAsiaTheme="minorEastAsia"/>
                <w:sz w:val="24"/>
                <w:lang w:eastAsia="zh-CN"/>
              </w:rPr>
            </w:pPr>
            <w:r>
              <w:rPr>
                <w:rFonts w:hint="eastAsia" w:cs="宋体" w:asciiTheme="minorEastAsia" w:hAnsiTheme="minorEastAsia"/>
                <w:b/>
                <w:szCs w:val="21"/>
                <w:lang w:val="en-US" w:eastAsia="zh-CN"/>
              </w:rPr>
              <w:t>国合基地</w:t>
            </w:r>
          </w:p>
        </w:tc>
        <w:tc>
          <w:tcPr>
            <w:tcW w:w="850" w:type="dxa"/>
            <w:vMerge w:val="restart"/>
            <w:vAlign w:val="center"/>
          </w:tcPr>
          <w:p>
            <w:pPr>
              <w:spacing w:line="240" w:lineRule="atLeast"/>
              <w:jc w:val="center"/>
              <w:rPr>
                <w:sz w:val="24"/>
              </w:rPr>
            </w:pPr>
          </w:p>
        </w:tc>
        <w:tc>
          <w:tcPr>
            <w:tcW w:w="973" w:type="dxa"/>
            <w:vMerge w:val="restart"/>
            <w:vAlign w:val="center"/>
          </w:tcPr>
          <w:p>
            <w:pPr>
              <w:spacing w:line="240" w:lineRule="atLeast"/>
              <w:jc w:val="center"/>
              <w:rPr>
                <w:sz w:val="24"/>
              </w:rPr>
            </w:pPr>
            <w:r>
              <w:rPr>
                <w:rFonts w:hint="eastAsia"/>
                <w:sz w:val="24"/>
              </w:rPr>
              <w:t>重庆工商大学指定地点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28" w:type="dxa"/>
          </w:tcPr>
          <w:p>
            <w:pPr>
              <w:rPr>
                <w:rFonts w:asciiTheme="minorEastAsia" w:hAnsiTheme="minorEastAsia"/>
                <w:b/>
                <w:szCs w:val="21"/>
              </w:rPr>
            </w:pPr>
          </w:p>
        </w:tc>
        <w:tc>
          <w:tcPr>
            <w:tcW w:w="765" w:type="dxa"/>
            <w:vAlign w:val="center"/>
          </w:tcPr>
          <w:p>
            <w:pPr>
              <w:tabs>
                <w:tab w:val="left" w:pos="222"/>
              </w:tabs>
              <w:spacing w:line="240" w:lineRule="atLeast"/>
              <w:rPr>
                <w:sz w:val="24"/>
              </w:rPr>
            </w:pPr>
          </w:p>
        </w:tc>
        <w:tc>
          <w:tcPr>
            <w:tcW w:w="1348" w:type="dxa"/>
            <w:vAlign w:val="center"/>
          </w:tcPr>
          <w:p>
            <w:pPr>
              <w:spacing w:line="240" w:lineRule="atLeast"/>
              <w:jc w:val="center"/>
              <w:rPr>
                <w:sz w:val="24"/>
              </w:rPr>
            </w:pPr>
          </w:p>
        </w:tc>
        <w:tc>
          <w:tcPr>
            <w:tcW w:w="1902" w:type="dxa"/>
            <w:gridSpan w:val="2"/>
            <w:vAlign w:val="center"/>
          </w:tcPr>
          <w:p>
            <w:pPr>
              <w:widowControl/>
              <w:textAlignment w:val="center"/>
              <w:rPr>
                <w:sz w:val="24"/>
              </w:rPr>
            </w:pPr>
          </w:p>
        </w:tc>
        <w:tc>
          <w:tcPr>
            <w:tcW w:w="688" w:type="dxa"/>
            <w:vAlign w:val="center"/>
          </w:tcPr>
          <w:p>
            <w:pPr>
              <w:widowControl/>
              <w:textAlignment w:val="center"/>
              <w:rPr>
                <w:sz w:val="24"/>
              </w:rPr>
            </w:pPr>
          </w:p>
        </w:tc>
        <w:tc>
          <w:tcPr>
            <w:tcW w:w="912" w:type="dxa"/>
            <w:vAlign w:val="center"/>
          </w:tcPr>
          <w:p>
            <w:pPr>
              <w:widowControl/>
              <w:textAlignment w:val="center"/>
              <w:rPr>
                <w:sz w:val="24"/>
              </w:rPr>
            </w:pPr>
          </w:p>
        </w:tc>
        <w:tc>
          <w:tcPr>
            <w:tcW w:w="851" w:type="dxa"/>
            <w:vAlign w:val="center"/>
          </w:tcPr>
          <w:p>
            <w:pPr>
              <w:widowControl/>
              <w:textAlignment w:val="center"/>
              <w:rPr>
                <w:sz w:val="24"/>
              </w:rPr>
            </w:pPr>
          </w:p>
        </w:tc>
        <w:tc>
          <w:tcPr>
            <w:tcW w:w="850" w:type="dxa"/>
            <w:vMerge w:val="continue"/>
            <w:vAlign w:val="center"/>
          </w:tcPr>
          <w:p>
            <w:pPr>
              <w:spacing w:line="240" w:lineRule="atLeast"/>
              <w:jc w:val="center"/>
              <w:rPr>
                <w:sz w:val="24"/>
              </w:rPr>
            </w:pPr>
          </w:p>
        </w:tc>
        <w:tc>
          <w:tcPr>
            <w:tcW w:w="973" w:type="dxa"/>
            <w:vMerge w:val="continue"/>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2" w:hRule="atLeast"/>
          <w:jc w:val="center"/>
        </w:trPr>
        <w:tc>
          <w:tcPr>
            <w:tcW w:w="7794" w:type="dxa"/>
            <w:gridSpan w:val="8"/>
          </w:tcPr>
          <w:p>
            <w:pPr>
              <w:widowControl/>
              <w:textAlignment w:val="center"/>
              <w:rPr>
                <w:rFonts w:hint="eastAsia" w:eastAsiaTheme="minorEastAsia"/>
                <w:sz w:val="24"/>
                <w:lang w:eastAsia="zh-CN"/>
              </w:rPr>
            </w:pPr>
            <w:r>
              <w:rPr>
                <w:rFonts w:hint="eastAsia" w:asciiTheme="minorEastAsia" w:hAnsiTheme="minorEastAsia"/>
                <w:b/>
                <w:szCs w:val="21"/>
                <w:lang w:val="en-US" w:eastAsia="zh-CN"/>
              </w:rPr>
              <w:t>人工智能学院</w:t>
            </w:r>
          </w:p>
        </w:tc>
        <w:tc>
          <w:tcPr>
            <w:tcW w:w="850" w:type="dxa"/>
            <w:vMerge w:val="continue"/>
            <w:vAlign w:val="center"/>
          </w:tcPr>
          <w:p>
            <w:pPr>
              <w:spacing w:line="240" w:lineRule="atLeast"/>
              <w:jc w:val="center"/>
              <w:rPr>
                <w:sz w:val="24"/>
              </w:rPr>
            </w:pPr>
          </w:p>
        </w:tc>
        <w:tc>
          <w:tcPr>
            <w:tcW w:w="973" w:type="dxa"/>
            <w:vMerge w:val="continue"/>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28" w:type="dxa"/>
          </w:tcPr>
          <w:p>
            <w:pPr>
              <w:rPr>
                <w:rFonts w:cs="宋体" w:asciiTheme="minorEastAsia" w:hAnsiTheme="minorEastAsia"/>
                <w:b/>
                <w:szCs w:val="21"/>
              </w:rPr>
            </w:pPr>
          </w:p>
        </w:tc>
        <w:tc>
          <w:tcPr>
            <w:tcW w:w="765" w:type="dxa"/>
            <w:vAlign w:val="center"/>
          </w:tcPr>
          <w:p>
            <w:pPr>
              <w:tabs>
                <w:tab w:val="left" w:pos="222"/>
              </w:tabs>
              <w:spacing w:line="240" w:lineRule="atLeast"/>
              <w:rPr>
                <w:sz w:val="24"/>
              </w:rPr>
            </w:pPr>
          </w:p>
        </w:tc>
        <w:tc>
          <w:tcPr>
            <w:tcW w:w="1348" w:type="dxa"/>
            <w:vAlign w:val="center"/>
          </w:tcPr>
          <w:p>
            <w:pPr>
              <w:spacing w:line="240" w:lineRule="atLeast"/>
              <w:jc w:val="center"/>
              <w:rPr>
                <w:sz w:val="24"/>
              </w:rPr>
            </w:pPr>
          </w:p>
        </w:tc>
        <w:tc>
          <w:tcPr>
            <w:tcW w:w="1902" w:type="dxa"/>
            <w:gridSpan w:val="2"/>
            <w:vAlign w:val="center"/>
          </w:tcPr>
          <w:p>
            <w:pPr>
              <w:widowControl/>
              <w:textAlignment w:val="center"/>
              <w:rPr>
                <w:sz w:val="24"/>
              </w:rPr>
            </w:pPr>
          </w:p>
        </w:tc>
        <w:tc>
          <w:tcPr>
            <w:tcW w:w="688" w:type="dxa"/>
            <w:vAlign w:val="center"/>
          </w:tcPr>
          <w:p>
            <w:pPr>
              <w:widowControl/>
              <w:textAlignment w:val="center"/>
              <w:rPr>
                <w:sz w:val="24"/>
              </w:rPr>
            </w:pPr>
          </w:p>
        </w:tc>
        <w:tc>
          <w:tcPr>
            <w:tcW w:w="912" w:type="dxa"/>
            <w:vAlign w:val="center"/>
          </w:tcPr>
          <w:p>
            <w:pPr>
              <w:widowControl/>
              <w:textAlignment w:val="center"/>
              <w:rPr>
                <w:sz w:val="24"/>
              </w:rPr>
            </w:pPr>
          </w:p>
        </w:tc>
        <w:tc>
          <w:tcPr>
            <w:tcW w:w="851" w:type="dxa"/>
            <w:vAlign w:val="center"/>
          </w:tcPr>
          <w:p>
            <w:pPr>
              <w:widowControl/>
              <w:textAlignment w:val="center"/>
              <w:rPr>
                <w:sz w:val="24"/>
              </w:rPr>
            </w:pPr>
          </w:p>
        </w:tc>
        <w:tc>
          <w:tcPr>
            <w:tcW w:w="850" w:type="dxa"/>
            <w:vMerge w:val="continue"/>
            <w:vAlign w:val="center"/>
          </w:tcPr>
          <w:p>
            <w:pPr>
              <w:spacing w:line="240" w:lineRule="atLeast"/>
              <w:jc w:val="center"/>
              <w:rPr>
                <w:sz w:val="24"/>
              </w:rPr>
            </w:pPr>
          </w:p>
        </w:tc>
        <w:tc>
          <w:tcPr>
            <w:tcW w:w="973" w:type="dxa"/>
            <w:vMerge w:val="continue"/>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vAlign w:val="center"/>
          </w:tcPr>
          <w:p>
            <w:pPr>
              <w:spacing w:line="240" w:lineRule="atLeast"/>
              <w:rPr>
                <w:sz w:val="24"/>
              </w:rPr>
            </w:pPr>
            <w:r>
              <w:rPr>
                <w:rFonts w:hint="eastAsia"/>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vAlign w:val="center"/>
          </w:tcPr>
          <w:p>
            <w:pPr>
              <w:spacing w:line="240" w:lineRule="atLeast"/>
              <w:rPr>
                <w:sz w:val="24"/>
              </w:rPr>
            </w:pPr>
            <w:r>
              <w:rPr>
                <w:rFonts w:hint="eastAsia"/>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vAlign w:val="center"/>
          </w:tcPr>
          <w:p>
            <w:pPr>
              <w:spacing w:line="240" w:lineRule="atLeast"/>
              <w:rPr>
                <w:sz w:val="24"/>
              </w:rPr>
            </w:pPr>
            <w:r>
              <w:rPr>
                <w:rFonts w:hint="eastAsia"/>
                <w:sz w:val="24"/>
              </w:rPr>
              <w:t>备注：</w:t>
            </w:r>
          </w:p>
          <w:p>
            <w:pPr>
              <w:spacing w:line="240" w:lineRule="atLeast"/>
              <w:rPr>
                <w:sz w:val="24"/>
              </w:rPr>
            </w:pPr>
            <w:r>
              <w:rPr>
                <w:rFonts w:hint="eastAsia"/>
                <w:sz w:val="24"/>
              </w:rPr>
              <w:t xml:space="preserve">合同价为包干价，包括产品购买（制造）费、辅材费、运输费（含装卸费）、保险费、税费、安装费、检测费、因检测被破坏货物的补货费等货到需方指定地点并完成安装、调试直至验收合格的所有费用。因供方自身原因造成漏报、少报皆由其自行承担责任，需方不再补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tcPr>
          <w:p>
            <w:pPr>
              <w:rPr>
                <w:b/>
                <w:sz w:val="24"/>
              </w:rPr>
            </w:pPr>
            <w:r>
              <w:rPr>
                <w:rFonts w:hint="eastAsia"/>
                <w:b/>
                <w:sz w:val="24"/>
              </w:rPr>
              <w:t>一、质量要求和技术标准</w:t>
            </w:r>
          </w:p>
          <w:p>
            <w:pPr>
              <w:rPr>
                <w:sz w:val="24"/>
              </w:rPr>
            </w:pPr>
            <w:r>
              <w:rPr>
                <w:rFonts w:hint="eastAsia"/>
                <w:sz w:val="24"/>
              </w:rPr>
              <w:t>供方的质量保证及售后服务承诺如下：</w:t>
            </w:r>
          </w:p>
          <w:p>
            <w:pPr>
              <w:rPr>
                <w:sz w:val="24"/>
              </w:rPr>
            </w:pPr>
            <w:r>
              <w:rPr>
                <w:rFonts w:hint="eastAsia"/>
                <w:sz w:val="24"/>
              </w:rPr>
              <w:t>1.供方交付的产品必须是全新的，完全符合国家有关技术标准，详细技术参数详见附件。</w:t>
            </w:r>
          </w:p>
          <w:p>
            <w:pPr>
              <w:rPr>
                <w:sz w:val="24"/>
              </w:rPr>
            </w:pPr>
            <w:r>
              <w:rPr>
                <w:rFonts w:hint="eastAsia"/>
                <w:sz w:val="24"/>
              </w:rPr>
              <w:t>2.供方对交付的产品提供原厂免费质量保证期为X年，自项目验收合格之日起计算。</w:t>
            </w:r>
          </w:p>
          <w:p>
            <w:pPr>
              <w:rPr>
                <w:sz w:val="24"/>
              </w:rPr>
            </w:pPr>
            <w:r>
              <w:rPr>
                <w:rFonts w:hint="eastAsia"/>
                <w:sz w:val="24"/>
              </w:rPr>
              <w:t>3.售后服务内容</w:t>
            </w:r>
          </w:p>
          <w:p>
            <w:pPr>
              <w:rPr>
                <w:sz w:val="24"/>
              </w:rPr>
            </w:pPr>
            <w:r>
              <w:rPr>
                <w:rFonts w:hint="eastAsia"/>
                <w:sz w:val="24"/>
              </w:rPr>
              <w:t>供方提供的售后服务应符合GB/T 37652-2019《家具售后服务要求》。</w:t>
            </w:r>
          </w:p>
          <w:p>
            <w:pPr>
              <w:rPr>
                <w:bCs/>
                <w:sz w:val="24"/>
              </w:rPr>
            </w:pPr>
            <w:r>
              <w:rPr>
                <w:rFonts w:hint="eastAsia"/>
                <w:bCs/>
                <w:sz w:val="24"/>
              </w:rPr>
              <w:t>供方应在质量保证期内应当为需方提供以下技术支持和服务：</w:t>
            </w:r>
          </w:p>
          <w:p>
            <w:pPr>
              <w:rPr>
                <w:sz w:val="24"/>
              </w:rPr>
            </w:pPr>
            <w:r>
              <w:rPr>
                <w:rFonts w:hint="eastAsia"/>
                <w:sz w:val="24"/>
              </w:rPr>
              <w:t>（1）电话咨询</w:t>
            </w:r>
          </w:p>
          <w:p>
            <w:pPr>
              <w:rPr>
                <w:sz w:val="24"/>
              </w:rPr>
            </w:pPr>
            <w:r>
              <w:rPr>
                <w:rFonts w:hint="eastAsia"/>
                <w:sz w:val="24"/>
              </w:rPr>
              <w:t>供方应当为需方提供技术援助电话，解答需方在使用中遇到的问题，及时为需方提出解决问题的建议。</w:t>
            </w:r>
          </w:p>
          <w:p>
            <w:pPr>
              <w:rPr>
                <w:sz w:val="24"/>
              </w:rPr>
            </w:pPr>
            <w:r>
              <w:rPr>
                <w:rFonts w:hint="eastAsia"/>
                <w:sz w:val="24"/>
              </w:rPr>
              <w:t>（2）现场响应</w:t>
            </w:r>
          </w:p>
          <w:p>
            <w:pPr>
              <w:rPr>
                <w:sz w:val="24"/>
              </w:rPr>
            </w:pPr>
            <w:r>
              <w:rPr>
                <w:rFonts w:hint="eastAsia"/>
                <w:sz w:val="24"/>
              </w:rPr>
              <w:t>需方遇到所有使用及技术问题，电话咨询不能解决的，供方应在4小内到达现场免费进行处理，确保产品正常工作。</w:t>
            </w:r>
          </w:p>
          <w:p>
            <w:pPr>
              <w:rPr>
                <w:bCs/>
                <w:sz w:val="24"/>
              </w:rPr>
            </w:pPr>
            <w:r>
              <w:rPr>
                <w:rFonts w:hint="eastAsia"/>
                <w:bCs/>
                <w:sz w:val="24"/>
              </w:rPr>
              <w:t>4.质保期外服务要求：</w:t>
            </w:r>
          </w:p>
          <w:p>
            <w:pPr>
              <w:rPr>
                <w:sz w:val="24"/>
              </w:rPr>
            </w:pPr>
            <w:r>
              <w:rPr>
                <w:rFonts w:hint="eastAsia"/>
                <w:sz w:val="24"/>
              </w:rPr>
              <w:t>（1）质量保证期过后，供方应同样提供免费电话咨询服务，并应承诺提供产品上门维护服务。</w:t>
            </w:r>
          </w:p>
          <w:p>
            <w:pPr>
              <w:rPr>
                <w:sz w:val="24"/>
              </w:rPr>
            </w:pPr>
            <w:r>
              <w:rPr>
                <w:rFonts w:hint="eastAsia"/>
                <w:sz w:val="24"/>
              </w:rPr>
              <w:t>（2）质量保证期过后，需方需要继续由原供方提供售后服务的，供方应以优惠价格提供售后服务。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tcPr>
          <w:p>
            <w:pPr>
              <w:rPr>
                <w:b/>
                <w:sz w:val="24"/>
              </w:rPr>
            </w:pPr>
            <w:r>
              <w:rPr>
                <w:rFonts w:hint="eastAsia"/>
                <w:b/>
                <w:sz w:val="24"/>
              </w:rPr>
              <w:t>二、家具制作及安装要求</w:t>
            </w:r>
          </w:p>
          <w:p>
            <w:pPr>
              <w:rPr>
                <w:sz w:val="24"/>
              </w:rPr>
            </w:pPr>
            <w:r>
              <w:rPr>
                <w:rFonts w:hint="eastAsia"/>
                <w:sz w:val="24"/>
              </w:rPr>
              <w:t>1.执行标准</w:t>
            </w:r>
          </w:p>
          <w:p>
            <w:pPr>
              <w:rPr>
                <w:sz w:val="24"/>
              </w:rPr>
            </w:pPr>
            <w:r>
              <w:rPr>
                <w:rFonts w:hint="eastAsia"/>
                <w:sz w:val="24"/>
              </w:rPr>
              <w:t>GB/T3324-2017《木家具通用技术标准》</w:t>
            </w:r>
          </w:p>
          <w:p>
            <w:pPr>
              <w:rPr>
                <w:sz w:val="24"/>
              </w:rPr>
            </w:pPr>
            <w:r>
              <w:rPr>
                <w:rFonts w:hint="eastAsia"/>
                <w:sz w:val="24"/>
              </w:rPr>
              <w:t>GB/T3325-2017《金属家具通用技术条件》</w:t>
            </w:r>
          </w:p>
          <w:p>
            <w:pPr>
              <w:rPr>
                <w:sz w:val="24"/>
              </w:rPr>
            </w:pPr>
            <w:r>
              <w:rPr>
                <w:rFonts w:hint="eastAsia"/>
                <w:sz w:val="24"/>
              </w:rPr>
              <w:t>GB 18580-2017《室内装饰装修材料人造板及其制品中甲醛释放限量》</w:t>
            </w:r>
          </w:p>
          <w:p>
            <w:pPr>
              <w:rPr>
                <w:sz w:val="24"/>
              </w:rPr>
            </w:pPr>
            <w:r>
              <w:rPr>
                <w:rFonts w:hint="eastAsia"/>
                <w:sz w:val="24"/>
              </w:rPr>
              <w:t>GB 18584-2001《室内装饰装修材料 木家具中有害物质限量》</w:t>
            </w:r>
          </w:p>
          <w:p>
            <w:pPr>
              <w:rPr>
                <w:sz w:val="24"/>
              </w:rPr>
            </w:pPr>
            <w:r>
              <w:rPr>
                <w:rFonts w:hint="eastAsia"/>
                <w:sz w:val="24"/>
              </w:rPr>
              <w:t>QB/T 1951.1-2010《木质家具质量检验及质量评定》</w:t>
            </w:r>
          </w:p>
          <w:p>
            <w:pPr>
              <w:rPr>
                <w:sz w:val="24"/>
              </w:rPr>
            </w:pPr>
            <w:r>
              <w:rPr>
                <w:rFonts w:hint="eastAsia"/>
                <w:sz w:val="24"/>
              </w:rPr>
              <w:t>QB/T1951.2-2013《金属家具质量检验及质量评定》</w:t>
            </w:r>
          </w:p>
          <w:p>
            <w:pPr>
              <w:rPr>
                <w:sz w:val="24"/>
              </w:rPr>
            </w:pPr>
            <w:r>
              <w:rPr>
                <w:rFonts w:hint="eastAsia"/>
                <w:sz w:val="24"/>
              </w:rPr>
              <w:t>GB/T 34722-2017《浸渍胶膜纸饰面胶合板和细木工板》</w:t>
            </w:r>
          </w:p>
          <w:p>
            <w:pPr>
              <w:rPr>
                <w:sz w:val="24"/>
              </w:rPr>
            </w:pPr>
            <w:r>
              <w:rPr>
                <w:rFonts w:hint="eastAsia"/>
                <w:sz w:val="24"/>
              </w:rPr>
              <w:t>GB/T18259-2009《人造板及表面装饰术语》</w:t>
            </w:r>
          </w:p>
          <w:p>
            <w:pPr>
              <w:rPr>
                <w:sz w:val="24"/>
              </w:rPr>
            </w:pPr>
            <w:r>
              <w:rPr>
                <w:rFonts w:hint="eastAsia"/>
                <w:sz w:val="24"/>
              </w:rPr>
              <w:t>GB/T 18583-2008《室内装饰材料胶粘剂中害物质限量》</w:t>
            </w:r>
          </w:p>
          <w:p>
            <w:pPr>
              <w:rPr>
                <w:sz w:val="24"/>
              </w:rPr>
            </w:pPr>
            <w:r>
              <w:rPr>
                <w:rFonts w:hint="eastAsia"/>
                <w:sz w:val="24"/>
              </w:rPr>
              <w:t>GB 18581- 2020《木器涂料中有害物质限量》</w:t>
            </w:r>
          </w:p>
          <w:p>
            <w:pPr>
              <w:rPr>
                <w:sz w:val="24"/>
              </w:rPr>
            </w:pPr>
            <w:r>
              <w:rPr>
                <w:rFonts w:hint="eastAsia"/>
                <w:sz w:val="24"/>
              </w:rPr>
              <w:t>GB/T 10802-2006《通用软质聚醚型聚氨酯泡沫塑料》</w:t>
            </w:r>
          </w:p>
          <w:p>
            <w:pPr>
              <w:rPr>
                <w:sz w:val="24"/>
              </w:rPr>
            </w:pPr>
            <w:r>
              <w:rPr>
                <w:rFonts w:hint="eastAsia"/>
                <w:sz w:val="24"/>
              </w:rPr>
              <w:t>GB/T 3324-2017《木家具通用技术条件》</w:t>
            </w:r>
          </w:p>
          <w:p>
            <w:pPr>
              <w:rPr>
                <w:bCs/>
                <w:sz w:val="24"/>
              </w:rPr>
            </w:pPr>
            <w:r>
              <w:rPr>
                <w:rFonts w:hint="eastAsia"/>
                <w:sz w:val="24"/>
              </w:rPr>
              <w:t>注：如有未特别注明需执行的国家相关标准、行业标准、地方标准或其他标准、规范，则统一执行最新标准、规范。项目需求清单及参数要求中已明确规定的标准也须一并执行。</w:t>
            </w:r>
          </w:p>
          <w:p>
            <w:pPr>
              <w:rPr>
                <w:sz w:val="24"/>
              </w:rPr>
            </w:pPr>
            <w:r>
              <w:rPr>
                <w:rFonts w:hint="eastAsia"/>
                <w:sz w:val="24"/>
              </w:rPr>
              <w:t>2.制作</w:t>
            </w:r>
          </w:p>
          <w:p>
            <w:pPr>
              <w:rPr>
                <w:sz w:val="24"/>
              </w:rPr>
            </w:pPr>
            <w:r>
              <w:rPr>
                <w:rFonts w:hint="eastAsia"/>
                <w:sz w:val="24"/>
              </w:rPr>
              <w:t>家具色板及家具加工方案细化后需要需方使用部门进行书面确认，一旦确认后，供方严格按确认的设计方案、施工方案进行批量加工生产。</w:t>
            </w:r>
          </w:p>
          <w:p>
            <w:pPr>
              <w:rPr>
                <w:sz w:val="24"/>
              </w:rPr>
            </w:pPr>
            <w:r>
              <w:rPr>
                <w:rFonts w:hint="eastAsia"/>
                <w:sz w:val="24"/>
              </w:rPr>
              <w:t>3.施工交底</w:t>
            </w:r>
          </w:p>
          <w:p>
            <w:pPr>
              <w:rPr>
                <w:sz w:val="24"/>
              </w:rPr>
            </w:pPr>
            <w:r>
              <w:rPr>
                <w:rFonts w:hint="eastAsia"/>
                <w:sz w:val="24"/>
              </w:rPr>
              <w:t>相关家具及设施、设备到校后，由需方使用部门组织安装、调试。</w:t>
            </w:r>
          </w:p>
          <w:p>
            <w:pPr>
              <w:rPr>
                <w:sz w:val="24"/>
              </w:rPr>
            </w:pPr>
            <w:r>
              <w:rPr>
                <w:rFonts w:hint="eastAsia"/>
                <w:sz w:val="24"/>
              </w:rPr>
              <w:t>4.安全及环境管理</w:t>
            </w:r>
          </w:p>
          <w:p>
            <w:pPr>
              <w:rPr>
                <w:sz w:val="24"/>
              </w:rPr>
            </w:pPr>
            <w:r>
              <w:rPr>
                <w:rFonts w:hint="eastAsia"/>
                <w:sz w:val="24"/>
              </w:rPr>
              <w:t>本项目的物品保管、施工安全、消防安全、环境卫生等均由供方自行负责，如因管理不善造成的损失由供方全部承担。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7" w:type="dxa"/>
            <w:gridSpan w:val="10"/>
          </w:tcPr>
          <w:p>
            <w:pPr>
              <w:numPr>
                <w:ilvl w:val="0"/>
                <w:numId w:val="1"/>
              </w:numPr>
              <w:snapToGrid w:val="0"/>
              <w:spacing w:line="440" w:lineRule="exact"/>
              <w:jc w:val="left"/>
              <w:rPr>
                <w:sz w:val="24"/>
              </w:rPr>
            </w:pPr>
            <w:r>
              <w:rPr>
                <w:rFonts w:hint="eastAsia"/>
                <w:sz w:val="24"/>
              </w:rPr>
              <w:t>交提货方式</w:t>
            </w:r>
          </w:p>
          <w:p>
            <w:pPr>
              <w:rPr>
                <w:sz w:val="24"/>
              </w:rPr>
            </w:pPr>
            <w:r>
              <w:rPr>
                <w:rFonts w:hint="eastAsia"/>
                <w:sz w:val="24"/>
              </w:rPr>
              <w:t>供方在成交公告发布后15个工作日内交货并完成安装调试，全部货物由供方免费送货到需方指定点并安装调试完毕。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2" w:type="dxa"/>
            <w:gridSpan w:val="11"/>
          </w:tcPr>
          <w:p>
            <w:pPr>
              <w:spacing w:line="400" w:lineRule="exact"/>
              <w:rPr>
                <w:rFonts w:cs="宋体"/>
                <w:sz w:val="24"/>
              </w:rPr>
            </w:pPr>
            <w:r>
              <w:rPr>
                <w:rFonts w:hint="eastAsia" w:cs="宋体"/>
                <w:sz w:val="24"/>
              </w:rPr>
              <w:t>四、验收标准、方法</w:t>
            </w:r>
          </w:p>
          <w:p>
            <w:pPr>
              <w:spacing w:line="400" w:lineRule="exact"/>
              <w:rPr>
                <w:rFonts w:hint="eastAsia" w:cs="宋体"/>
                <w:sz w:val="24"/>
                <w:highlight w:val="none"/>
                <w:lang w:val="en-US" w:eastAsia="zh-CN"/>
              </w:rPr>
            </w:pPr>
            <w:r>
              <w:rPr>
                <w:rFonts w:hint="eastAsia" w:cs="宋体"/>
                <w:sz w:val="24"/>
                <w:highlight w:val="none"/>
                <w:lang w:val="en-US" w:eastAsia="zh-CN"/>
              </w:rPr>
              <w:t>1.到货验收。货物到达现场后，需方需求部门应做好到货验收，严格按照合同及采购文件的产品清单核实查验到货产品的品牌、型号及规格参数。供方应在需方需求部门在场情况下当面开箱，共同清点、检查外观，作出开箱记录，双方签字确认。若到货产品品牌、型号及规格参数等与合同及采购文件的规定不符的，供方不得进行设备安装，需方需求部门应及时告知需方采购管理部门与归口管理部门。</w:t>
            </w:r>
          </w:p>
          <w:p>
            <w:pPr>
              <w:spacing w:line="400" w:lineRule="exact"/>
              <w:rPr>
                <w:rFonts w:hint="eastAsia" w:cs="宋体"/>
                <w:sz w:val="24"/>
              </w:rPr>
            </w:pPr>
            <w:r>
              <w:rPr>
                <w:rFonts w:hint="eastAsia" w:cs="宋体"/>
                <w:sz w:val="24"/>
                <w:lang w:val="en-US" w:eastAsia="zh-CN"/>
              </w:rPr>
              <w:t>2.供方应保证货物到达需方所在地完好无损，如有缺漏、损坏，由供应商负责调换、补齐或赔偿。</w:t>
            </w:r>
          </w:p>
          <w:p>
            <w:pPr>
              <w:spacing w:line="400" w:lineRule="exact"/>
              <w:rPr>
                <w:rFonts w:cs="宋体"/>
                <w:sz w:val="24"/>
              </w:rPr>
            </w:pPr>
            <w:r>
              <w:rPr>
                <w:rFonts w:hint="eastAsia" w:cs="宋体"/>
                <w:sz w:val="24"/>
                <w:lang w:val="en-US" w:eastAsia="zh-CN"/>
              </w:rPr>
              <w:t>3</w:t>
            </w:r>
            <w:r>
              <w:rPr>
                <w:rFonts w:hint="eastAsia" w:cs="宋体"/>
                <w:sz w:val="24"/>
              </w:rPr>
              <w:t>.货物到达现场后，供方应在使用单位人员在场情况下当面开箱，共同清点、检查外观，作出开箱记录，双方签字确认。</w:t>
            </w:r>
          </w:p>
          <w:p>
            <w:pPr>
              <w:spacing w:line="400" w:lineRule="exact"/>
              <w:rPr>
                <w:rFonts w:cs="宋体"/>
                <w:sz w:val="24"/>
              </w:rPr>
            </w:pPr>
            <w:r>
              <w:rPr>
                <w:rFonts w:hint="eastAsia" w:cs="宋体"/>
                <w:sz w:val="24"/>
                <w:lang w:val="en-US" w:eastAsia="zh-CN"/>
              </w:rPr>
              <w:t>4</w:t>
            </w:r>
            <w:r>
              <w:rPr>
                <w:rFonts w:hint="eastAsia" w:cs="宋体"/>
                <w:sz w:val="24"/>
              </w:rPr>
              <w:t>.供方应保证货物到达需方所在地完好无损，如有缺漏、损坏，由供方负责调换、补齐或赔偿。</w:t>
            </w:r>
          </w:p>
          <w:p>
            <w:pPr>
              <w:spacing w:line="400" w:lineRule="exact"/>
              <w:rPr>
                <w:rFonts w:cs="宋体"/>
                <w:sz w:val="24"/>
              </w:rPr>
            </w:pPr>
            <w:r>
              <w:rPr>
                <w:rFonts w:hint="eastAsia" w:cs="宋体"/>
                <w:sz w:val="24"/>
                <w:lang w:val="en-US" w:eastAsia="zh-CN"/>
              </w:rPr>
              <w:t>5</w:t>
            </w:r>
            <w:r>
              <w:rPr>
                <w:rFonts w:hint="eastAsia" w:cs="宋体"/>
                <w:sz w:val="24"/>
              </w:rPr>
              <w:t>.供方应提供完备的技术资料、装箱单和合格证等，并派遣专业技术人员进行现场安装调试。验收合格条件如下：</w:t>
            </w:r>
          </w:p>
          <w:p>
            <w:pPr>
              <w:spacing w:line="400" w:lineRule="exact"/>
              <w:rPr>
                <w:rFonts w:cs="宋体"/>
                <w:sz w:val="24"/>
              </w:rPr>
            </w:pPr>
            <w:r>
              <w:rPr>
                <w:rFonts w:hint="eastAsia" w:cs="宋体"/>
                <w:sz w:val="24"/>
              </w:rPr>
              <w:t>（1）设备技术参数与采购合同一致，性能指标达到规定的标准。</w:t>
            </w:r>
          </w:p>
          <w:p>
            <w:pPr>
              <w:spacing w:line="400" w:lineRule="exact"/>
              <w:rPr>
                <w:rFonts w:cs="宋体"/>
                <w:sz w:val="24"/>
              </w:rPr>
            </w:pPr>
            <w:r>
              <w:rPr>
                <w:rFonts w:hint="eastAsia" w:cs="宋体"/>
                <w:sz w:val="24"/>
              </w:rPr>
              <w:t>（2）货物技术资料、装箱单、合格证等资料齐全。</w:t>
            </w:r>
          </w:p>
          <w:p>
            <w:pPr>
              <w:spacing w:line="400" w:lineRule="exact"/>
              <w:rPr>
                <w:rFonts w:cs="宋体"/>
                <w:sz w:val="24"/>
              </w:rPr>
            </w:pPr>
            <w:r>
              <w:rPr>
                <w:rFonts w:hint="eastAsia" w:cs="宋体"/>
                <w:sz w:val="24"/>
              </w:rPr>
              <w:t>（3）在系统试运行期间所出现的问题得到解决，并运行正常。</w:t>
            </w:r>
          </w:p>
          <w:p>
            <w:pPr>
              <w:spacing w:line="400" w:lineRule="exact"/>
              <w:rPr>
                <w:rFonts w:cs="宋体"/>
                <w:sz w:val="24"/>
              </w:rPr>
            </w:pPr>
            <w:r>
              <w:rPr>
                <w:rFonts w:hint="eastAsia" w:cs="宋体"/>
                <w:sz w:val="24"/>
              </w:rPr>
              <w:t>（4）在规定时间内完成交货并验收，并经需方确认。</w:t>
            </w:r>
          </w:p>
          <w:p>
            <w:pPr>
              <w:spacing w:line="400" w:lineRule="exact"/>
              <w:rPr>
                <w:rFonts w:cs="宋体"/>
                <w:sz w:val="24"/>
                <w:highlight w:val="none"/>
              </w:rPr>
            </w:pPr>
            <w:r>
              <w:rPr>
                <w:rFonts w:hint="eastAsia" w:cs="宋体"/>
                <w:sz w:val="24"/>
                <w:highlight w:val="none"/>
                <w:lang w:val="en-US" w:eastAsia="zh-CN"/>
              </w:rPr>
              <w:t>6</w:t>
            </w:r>
            <w:r>
              <w:rPr>
                <w:rFonts w:hint="eastAsia" w:cs="宋体"/>
                <w:sz w:val="24"/>
                <w:highlight w:val="none"/>
              </w:rPr>
              <w:t>.</w:t>
            </w:r>
            <w:r>
              <w:rPr>
                <w:rFonts w:ascii="宋体" w:hAnsi="宋体" w:cs="宋体"/>
                <w:color w:val="000000"/>
                <w:sz w:val="24"/>
                <w:highlight w:val="none"/>
                <w:u w:color="000000"/>
                <w:lang w:val="zh-TW" w:eastAsia="zh-TW"/>
              </w:rPr>
              <w:t>产品在安装调试符合合同及</w:t>
            </w:r>
            <w:r>
              <w:rPr>
                <w:rFonts w:hint="eastAsia" w:ascii="宋体" w:hAnsi="宋体" w:cs="宋体"/>
                <w:color w:val="000000"/>
                <w:sz w:val="24"/>
                <w:highlight w:val="none"/>
                <w:u w:color="000000"/>
                <w:lang w:val="zh-TW" w:eastAsia="zh-CN"/>
              </w:rPr>
              <w:t>采购</w:t>
            </w:r>
            <w:r>
              <w:rPr>
                <w:rFonts w:ascii="宋体" w:hAnsi="宋体" w:cs="宋体"/>
                <w:color w:val="000000"/>
                <w:sz w:val="24"/>
                <w:highlight w:val="none"/>
                <w:u w:color="000000"/>
                <w:lang w:val="zh-TW" w:eastAsia="zh-TW"/>
              </w:rPr>
              <w:t>文件相关要求后，方可进行最终验收</w:t>
            </w:r>
            <w:r>
              <w:rPr>
                <w:rFonts w:hint="eastAsia" w:cs="宋体"/>
                <w:sz w:val="24"/>
                <w:highlight w:val="none"/>
              </w:rPr>
              <w:t>。</w:t>
            </w:r>
          </w:p>
          <w:p>
            <w:pPr>
              <w:spacing w:line="400" w:lineRule="exact"/>
              <w:rPr>
                <w:rFonts w:cs="宋体"/>
                <w:sz w:val="24"/>
              </w:rPr>
            </w:pPr>
            <w:r>
              <w:rPr>
                <w:rFonts w:hint="eastAsia" w:cs="宋体"/>
                <w:sz w:val="24"/>
                <w:lang w:val="en-US" w:eastAsia="zh-CN"/>
              </w:rPr>
              <w:t>7</w:t>
            </w:r>
            <w:r>
              <w:rPr>
                <w:rFonts w:hint="eastAsia" w:cs="宋体"/>
                <w:sz w:val="24"/>
              </w:rPr>
              <w:t>.供方提供的货物未达到竞价文件规定要求，由供方承担一切责任，并赔偿所造成的损失。</w:t>
            </w:r>
          </w:p>
          <w:p>
            <w:pPr>
              <w:spacing w:line="400" w:lineRule="exact"/>
              <w:rPr>
                <w:rFonts w:cs="宋体"/>
                <w:sz w:val="24"/>
              </w:rPr>
            </w:pPr>
            <w:r>
              <w:rPr>
                <w:rFonts w:hint="eastAsia" w:cs="宋体"/>
                <w:sz w:val="24"/>
                <w:lang w:val="en-US" w:eastAsia="zh-CN"/>
              </w:rPr>
              <w:t>8</w:t>
            </w:r>
            <w:r>
              <w:rPr>
                <w:rFonts w:hint="eastAsia" w:cs="宋体"/>
                <w:sz w:val="24"/>
              </w:rPr>
              <w:t>.需方需要制造商对供方交付的产品（包括质量、技术参数等）进行确认的，制造商应予以配合，并出具书面意见。</w:t>
            </w:r>
          </w:p>
          <w:p>
            <w:pPr>
              <w:spacing w:line="400" w:lineRule="exact"/>
              <w:rPr>
                <w:sz w:val="24"/>
              </w:rPr>
            </w:pPr>
            <w:r>
              <w:rPr>
                <w:rFonts w:hint="eastAsia" w:cs="宋体"/>
                <w:sz w:val="24"/>
                <w:lang w:val="en-US" w:eastAsia="zh-CN"/>
              </w:rPr>
              <w:t>9</w:t>
            </w:r>
            <w:r>
              <w:rPr>
                <w:rFonts w:hint="eastAsia" w:cs="宋体"/>
                <w:sz w:val="24"/>
              </w:rPr>
              <w:t>.产品包装材料归需方所有。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2" w:type="dxa"/>
            <w:gridSpan w:val="11"/>
          </w:tcPr>
          <w:p>
            <w:pPr>
              <w:spacing w:line="240" w:lineRule="atLeast"/>
              <w:rPr>
                <w:sz w:val="24"/>
              </w:rPr>
            </w:pPr>
            <w:r>
              <w:rPr>
                <w:rFonts w:hint="eastAsia"/>
                <w:sz w:val="24"/>
              </w:rPr>
              <w:t>五、付款方式</w:t>
            </w:r>
          </w:p>
          <w:p>
            <w:pPr>
              <w:rPr>
                <w:sz w:val="24"/>
              </w:rPr>
            </w:pPr>
            <w:r>
              <w:rPr>
                <w:rFonts w:hint="eastAsia"/>
                <w:sz w:val="24"/>
              </w:rPr>
              <w:t>1.供方按采购合同交货并安装调试完成，经验收合格后需方出具项目验收报告；</w:t>
            </w:r>
          </w:p>
          <w:p>
            <w:pPr>
              <w:rPr>
                <w:sz w:val="24"/>
              </w:rPr>
            </w:pPr>
            <w:r>
              <w:rPr>
                <w:rFonts w:hint="eastAsia"/>
                <w:sz w:val="24"/>
              </w:rPr>
              <w:t>2.供方向需方开具增值税专用发票含抵扣联和记账联（若项目为硬件和软件一体的，应分别开具硬件、软件（服务）的发票），协助使用部门办理入库手续后，需方以转账方式一次性向供方支付合同全款。</w:t>
            </w:r>
          </w:p>
          <w:p>
            <w:pPr>
              <w:rPr>
                <w:sz w:val="24"/>
                <w:u w:val="single"/>
              </w:rPr>
            </w:pPr>
            <w:r>
              <w:rPr>
                <w:rFonts w:hint="eastAsia"/>
                <w:sz w:val="24"/>
              </w:rPr>
              <w:t>注：如遇寒暑假或国家重大事件，则顺延至开学或条件允许后支付。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2" w:type="dxa"/>
            <w:gridSpan w:val="11"/>
          </w:tcPr>
          <w:p>
            <w:pPr>
              <w:spacing w:line="400" w:lineRule="atLeast"/>
              <w:rPr>
                <w:sz w:val="24"/>
              </w:rPr>
            </w:pPr>
            <w:r>
              <w:rPr>
                <w:rFonts w:hint="eastAsia"/>
                <w:sz w:val="24"/>
              </w:rPr>
              <w:t>六、违约责任</w:t>
            </w:r>
          </w:p>
          <w:p>
            <w:pPr>
              <w:spacing w:line="400" w:lineRule="atLeast"/>
              <w:rPr>
                <w:rFonts w:hint="eastAsia"/>
                <w:sz w:val="24"/>
                <w:highlight w:val="none"/>
              </w:rPr>
            </w:pPr>
            <w:r>
              <w:rPr>
                <w:rFonts w:hint="eastAsia"/>
                <w:sz w:val="24"/>
                <w:highlight w:val="none"/>
                <w:lang w:val="en-US" w:eastAsia="zh-CN"/>
              </w:rPr>
              <w:t>1.</w:t>
            </w:r>
            <w:r>
              <w:rPr>
                <w:rFonts w:hint="eastAsia"/>
                <w:sz w:val="24"/>
                <w:highlight w:val="none"/>
              </w:rPr>
              <w:t>需方可通过现场考察、函询等多种方式对供方的投标文件响应情况予以核查，供方须无条件配合并提供有关证明材料，证明其响应内容的真实有效性。需方若发现中标人进行虚假响应或提供虚假材料的，有权取消供方的中标资格；若在合同签订后查实供方进行虚假响应或提供虚假材料的，需方有权单方面终止合同</w:t>
            </w:r>
            <w:r>
              <w:rPr>
                <w:rFonts w:hint="eastAsia"/>
                <w:sz w:val="24"/>
                <w:highlight w:val="none"/>
                <w:lang w:eastAsia="zh-CN"/>
              </w:rPr>
              <w:t>，并全额没收履约保证金（如有）</w:t>
            </w:r>
            <w:r>
              <w:rPr>
                <w:rFonts w:hint="eastAsia"/>
                <w:sz w:val="24"/>
                <w:highlight w:val="none"/>
              </w:rPr>
              <w:t>。</w:t>
            </w:r>
          </w:p>
          <w:p>
            <w:pPr>
              <w:spacing w:line="400" w:lineRule="atLeast"/>
              <w:rPr>
                <w:rFonts w:hint="eastAsia"/>
                <w:sz w:val="24"/>
              </w:rPr>
            </w:pPr>
            <w:r>
              <w:rPr>
                <w:rFonts w:hint="eastAsia"/>
                <w:sz w:val="24"/>
                <w:lang w:val="en-US" w:eastAsia="zh-CN"/>
              </w:rPr>
              <w:t>2</w:t>
            </w:r>
            <w:r>
              <w:rPr>
                <w:rFonts w:hint="eastAsia"/>
                <w:sz w:val="24"/>
              </w:rPr>
              <w:t>.因不可抗力，或需方自身原因，致使交货期限延后的，供方不承担相应违约责任。但供方须提供需方使用部门出具的同意延迟交货以及确定延迟交货期的书面情况说明，需方使用部门负责人签字并加盖需方使用部门公章。</w:t>
            </w:r>
          </w:p>
          <w:p>
            <w:pPr>
              <w:spacing w:line="400" w:lineRule="atLeast"/>
              <w:rPr>
                <w:sz w:val="24"/>
              </w:rPr>
            </w:pPr>
            <w:r>
              <w:rPr>
                <w:rFonts w:hint="eastAsia"/>
                <w:sz w:val="24"/>
                <w:lang w:val="en-US" w:eastAsia="zh-CN"/>
              </w:rPr>
              <w:t>3</w:t>
            </w:r>
            <w:r>
              <w:rPr>
                <w:rFonts w:hint="eastAsia"/>
                <w:sz w:val="24"/>
              </w:rPr>
              <w:t>.如供方在投标或履约环节出现违法、违规或违约行为，除须承担相应的经济责任之外，需方将报送重庆市财政局处以相关行政处罚，并追究相关的法律责任。</w:t>
            </w:r>
          </w:p>
          <w:p>
            <w:pPr>
              <w:spacing w:line="400" w:lineRule="atLeast"/>
              <w:rPr>
                <w:sz w:val="24"/>
              </w:rPr>
            </w:pPr>
            <w:r>
              <w:rPr>
                <w:rFonts w:hint="eastAsia"/>
                <w:sz w:val="24"/>
                <w:lang w:val="en-US" w:eastAsia="zh-CN"/>
              </w:rPr>
              <w:t>4</w:t>
            </w:r>
            <w:r>
              <w:rPr>
                <w:rFonts w:hint="eastAsia"/>
                <w:sz w:val="24"/>
              </w:rPr>
              <w:t>.其他未尽事宜按按《中华人民共和国民法典》、《中华人民共和国政府采购法》执行。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2" w:type="dxa"/>
            <w:gridSpan w:val="11"/>
          </w:tcPr>
          <w:p>
            <w:pPr>
              <w:spacing w:line="400" w:lineRule="atLeast"/>
              <w:rPr>
                <w:sz w:val="24"/>
              </w:rPr>
            </w:pPr>
            <w:r>
              <w:rPr>
                <w:rFonts w:hint="eastAsia"/>
                <w:sz w:val="24"/>
              </w:rPr>
              <w:t>七、其他约定事项</w:t>
            </w:r>
          </w:p>
          <w:p>
            <w:pPr>
              <w:spacing w:line="400" w:lineRule="atLeast"/>
              <w:rPr>
                <w:sz w:val="24"/>
              </w:rPr>
            </w:pPr>
            <w:r>
              <w:rPr>
                <w:rFonts w:hint="eastAsia"/>
                <w:sz w:val="24"/>
              </w:rPr>
              <w:t>1.竞价文件及其补遗文件、响应文件和承诺是本合同不可分割的部分。</w:t>
            </w:r>
          </w:p>
          <w:p>
            <w:pPr>
              <w:spacing w:line="400" w:lineRule="atLeast"/>
              <w:rPr>
                <w:sz w:val="24"/>
              </w:rPr>
            </w:pPr>
            <w:r>
              <w:rPr>
                <w:rFonts w:hint="eastAsia"/>
                <w:sz w:val="24"/>
              </w:rPr>
              <w:t>2.本合同如发生争议由双方协商解决，协商不成向需方所在人民法院提请诉讼。</w:t>
            </w:r>
          </w:p>
          <w:p>
            <w:pPr>
              <w:spacing w:line="400" w:lineRule="atLeast"/>
              <w:rPr>
                <w:sz w:val="24"/>
              </w:rPr>
            </w:pPr>
            <w:r>
              <w:rPr>
                <w:rFonts w:hint="eastAsia"/>
                <w:sz w:val="24"/>
              </w:rPr>
              <w:t>3.本合同一式</w:t>
            </w:r>
            <w:r>
              <w:rPr>
                <w:rFonts w:hint="eastAsia"/>
                <w:sz w:val="24"/>
                <w:u w:val="single"/>
              </w:rPr>
              <w:t>肆</w:t>
            </w:r>
            <w:r>
              <w:rPr>
                <w:rFonts w:hint="eastAsia"/>
                <w:sz w:val="24"/>
              </w:rPr>
              <w:t>份，需方</w:t>
            </w:r>
            <w:r>
              <w:rPr>
                <w:rFonts w:hint="eastAsia"/>
                <w:sz w:val="24"/>
                <w:u w:val="single"/>
              </w:rPr>
              <w:t>叁</w:t>
            </w:r>
            <w:r>
              <w:rPr>
                <w:rFonts w:hint="eastAsia"/>
                <w:sz w:val="24"/>
              </w:rPr>
              <w:t>份，供方</w:t>
            </w:r>
            <w:r>
              <w:rPr>
                <w:rFonts w:hint="eastAsia"/>
                <w:sz w:val="24"/>
                <w:u w:val="single"/>
              </w:rPr>
              <w:t>壹</w:t>
            </w:r>
            <w:r>
              <w:rPr>
                <w:rFonts w:hint="eastAsia"/>
                <w:sz w:val="24"/>
              </w:rPr>
              <w:t>份，具同等法律效力。</w:t>
            </w:r>
          </w:p>
          <w:p>
            <w:pPr>
              <w:spacing w:line="400" w:lineRule="atLeast"/>
              <w:rPr>
                <w:sz w:val="24"/>
              </w:rPr>
            </w:pPr>
            <w:r>
              <w:rPr>
                <w:rFonts w:hint="eastAsia"/>
                <w:sz w:val="24"/>
              </w:rPr>
              <w:t>4.需方在中华人民共和国境内使用供方提供的货物及服务时免受第三方提出的侵犯其专利权或其它知识产权的起诉。如果第三方提出侵权指控，供方应承担由此而引起的一切法律责任和费用。</w:t>
            </w:r>
          </w:p>
          <w:p>
            <w:pPr>
              <w:spacing w:line="400" w:lineRule="atLeast"/>
              <w:rPr>
                <w:sz w:val="24"/>
              </w:rPr>
            </w:pPr>
            <w:r>
              <w:rPr>
                <w:rFonts w:hint="eastAsia"/>
                <w:sz w:val="24"/>
              </w:rPr>
              <w:t>5.其他：</w:t>
            </w:r>
            <w:r>
              <w:rPr>
                <w:rFonts w:hint="eastAsia"/>
                <w:b/>
                <w:bCs/>
                <w:sz w:val="24"/>
              </w:rPr>
              <w:t>供方项目负责人：</w:t>
            </w:r>
            <w:r>
              <w:rPr>
                <w:rFonts w:hint="default"/>
                <w:b/>
                <w:bCs/>
                <w:sz w:val="24"/>
                <w:lang w:val="en-US" w:eastAsia="zh-CN"/>
              </w:rPr>
              <w:t>国合基地</w:t>
            </w:r>
            <w:r>
              <w:rPr>
                <w:rFonts w:hint="default"/>
                <w:b/>
                <w:bCs/>
                <w:sz w:val="24"/>
              </w:rPr>
              <w:t>联系人：</w:t>
            </w:r>
            <w:r>
              <w:rPr>
                <w:rFonts w:hint="default"/>
                <w:b/>
                <w:bCs/>
                <w:sz w:val="24"/>
                <w:lang w:val="en-US" w:eastAsia="zh-CN"/>
              </w:rPr>
              <w:t>肖</w:t>
            </w:r>
            <w:r>
              <w:rPr>
                <w:rFonts w:hint="default"/>
                <w:b/>
                <w:bCs/>
                <w:sz w:val="24"/>
              </w:rPr>
              <w:t>老师</w:t>
            </w:r>
            <w:r>
              <w:rPr>
                <w:rFonts w:hint="default"/>
                <w:b/>
                <w:bCs/>
                <w:sz w:val="24"/>
                <w:lang w:val="en-US" w:eastAsia="zh-CN"/>
              </w:rPr>
              <w:t>，13452342648</w:t>
            </w:r>
            <w:r>
              <w:rPr>
                <w:rFonts w:hint="eastAsia"/>
                <w:b/>
                <w:bCs/>
                <w:sz w:val="24"/>
                <w:lang w:val="en-US" w:eastAsia="zh-CN"/>
              </w:rPr>
              <w:t>；</w:t>
            </w:r>
            <w:r>
              <w:rPr>
                <w:rFonts w:hint="default"/>
                <w:b/>
                <w:bCs/>
                <w:sz w:val="24"/>
                <w:lang w:val="en-US" w:eastAsia="zh-CN"/>
              </w:rPr>
              <w:t>人工智能学院</w:t>
            </w:r>
            <w:r>
              <w:rPr>
                <w:rFonts w:hint="default"/>
                <w:b/>
                <w:bCs/>
                <w:sz w:val="24"/>
              </w:rPr>
              <w:t>联系人：</w:t>
            </w:r>
            <w:r>
              <w:rPr>
                <w:rFonts w:hint="default"/>
                <w:b/>
                <w:bCs/>
                <w:sz w:val="24"/>
                <w:lang w:val="en-US" w:eastAsia="zh-CN"/>
              </w:rPr>
              <w:t>熊</w:t>
            </w:r>
            <w:r>
              <w:rPr>
                <w:rFonts w:hint="default"/>
                <w:b/>
                <w:bCs/>
                <w:sz w:val="24"/>
              </w:rPr>
              <w:t>老师</w:t>
            </w:r>
            <w:r>
              <w:rPr>
                <w:rFonts w:hint="default"/>
                <w:b/>
                <w:bCs/>
                <w:sz w:val="24"/>
                <w:lang w:eastAsia="zh-CN"/>
              </w:rPr>
              <w:t>，</w:t>
            </w:r>
            <w:r>
              <w:rPr>
                <w:rFonts w:hint="default"/>
                <w:b/>
                <w:bCs/>
                <w:sz w:val="24"/>
              </w:rPr>
              <w:t>13983882331）</w:t>
            </w:r>
            <w:r>
              <w:rPr>
                <w:rFonts w:hint="eastAsia"/>
                <w:b/>
                <w:bCs/>
                <w:sz w:val="24"/>
              </w:rPr>
              <w:t>；需方项目负责人：</w:t>
            </w:r>
            <w:r>
              <w:rPr>
                <w:rFonts w:hint="eastAsia"/>
                <w:b/>
                <w:bCs/>
                <w:sz w:val="24"/>
                <w:lang w:val="en-US" w:eastAsia="zh-CN"/>
              </w:rPr>
              <w:t xml:space="preserve">       </w:t>
            </w:r>
            <w:r>
              <w:rPr>
                <w:rFonts w:hint="eastAsia"/>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4" w:type="dxa"/>
            <w:gridSpan w:val="4"/>
          </w:tcPr>
          <w:p>
            <w:pPr>
              <w:spacing w:line="400" w:lineRule="atLeast"/>
              <w:rPr>
                <w:sz w:val="24"/>
              </w:rPr>
            </w:pPr>
            <w:r>
              <w:rPr>
                <w:sz w:val="24"/>
              </w:rPr>
              <w:t>需方：重庆工商大学</w:t>
            </w:r>
          </w:p>
          <w:p>
            <w:pPr>
              <w:spacing w:line="400" w:lineRule="atLeast"/>
              <w:rPr>
                <w:sz w:val="24"/>
              </w:rPr>
            </w:pPr>
            <w:r>
              <w:rPr>
                <w:sz w:val="24"/>
              </w:rPr>
              <w:t>地址：重庆市南岸区学府大道19号</w:t>
            </w:r>
          </w:p>
          <w:p>
            <w:pPr>
              <w:spacing w:line="400" w:lineRule="atLeast"/>
              <w:rPr>
                <w:sz w:val="24"/>
              </w:rPr>
            </w:pPr>
            <w:r>
              <w:rPr>
                <w:sz w:val="24"/>
              </w:rPr>
              <w:t>联系电话：023-62</w:t>
            </w:r>
            <w:r>
              <w:rPr>
                <w:rFonts w:hint="eastAsia"/>
                <w:sz w:val="24"/>
              </w:rPr>
              <w:t>929085</w:t>
            </w:r>
          </w:p>
          <w:p>
            <w:pPr>
              <w:spacing w:line="400" w:lineRule="atLeast"/>
              <w:rPr>
                <w:sz w:val="24"/>
              </w:rPr>
            </w:pPr>
            <w:r>
              <w:rPr>
                <w:sz w:val="24"/>
              </w:rPr>
              <w:t>传真：023-62769774</w:t>
            </w:r>
          </w:p>
          <w:p>
            <w:pPr>
              <w:spacing w:line="400" w:lineRule="atLeast"/>
              <w:rPr>
                <w:sz w:val="24"/>
              </w:rPr>
            </w:pPr>
            <w:r>
              <w:rPr>
                <w:sz w:val="24"/>
              </w:rPr>
              <w:t>开户行：工行重庆南岸学府支行</w:t>
            </w:r>
          </w:p>
          <w:p>
            <w:pPr>
              <w:spacing w:line="400" w:lineRule="atLeast"/>
              <w:rPr>
                <w:sz w:val="24"/>
              </w:rPr>
            </w:pPr>
            <w:r>
              <w:rPr>
                <w:sz w:val="24"/>
              </w:rPr>
              <w:t>账号：3100027609024907533</w:t>
            </w:r>
          </w:p>
          <w:p>
            <w:pPr>
              <w:spacing w:line="400" w:lineRule="atLeast"/>
              <w:rPr>
                <w:sz w:val="24"/>
              </w:rPr>
            </w:pPr>
            <w:r>
              <w:rPr>
                <w:sz w:val="24"/>
              </w:rPr>
              <w:t>统一社会信用代码</w:t>
            </w:r>
            <w:r>
              <w:rPr>
                <w:rFonts w:hint="eastAsia"/>
                <w:sz w:val="24"/>
              </w:rPr>
              <w:t>：</w:t>
            </w:r>
            <w:r>
              <w:rPr>
                <w:sz w:val="24"/>
              </w:rPr>
              <w:t>125000007428748822</w:t>
            </w:r>
          </w:p>
          <w:p>
            <w:pPr>
              <w:spacing w:line="400" w:lineRule="atLeast"/>
              <w:rPr>
                <w:sz w:val="24"/>
              </w:rPr>
            </w:pPr>
            <w:r>
              <w:rPr>
                <w:sz w:val="24"/>
              </w:rPr>
              <w:t>法定代表：</w:t>
            </w:r>
          </w:p>
          <w:p>
            <w:pPr>
              <w:spacing w:line="400" w:lineRule="atLeast"/>
              <w:rPr>
                <w:sz w:val="24"/>
              </w:rPr>
            </w:pPr>
            <w:r>
              <w:rPr>
                <w:sz w:val="24"/>
              </w:rPr>
              <w:t>授权代表：</w:t>
            </w:r>
          </w:p>
        </w:tc>
        <w:tc>
          <w:tcPr>
            <w:tcW w:w="4858" w:type="dxa"/>
            <w:gridSpan w:val="7"/>
          </w:tcPr>
          <w:p>
            <w:pPr>
              <w:spacing w:line="400" w:lineRule="atLeast"/>
              <w:rPr>
                <w:sz w:val="24"/>
              </w:rPr>
            </w:pPr>
            <w:r>
              <w:rPr>
                <w:rFonts w:hint="eastAsia"/>
                <w:sz w:val="24"/>
              </w:rPr>
              <w:t>供方：</w:t>
            </w:r>
          </w:p>
          <w:p>
            <w:pPr>
              <w:spacing w:line="400" w:lineRule="atLeast"/>
              <w:rPr>
                <w:sz w:val="24"/>
              </w:rPr>
            </w:pPr>
            <w:r>
              <w:rPr>
                <w:sz w:val="24"/>
              </w:rPr>
              <w:t xml:space="preserve">地址： </w:t>
            </w:r>
          </w:p>
          <w:p>
            <w:pPr>
              <w:spacing w:line="400" w:lineRule="atLeast"/>
              <w:rPr>
                <w:sz w:val="24"/>
              </w:rPr>
            </w:pPr>
            <w:r>
              <w:rPr>
                <w:sz w:val="24"/>
              </w:rPr>
              <w:t>联系电话：</w:t>
            </w:r>
          </w:p>
          <w:p>
            <w:pPr>
              <w:spacing w:line="400" w:lineRule="atLeast"/>
              <w:rPr>
                <w:sz w:val="24"/>
              </w:rPr>
            </w:pPr>
            <w:r>
              <w:rPr>
                <w:sz w:val="24"/>
              </w:rPr>
              <w:t>传真：</w:t>
            </w:r>
          </w:p>
          <w:p>
            <w:pPr>
              <w:spacing w:line="400" w:lineRule="atLeast"/>
              <w:rPr>
                <w:sz w:val="24"/>
              </w:rPr>
            </w:pPr>
            <w:r>
              <w:rPr>
                <w:sz w:val="24"/>
              </w:rPr>
              <w:t>开户行：</w:t>
            </w:r>
          </w:p>
          <w:p>
            <w:pPr>
              <w:spacing w:line="400" w:lineRule="atLeast"/>
              <w:rPr>
                <w:sz w:val="24"/>
              </w:rPr>
            </w:pPr>
            <w:r>
              <w:rPr>
                <w:sz w:val="24"/>
              </w:rPr>
              <w:t>账号：</w:t>
            </w:r>
          </w:p>
          <w:p>
            <w:pPr>
              <w:spacing w:line="400" w:lineRule="atLeast"/>
              <w:rPr>
                <w:sz w:val="24"/>
              </w:rPr>
            </w:pPr>
            <w:r>
              <w:rPr>
                <w:sz w:val="24"/>
              </w:rPr>
              <w:t>统一社会信用代码</w:t>
            </w:r>
            <w:r>
              <w:rPr>
                <w:rFonts w:hint="eastAsia"/>
                <w:sz w:val="24"/>
              </w:rPr>
              <w:t>：</w:t>
            </w:r>
          </w:p>
          <w:p>
            <w:pPr>
              <w:spacing w:line="400" w:lineRule="atLeast"/>
              <w:rPr>
                <w:sz w:val="24"/>
              </w:rPr>
            </w:pPr>
            <w:r>
              <w:rPr>
                <w:sz w:val="24"/>
              </w:rPr>
              <w:t>法定代表：</w:t>
            </w:r>
          </w:p>
          <w:p>
            <w:pPr>
              <w:spacing w:line="400" w:lineRule="atLeast"/>
              <w:rPr>
                <w:sz w:val="24"/>
              </w:rPr>
            </w:pPr>
            <w:r>
              <w:rPr>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2" w:type="dxa"/>
            <w:gridSpan w:val="11"/>
          </w:tcPr>
          <w:p>
            <w:pPr>
              <w:spacing w:line="240" w:lineRule="atLeast"/>
              <w:rPr>
                <w:sz w:val="24"/>
              </w:rPr>
            </w:pPr>
            <w:r>
              <w:rPr>
                <w:rFonts w:hint="eastAsia"/>
                <w:sz w:val="24"/>
              </w:rPr>
              <w:t>备注：附件：技术参数</w:t>
            </w:r>
          </w:p>
        </w:tc>
      </w:tr>
    </w:tbl>
    <w:p>
      <w:pPr>
        <w:rPr>
          <w:sz w:val="24"/>
        </w:rPr>
      </w:pPr>
      <w:r>
        <w:rPr>
          <w:rFonts w:hint="eastAsia"/>
          <w:sz w:val="24"/>
        </w:rPr>
        <w:t>签约时间：2023年</w:t>
      </w:r>
      <w:r>
        <w:rPr>
          <w:rFonts w:hint="eastAsia"/>
          <w:sz w:val="24"/>
          <w:lang w:val="en-US" w:eastAsia="zh-CN"/>
        </w:rPr>
        <w:t>4</w:t>
      </w:r>
      <w:r>
        <w:rPr>
          <w:rFonts w:hint="eastAsia"/>
          <w:sz w:val="24"/>
        </w:rPr>
        <w:t>月   日                签约地点：重庆工商大学</w:t>
      </w:r>
    </w:p>
    <w:p>
      <w:pPr>
        <w:tabs>
          <w:tab w:val="left" w:pos="6300"/>
        </w:tabs>
        <w:snapToGrid w:val="0"/>
        <w:spacing w:line="500" w:lineRule="exact"/>
        <w:ind w:firstLine="570"/>
        <w:jc w:val="left"/>
        <w:rPr>
          <w:rFonts w:ascii="宋体" w:hAnsi="宋体" w:cs="宋体"/>
          <w:sz w:val="24"/>
        </w:rPr>
      </w:pPr>
    </w:p>
    <w:p>
      <w:pPr>
        <w:widowControl/>
        <w:jc w:val="left"/>
        <w:rPr>
          <w:rFonts w:ascii="黑体" w:hAnsi="黑体" w:eastAsia="黑体" w:cs="宋体"/>
          <w:sz w:val="30"/>
          <w:szCs w:val="30"/>
        </w:rPr>
      </w:pPr>
      <w:r>
        <w:rPr>
          <w:rFonts w:ascii="宋体" w:hAnsi="宋体" w:cs="宋体"/>
          <w:sz w:val="24"/>
          <w:szCs w:val="18"/>
        </w:rPr>
        <w:br w:type="page"/>
      </w:r>
      <w:r>
        <w:rPr>
          <w:rFonts w:hint="eastAsia" w:ascii="黑体" w:hAnsi="黑体" w:eastAsia="黑体" w:cs="宋体"/>
          <w:sz w:val="30"/>
          <w:szCs w:val="30"/>
        </w:rPr>
        <w:t>响应文件格式</w:t>
      </w:r>
    </w:p>
    <w:p>
      <w:pPr>
        <w:tabs>
          <w:tab w:val="left" w:pos="6300"/>
        </w:tabs>
        <w:snapToGrid w:val="0"/>
        <w:spacing w:line="500" w:lineRule="exact"/>
        <w:ind w:firstLine="570"/>
        <w:jc w:val="left"/>
        <w:rPr>
          <w:rFonts w:ascii="宋体" w:hAnsi="宋体" w:cs="宋体"/>
          <w:sz w:val="24"/>
          <w:szCs w:val="18"/>
        </w:rPr>
      </w:pPr>
      <w:r>
        <w:rPr>
          <w:rFonts w:hint="eastAsia" w:ascii="宋体" w:hAnsi="宋体" w:cs="宋体"/>
          <w:sz w:val="24"/>
          <w:szCs w:val="18"/>
        </w:rPr>
        <w:t>附件1：</w:t>
      </w:r>
    </w:p>
    <w:p>
      <w:pPr>
        <w:tabs>
          <w:tab w:val="left" w:pos="6300"/>
        </w:tabs>
        <w:snapToGrid w:val="0"/>
        <w:spacing w:line="500" w:lineRule="exact"/>
        <w:ind w:firstLine="570"/>
        <w:jc w:val="center"/>
        <w:rPr>
          <w:rFonts w:hint="eastAsia" w:ascii="宋体" w:hAnsi="宋体" w:cs="宋体" w:eastAsiaTheme="minorEastAsia"/>
          <w:szCs w:val="21"/>
          <w:highlight w:val="none"/>
          <w:lang w:eastAsia="zh-CN"/>
        </w:rPr>
      </w:pPr>
      <w:bookmarkStart w:id="4" w:name="_GoBack"/>
      <w:r>
        <w:rPr>
          <w:rFonts w:hint="eastAsia" w:ascii="宋体" w:hAnsi="宋体" w:cs="宋体"/>
          <w:sz w:val="32"/>
          <w:szCs w:val="21"/>
          <w:highlight w:val="none"/>
        </w:rPr>
        <w:t xml:space="preserve">书 面 </w:t>
      </w:r>
      <w:r>
        <w:rPr>
          <w:rFonts w:hint="eastAsia" w:ascii="宋体" w:hAnsi="宋体" w:cs="宋体"/>
          <w:sz w:val="32"/>
          <w:szCs w:val="21"/>
          <w:highlight w:val="none"/>
          <w:lang w:eastAsia="zh-CN"/>
        </w:rPr>
        <w:t>承</w:t>
      </w:r>
      <w:r>
        <w:rPr>
          <w:rFonts w:hint="eastAsia" w:ascii="宋体" w:hAnsi="宋体" w:cs="宋体"/>
          <w:sz w:val="32"/>
          <w:szCs w:val="21"/>
          <w:highlight w:val="none"/>
          <w:lang w:val="en-US" w:eastAsia="zh-CN"/>
        </w:rPr>
        <w:t xml:space="preserve"> </w:t>
      </w:r>
      <w:r>
        <w:rPr>
          <w:rFonts w:hint="eastAsia" w:ascii="宋体" w:hAnsi="宋体" w:cs="宋体"/>
          <w:sz w:val="32"/>
          <w:szCs w:val="21"/>
          <w:highlight w:val="none"/>
          <w:lang w:eastAsia="zh-CN"/>
        </w:rPr>
        <w:t>诺</w:t>
      </w:r>
      <w:r>
        <w:rPr>
          <w:rFonts w:hint="eastAsia" w:ascii="宋体" w:hAnsi="宋体" w:cs="宋体"/>
          <w:sz w:val="32"/>
          <w:szCs w:val="21"/>
          <w:highlight w:val="none"/>
          <w:lang w:val="en-US" w:eastAsia="zh-CN"/>
        </w:rPr>
        <w:t xml:space="preserve"> </w:t>
      </w:r>
      <w:r>
        <w:rPr>
          <w:rFonts w:hint="eastAsia" w:ascii="宋体" w:hAnsi="宋体" w:cs="宋体"/>
          <w:sz w:val="32"/>
          <w:szCs w:val="21"/>
          <w:highlight w:val="none"/>
          <w:lang w:eastAsia="zh-CN"/>
        </w:rPr>
        <w:t>书</w:t>
      </w:r>
    </w:p>
    <w:p>
      <w:pPr>
        <w:keepNext w:val="0"/>
        <w:keepLines w:val="0"/>
        <w:pageBreakBefore w:val="0"/>
        <w:widowControl w:val="0"/>
        <w:kinsoku/>
        <w:wordWrap/>
        <w:overflowPunct/>
        <w:topLinePunct w:val="0"/>
        <w:autoSpaceDE/>
        <w:autoSpaceDN/>
        <w:bidi w:val="0"/>
        <w:adjustRightInd/>
        <w:spacing w:line="240" w:lineRule="auto"/>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重庆工商大学</w:t>
      </w:r>
      <w:r>
        <w:rPr>
          <w:color w:val="000000" w:themeColor="text1"/>
          <w:sz w:val="24"/>
          <w:highlight w:val="none"/>
          <w14:textFill>
            <w14:solidFill>
              <w14:schemeClr w14:val="tx1"/>
            </w14:solidFill>
          </w14:textFill>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ascii="宋体" w:hAnsi="宋体" w:cs="宋体"/>
          <w:sz w:val="24"/>
          <w:highlight w:val="none"/>
        </w:rPr>
      </w:pPr>
      <w:r>
        <w:rPr>
          <w:color w:val="000000" w:themeColor="text1"/>
          <w:sz w:val="24"/>
          <w:highlight w:val="none"/>
          <w14:textFill>
            <w14:solidFill>
              <w14:schemeClr w14:val="tx1"/>
            </w14:solidFill>
          </w14:textFill>
        </w:rPr>
        <w:t>我方在参加</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bCs/>
          <w:snapToGrid w:val="0"/>
          <w:color w:val="000000" w:themeColor="text1"/>
          <w:kern w:val="0"/>
          <w:position w:val="-2"/>
          <w:sz w:val="24"/>
          <w:highlight w:val="none"/>
          <w:u w:val="single"/>
          <w14:textFill>
            <w14:solidFill>
              <w14:schemeClr w14:val="tx1"/>
            </w14:solidFill>
          </w14:textFill>
        </w:rPr>
        <w:t>项目</w:t>
      </w:r>
      <w:r>
        <w:rPr>
          <w:color w:val="000000" w:themeColor="text1"/>
          <w:sz w:val="24"/>
          <w:highlight w:val="none"/>
          <w14:textFill>
            <w14:solidFill>
              <w14:schemeClr w14:val="tx1"/>
            </w14:solidFill>
          </w14:textFill>
        </w:rPr>
        <w:t>（项目名称）的网上竞采采购活动中承诺如下：</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ascii="宋体" w:hAnsi="宋体" w:cs="宋体"/>
          <w:sz w:val="24"/>
          <w:highlight w:val="none"/>
        </w:rPr>
      </w:pPr>
      <w:r>
        <w:rPr>
          <w:rFonts w:hint="eastAsia" w:ascii="宋体" w:hAnsi="宋体" w:cs="宋体"/>
          <w:sz w:val="24"/>
          <w:highlight w:val="none"/>
          <w:u w:val="none"/>
          <w:lang w:val="en-US" w:eastAsia="zh-CN"/>
        </w:rPr>
        <w:t>1.</w:t>
      </w:r>
      <w:r>
        <w:rPr>
          <w:rFonts w:hint="eastAsia" w:ascii="宋体" w:hAnsi="宋体" w:cs="宋体"/>
          <w:sz w:val="24"/>
          <w:highlight w:val="none"/>
        </w:rPr>
        <w:t>我方承诺满足供应商资格要求中的一般资质条件的全部要求，即：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在合同签订前后随时愿意提供相关证明材料。我公司随时接受采购人、采购代理机构的检查验证，符合合格供应商的资质要求。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none"/>
        </w:rPr>
      </w:pPr>
      <w:r>
        <w:rPr>
          <w:color w:val="000000" w:themeColor="text1"/>
          <w:sz w:val="24"/>
          <w:highlight w:val="none"/>
          <w14:textFill>
            <w14:solidFill>
              <w14:schemeClr w14:val="tx1"/>
            </w14:solidFill>
          </w14:textFill>
        </w:rPr>
        <w:t>2.我方承诺：本次网上竞采</w:t>
      </w:r>
      <w:r>
        <w:rPr>
          <w:rFonts w:hint="eastAsia" w:ascii="宋体" w:hAnsi="宋体" w:cs="宋体"/>
          <w:sz w:val="24"/>
          <w:highlight w:val="none"/>
        </w:rPr>
        <w:t>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3.我方已熟知本项目网上竞采采购公告及其附件的全部内容，承诺响应本项目网上竞采采购公告及其附件的全部要求。</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4.我方承诺满足供应商资格要求中的特定资格条件的全部要求。</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我方若中选，将按照采购人发布的合同条款中的有关要求按时足额缴纳履约保证金</w:t>
      </w:r>
      <w:r>
        <w:rPr>
          <w:rFonts w:hint="eastAsia" w:ascii="宋体" w:hAnsi="宋体" w:cs="宋体"/>
          <w:sz w:val="24"/>
          <w:highlight w:val="none"/>
          <w:lang w:eastAsia="zh-CN"/>
        </w:rPr>
        <w:t>（如有）</w:t>
      </w:r>
      <w:r>
        <w:rPr>
          <w:rFonts w:hint="eastAsia" w:ascii="宋体" w:hAnsi="宋体" w:cs="宋体"/>
          <w:sz w:val="24"/>
          <w:highlight w:val="none"/>
        </w:rPr>
        <w:t>，将按照采购人发布的“合同条款”和网上竞采采购结果、网上竞采公告签订合同，并且严格履行合同义务，否则采购人有权取消我方中选资格。本报价函及承诺书将成为合同不可分割的一部分，与合同具有同等的法律效力。我方理解，最低报价不是成交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我方若中选，采购人可通过现场考察、函询等多种方式对我方的投标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全额没收履约保证金</w:t>
      </w:r>
      <w:r>
        <w:rPr>
          <w:rFonts w:hint="eastAsia" w:ascii="宋体" w:hAnsi="宋体" w:cs="宋体"/>
          <w:sz w:val="24"/>
          <w:highlight w:val="none"/>
          <w:lang w:eastAsia="zh-CN"/>
        </w:rPr>
        <w:t>（如有）</w:t>
      </w:r>
      <w:r>
        <w:rPr>
          <w:rFonts w:hint="eastAsia" w:ascii="宋体" w:hAnsi="宋体" w:cs="宋体"/>
          <w:sz w:val="24"/>
          <w:highlight w:val="none"/>
        </w:rPr>
        <w:t>，给采购人造成经济损失的，依法承担赔偿责任。</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sz w:val="24"/>
          <w:highlight w:val="yellow"/>
        </w:rPr>
      </w:pPr>
      <w:r>
        <w:rPr>
          <w:rFonts w:hint="eastAsia" w:ascii="宋体" w:hAnsi="宋体" w:cs="宋体"/>
          <w:sz w:val="24"/>
          <w:highlight w:val="none"/>
          <w:lang w:val="en-US" w:eastAsia="zh-CN"/>
        </w:rPr>
        <w:t>7</w:t>
      </w:r>
      <w:r>
        <w:rPr>
          <w:rFonts w:hint="eastAsia" w:ascii="宋体" w:hAnsi="宋体" w:cs="宋体"/>
          <w:sz w:val="24"/>
          <w:highlight w:val="none"/>
        </w:rPr>
        <w:t>.在整个网上竞采采购过程中，我方若有违规行为，愿意接受按照《中华人民共和国政府采购法》及其实施条例、重庆市政府采购云平台规定给予惩罚。</w:t>
      </w:r>
      <w:bookmarkEnd w:id="4"/>
    </w:p>
    <w:p>
      <w:pPr>
        <w:tabs>
          <w:tab w:val="left" w:pos="6300"/>
        </w:tabs>
        <w:snapToGrid w:val="0"/>
        <w:spacing w:line="360" w:lineRule="auto"/>
        <w:ind w:firstLine="3542" w:firstLineChars="1476"/>
        <w:rPr>
          <w:color w:val="000000" w:themeColor="text1"/>
          <w:sz w:val="24"/>
          <w14:textFill>
            <w14:solidFill>
              <w14:schemeClr w14:val="tx1"/>
            </w14:solidFill>
          </w14:textFill>
        </w:rPr>
      </w:pPr>
    </w:p>
    <w:p>
      <w:pPr>
        <w:tabs>
          <w:tab w:val="left" w:pos="6300"/>
        </w:tabs>
        <w:snapToGrid w:val="0"/>
        <w:spacing w:line="360" w:lineRule="auto"/>
        <w:ind w:firstLine="3542" w:firstLineChars="1476"/>
        <w:rPr>
          <w:color w:val="000000" w:themeColor="text1"/>
          <w:sz w:val="24"/>
          <w14:textFill>
            <w14:solidFill>
              <w14:schemeClr w14:val="tx1"/>
            </w14:solidFill>
          </w14:textFill>
        </w:rPr>
      </w:pPr>
    </w:p>
    <w:p>
      <w:pPr>
        <w:tabs>
          <w:tab w:val="left" w:pos="6300"/>
        </w:tabs>
        <w:snapToGrid w:val="0"/>
        <w:spacing w:line="360" w:lineRule="auto"/>
        <w:ind w:firstLine="3542" w:firstLineChars="1476"/>
        <w:rPr>
          <w:color w:val="000000" w:themeColor="text1"/>
          <w:sz w:val="24"/>
          <w14:textFill>
            <w14:solidFill>
              <w14:schemeClr w14:val="tx1"/>
            </w14:solidFill>
          </w14:textFill>
        </w:rPr>
      </w:pPr>
    </w:p>
    <w:p>
      <w:pPr>
        <w:tabs>
          <w:tab w:val="left" w:pos="6300"/>
        </w:tabs>
        <w:snapToGrid w:val="0"/>
        <w:spacing w:line="360" w:lineRule="auto"/>
        <w:ind w:firstLine="3542" w:firstLineChars="1476"/>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r>
        <w:rPr>
          <w:rFonts w:hint="eastAsia"/>
          <w:color w:val="000000" w:themeColor="text1"/>
          <w:sz w:val="24"/>
          <w14:textFill>
            <w14:solidFill>
              <w14:schemeClr w14:val="tx1"/>
            </w14:solidFill>
          </w14:textFill>
        </w:rPr>
        <w:t>盖单位</w:t>
      </w:r>
      <w:r>
        <w:rPr>
          <w:color w:val="000000" w:themeColor="text1"/>
          <w:sz w:val="24"/>
          <w14:textFill>
            <w14:solidFill>
              <w14:schemeClr w14:val="tx1"/>
            </w14:solidFill>
          </w14:textFill>
        </w:rPr>
        <w:t>法人章）：</w:t>
      </w:r>
    </w:p>
    <w:p>
      <w:pPr>
        <w:tabs>
          <w:tab w:val="left" w:pos="6300"/>
        </w:tabs>
        <w:snapToGrid w:val="0"/>
        <w:spacing w:line="360" w:lineRule="auto"/>
        <w:ind w:firstLine="3542" w:firstLineChars="1476"/>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法定代表人或委托代理人签字：</w:t>
      </w:r>
    </w:p>
    <w:p>
      <w:pPr>
        <w:snapToGrid w:val="0"/>
        <w:spacing w:line="360" w:lineRule="auto"/>
        <w:ind w:firstLine="6520" w:firstLineChars="2717"/>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pPr>
        <w:rPr>
          <w:sz w:val="24"/>
        </w:rPr>
      </w:pPr>
    </w:p>
    <w:p>
      <w:pPr>
        <w:widowControl/>
        <w:jc w:val="left"/>
        <w:rPr>
          <w:sz w:val="24"/>
        </w:rPr>
      </w:pPr>
      <w:r>
        <w:rPr>
          <w:sz w:val="24"/>
        </w:rPr>
        <w:br w:type="page"/>
      </w:r>
      <w:r>
        <w:rPr>
          <w:rFonts w:hint="eastAsia"/>
          <w:sz w:val="24"/>
        </w:rPr>
        <w:t>附件2：</w:t>
      </w:r>
    </w:p>
    <w:p>
      <w:pPr>
        <w:widowControl/>
        <w:jc w:val="center"/>
        <w:rPr>
          <w:b/>
          <w:sz w:val="24"/>
        </w:rPr>
      </w:pPr>
      <w:r>
        <w:rPr>
          <w:b/>
          <w:sz w:val="24"/>
        </w:rPr>
        <w:t>授权委托书</w:t>
      </w:r>
    </w:p>
    <w:p>
      <w:pPr>
        <w:spacing w:line="360" w:lineRule="auto"/>
        <w:jc w:val="center"/>
        <w:rPr>
          <w:sz w:val="24"/>
        </w:rPr>
      </w:pPr>
    </w:p>
    <w:p>
      <w:pPr>
        <w:tabs>
          <w:tab w:val="center" w:pos="4819"/>
        </w:tabs>
        <w:autoSpaceDE w:val="0"/>
        <w:autoSpaceDN w:val="0"/>
        <w:adjustRightInd w:val="0"/>
        <w:snapToGrid w:val="0"/>
        <w:spacing w:line="360" w:lineRule="auto"/>
        <w:jc w:val="left"/>
        <w:rPr>
          <w:kern w:val="0"/>
          <w:sz w:val="24"/>
        </w:rPr>
      </w:pPr>
      <w:r>
        <w:rPr>
          <w:sz w:val="24"/>
        </w:rPr>
        <w:t>致：</w:t>
      </w:r>
      <w:r>
        <w:rPr>
          <w:sz w:val="24"/>
          <w:u w:val="single"/>
        </w:rPr>
        <w:t>重庆工商大学</w:t>
      </w:r>
      <w:r>
        <w:rPr>
          <w:sz w:val="24"/>
        </w:rPr>
        <w:t>（采购人名称）</w:t>
      </w:r>
      <w:r>
        <w:rPr>
          <w:sz w:val="24"/>
        </w:rPr>
        <w:tab/>
      </w:r>
    </w:p>
    <w:p>
      <w:pPr>
        <w:tabs>
          <w:tab w:val="left" w:pos="1680"/>
          <w:tab w:val="left" w:pos="4305"/>
          <w:tab w:val="left" w:pos="8000"/>
        </w:tabs>
        <w:autoSpaceDE w:val="0"/>
        <w:autoSpaceDN w:val="0"/>
        <w:adjustRightInd w:val="0"/>
        <w:snapToGrid w:val="0"/>
        <w:spacing w:line="360" w:lineRule="auto"/>
        <w:ind w:firstLine="480" w:firstLineChars="200"/>
        <w:rPr>
          <w:kern w:val="0"/>
          <w:sz w:val="24"/>
        </w:rPr>
      </w:pPr>
    </w:p>
    <w:p>
      <w:pPr>
        <w:tabs>
          <w:tab w:val="left" w:pos="1680"/>
          <w:tab w:val="left" w:pos="4305"/>
          <w:tab w:val="left" w:pos="8000"/>
        </w:tabs>
        <w:autoSpaceDE w:val="0"/>
        <w:autoSpaceDN w:val="0"/>
        <w:adjustRightInd w:val="0"/>
        <w:snapToGrid w:val="0"/>
        <w:spacing w:line="360" w:lineRule="auto"/>
        <w:ind w:firstLine="480" w:firstLineChars="200"/>
        <w:rPr>
          <w:kern w:val="0"/>
          <w:sz w:val="24"/>
        </w:rPr>
      </w:pPr>
      <w:r>
        <w:rPr>
          <w:kern w:val="0"/>
          <w:sz w:val="24"/>
        </w:rPr>
        <w:t>本人</w:t>
      </w:r>
      <w:r>
        <w:rPr>
          <w:kern w:val="0"/>
          <w:sz w:val="24"/>
          <w:u w:val="single"/>
        </w:rPr>
        <w:tab/>
      </w:r>
      <w:r>
        <w:rPr>
          <w:kern w:val="0"/>
          <w:sz w:val="24"/>
        </w:rPr>
        <w:t>（姓名）系</w:t>
      </w:r>
      <w:r>
        <w:rPr>
          <w:kern w:val="0"/>
          <w:sz w:val="24"/>
          <w:u w:val="single"/>
        </w:rPr>
        <w:tab/>
      </w:r>
      <w:r>
        <w:rPr>
          <w:kern w:val="0"/>
          <w:sz w:val="24"/>
        </w:rPr>
        <w:t>（</w:t>
      </w:r>
      <w:r>
        <w:rPr>
          <w:spacing w:val="-1"/>
          <w:kern w:val="0"/>
          <w:sz w:val="24"/>
        </w:rPr>
        <w:t>供应商</w:t>
      </w:r>
      <w:r>
        <w:rPr>
          <w:kern w:val="0"/>
          <w:sz w:val="24"/>
        </w:rPr>
        <w:t>名称</w:t>
      </w:r>
      <w:r>
        <w:rPr>
          <w:spacing w:val="1"/>
          <w:kern w:val="0"/>
          <w:sz w:val="24"/>
        </w:rPr>
        <w:t>）</w:t>
      </w:r>
      <w:r>
        <w:rPr>
          <w:kern w:val="0"/>
          <w:sz w:val="24"/>
        </w:rPr>
        <w:t>的法定代</w:t>
      </w:r>
      <w:r>
        <w:rPr>
          <w:spacing w:val="1"/>
          <w:kern w:val="0"/>
          <w:sz w:val="24"/>
        </w:rPr>
        <w:t>表</w:t>
      </w:r>
      <w:r>
        <w:rPr>
          <w:kern w:val="0"/>
          <w:sz w:val="24"/>
        </w:rPr>
        <w:t>人，现委托</w:t>
      </w:r>
      <w:r>
        <w:rPr>
          <w:kern w:val="0"/>
          <w:sz w:val="24"/>
          <w:u w:val="single"/>
        </w:rPr>
        <w:tab/>
      </w:r>
      <w:r>
        <w:rPr>
          <w:kern w:val="0"/>
          <w:sz w:val="24"/>
          <w:u w:val="single"/>
        </w:rPr>
        <w:t xml:space="preserve">        </w:t>
      </w:r>
      <w:r>
        <w:rPr>
          <w:kern w:val="0"/>
          <w:sz w:val="24"/>
        </w:rPr>
        <w:t>（姓名）为我方代理人。特授权代理人以我方名义签署、澄清、说明、补正、递交、撤回、修改</w:t>
      </w:r>
      <w:r>
        <w:rPr>
          <w:rFonts w:hint="eastAsia"/>
          <w:kern w:val="0"/>
          <w:sz w:val="24"/>
          <w:u w:val="single"/>
        </w:rPr>
        <w:t xml:space="preserve">                      </w:t>
      </w:r>
      <w:r>
        <w:rPr>
          <w:kern w:val="0"/>
          <w:sz w:val="24"/>
        </w:rPr>
        <w:t>（项</w:t>
      </w:r>
      <w:r>
        <w:rPr>
          <w:spacing w:val="-1"/>
          <w:kern w:val="0"/>
          <w:sz w:val="24"/>
        </w:rPr>
        <w:t>目</w:t>
      </w:r>
      <w:r>
        <w:rPr>
          <w:kern w:val="0"/>
          <w:sz w:val="24"/>
        </w:rPr>
        <w:t>名称）的响应文件、签订合同和处理有关事宜。</w:t>
      </w:r>
      <w:r>
        <w:rPr>
          <w:sz w:val="24"/>
        </w:rPr>
        <w:t>我单位对被授权人的签字负全部责任。</w:t>
      </w:r>
    </w:p>
    <w:p>
      <w:pPr>
        <w:snapToGrid w:val="0"/>
        <w:spacing w:line="360" w:lineRule="auto"/>
        <w:ind w:firstLine="480" w:firstLineChars="200"/>
        <w:rPr>
          <w:sz w:val="24"/>
        </w:rPr>
      </w:pPr>
      <w:r>
        <w:rPr>
          <w:sz w:val="24"/>
        </w:rPr>
        <w:t>在撤消授权的书面通知以前，本授权书一直有效。被授权人在授权书有效期内签署的所有文件不因授权的撤消而失效。</w:t>
      </w:r>
    </w:p>
    <w:p>
      <w:pPr>
        <w:snapToGrid w:val="0"/>
        <w:spacing w:line="360" w:lineRule="auto"/>
        <w:ind w:firstLine="480" w:firstLineChars="200"/>
        <w:rPr>
          <w:kern w:val="0"/>
          <w:sz w:val="24"/>
        </w:rPr>
      </w:pPr>
      <w:r>
        <w:rPr>
          <w:kern w:val="0"/>
          <w:sz w:val="24"/>
        </w:rPr>
        <w:t>代理人无转委托权。</w:t>
      </w:r>
    </w:p>
    <w:p>
      <w:pPr>
        <w:snapToGrid w:val="0"/>
        <w:spacing w:line="360" w:lineRule="auto"/>
        <w:ind w:firstLine="480" w:firstLineChars="200"/>
        <w:rPr>
          <w:kern w:val="0"/>
          <w:sz w:val="24"/>
        </w:rPr>
      </w:pPr>
      <w:r>
        <w:rPr>
          <w:kern w:val="0"/>
          <w:sz w:val="24"/>
        </w:rPr>
        <w:t>附：法定代表人身份证明</w:t>
      </w:r>
    </w:p>
    <w:p>
      <w:pPr>
        <w:snapToGrid w:val="0"/>
        <w:spacing w:line="360" w:lineRule="auto"/>
        <w:ind w:firstLine="480" w:firstLineChars="200"/>
        <w:rPr>
          <w:kern w:val="0"/>
          <w:sz w:val="24"/>
        </w:rPr>
      </w:pPr>
    </w:p>
    <w:p>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供 应 商：</w:t>
      </w:r>
      <w:r>
        <w:rPr>
          <w:kern w:val="0"/>
          <w:sz w:val="24"/>
          <w:u w:val="single"/>
        </w:rPr>
        <w:tab/>
      </w:r>
      <w:r>
        <w:rPr>
          <w:kern w:val="0"/>
          <w:sz w:val="24"/>
        </w:rPr>
        <w:t>（</w:t>
      </w:r>
      <w:r>
        <w:rPr>
          <w:spacing w:val="-1"/>
          <w:kern w:val="0"/>
          <w:sz w:val="24"/>
        </w:rPr>
        <w:t>盖</w:t>
      </w:r>
      <w:r>
        <w:rPr>
          <w:kern w:val="0"/>
          <w:sz w:val="24"/>
        </w:rPr>
        <w:t>单位法人章）</w:t>
      </w:r>
    </w:p>
    <w:p>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kern w:val="0"/>
          <w:sz w:val="24"/>
          <w:u w:val="single"/>
        </w:rPr>
        <w:tab/>
      </w:r>
      <w:r>
        <w:rPr>
          <w:kern w:val="0"/>
          <w:sz w:val="24"/>
          <w:u w:val="single"/>
        </w:rPr>
        <w:tab/>
      </w:r>
      <w:r>
        <w:rPr>
          <w:kern w:val="0"/>
          <w:sz w:val="24"/>
        </w:rPr>
        <w:t>（签字）</w:t>
      </w:r>
    </w:p>
    <w:p>
      <w:pPr>
        <w:tabs>
          <w:tab w:val="left" w:pos="5260"/>
        </w:tabs>
        <w:autoSpaceDE w:val="0"/>
        <w:autoSpaceDN w:val="0"/>
        <w:adjustRightInd w:val="0"/>
        <w:snapToGrid w:val="0"/>
        <w:spacing w:line="360" w:lineRule="auto"/>
        <w:ind w:firstLine="1680"/>
        <w:jc w:val="left"/>
        <w:rPr>
          <w:kern w:val="0"/>
          <w:sz w:val="24"/>
        </w:rPr>
      </w:pPr>
      <w:r>
        <w:rPr>
          <w:kern w:val="0"/>
          <w:sz w:val="24"/>
        </w:rPr>
        <w:t>身份证号码：</w:t>
      </w:r>
      <w:r>
        <w:rPr>
          <w:kern w:val="0"/>
          <w:sz w:val="24"/>
          <w:u w:val="single"/>
        </w:rPr>
        <w:tab/>
      </w:r>
    </w:p>
    <w:p>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kern w:val="0"/>
          <w:sz w:val="24"/>
          <w:u w:val="single"/>
        </w:rPr>
        <w:tab/>
      </w:r>
      <w:r>
        <w:rPr>
          <w:kern w:val="0"/>
          <w:sz w:val="24"/>
        </w:rPr>
        <w:t>（签</w:t>
      </w:r>
      <w:r>
        <w:rPr>
          <w:spacing w:val="-1"/>
          <w:kern w:val="0"/>
          <w:sz w:val="24"/>
        </w:rPr>
        <w:t>字</w:t>
      </w:r>
      <w:r>
        <w:rPr>
          <w:kern w:val="0"/>
          <w:sz w:val="24"/>
        </w:rPr>
        <w:t>）</w:t>
      </w:r>
    </w:p>
    <w:p>
      <w:pPr>
        <w:tabs>
          <w:tab w:val="left" w:pos="6825"/>
        </w:tabs>
        <w:autoSpaceDE w:val="0"/>
        <w:autoSpaceDN w:val="0"/>
        <w:adjustRightInd w:val="0"/>
        <w:snapToGrid w:val="0"/>
        <w:spacing w:line="360" w:lineRule="auto"/>
        <w:ind w:firstLine="1680"/>
        <w:jc w:val="left"/>
        <w:rPr>
          <w:kern w:val="0"/>
          <w:sz w:val="24"/>
          <w:u w:val="single"/>
        </w:rPr>
      </w:pPr>
      <w:r>
        <w:rPr>
          <w:kern w:val="0"/>
          <w:sz w:val="24"/>
        </w:rPr>
        <w:t>身份证号码：</w:t>
      </w:r>
      <w:r>
        <w:rPr>
          <w:kern w:val="0"/>
          <w:sz w:val="24"/>
          <w:u w:val="single"/>
        </w:rPr>
        <w:tab/>
      </w:r>
    </w:p>
    <w:p>
      <w:pPr>
        <w:tabs>
          <w:tab w:val="left" w:pos="6825"/>
        </w:tabs>
        <w:autoSpaceDE w:val="0"/>
        <w:autoSpaceDN w:val="0"/>
        <w:adjustRightInd w:val="0"/>
        <w:snapToGrid w:val="0"/>
        <w:spacing w:line="360" w:lineRule="auto"/>
        <w:ind w:firstLine="1680"/>
        <w:jc w:val="left"/>
        <w:rPr>
          <w:kern w:val="0"/>
          <w:sz w:val="24"/>
          <w:u w:val="single"/>
        </w:rPr>
      </w:pPr>
      <w:r>
        <w:rPr>
          <w:kern w:val="0"/>
          <w:sz w:val="24"/>
        </w:rPr>
        <w:t>联系电话：</w:t>
      </w:r>
      <w:r>
        <w:rPr>
          <w:kern w:val="0"/>
          <w:sz w:val="24"/>
          <w:u w:val="single"/>
        </w:rPr>
        <w:t xml:space="preserve">                  </w:t>
      </w:r>
      <w:r>
        <w:rPr>
          <w:kern w:val="0"/>
          <w:sz w:val="24"/>
        </w:rPr>
        <w:t>邮箱：</w:t>
      </w:r>
      <w:r>
        <w:rPr>
          <w:kern w:val="0"/>
          <w:sz w:val="24"/>
          <w:u w:val="single"/>
        </w:rPr>
        <w:t xml:space="preserve">            </w:t>
      </w:r>
    </w:p>
    <w:p>
      <w:pPr>
        <w:tabs>
          <w:tab w:val="left" w:pos="4005"/>
          <w:tab w:val="left" w:pos="4100"/>
          <w:tab w:val="left" w:pos="5040"/>
        </w:tabs>
        <w:autoSpaceDE w:val="0"/>
        <w:autoSpaceDN w:val="0"/>
        <w:adjustRightInd w:val="0"/>
        <w:snapToGrid w:val="0"/>
        <w:spacing w:line="360" w:lineRule="auto"/>
        <w:ind w:firstLine="2880" w:firstLineChars="1200"/>
        <w:jc w:val="left"/>
        <w:rPr>
          <w:kern w:val="0"/>
          <w:sz w:val="24"/>
        </w:rPr>
      </w:pPr>
      <w:r>
        <w:rPr>
          <w:kern w:val="0"/>
          <w:sz w:val="24"/>
          <w:u w:val="single"/>
        </w:rPr>
        <w:tab/>
      </w:r>
      <w:r>
        <w:rPr>
          <w:kern w:val="0"/>
          <w:sz w:val="24"/>
        </w:rPr>
        <w:t>年</w:t>
      </w:r>
      <w:r>
        <w:rPr>
          <w:kern w:val="0"/>
          <w:sz w:val="24"/>
          <w:u w:val="single"/>
        </w:rPr>
        <w:tab/>
      </w:r>
      <w:r>
        <w:rPr>
          <w:kern w:val="0"/>
          <w:sz w:val="24"/>
        </w:rPr>
        <w:t>月</w:t>
      </w:r>
      <w:r>
        <w:rPr>
          <w:kern w:val="0"/>
          <w:sz w:val="24"/>
          <w:u w:val="single"/>
        </w:rPr>
        <w:tab/>
      </w:r>
      <w:r>
        <w:rPr>
          <w:kern w:val="0"/>
          <w:sz w:val="24"/>
          <w:u w:val="single"/>
        </w:rPr>
        <w:t xml:space="preserve">    </w:t>
      </w:r>
      <w:r>
        <w:rPr>
          <w:kern w:val="0"/>
          <w:sz w:val="24"/>
        </w:rPr>
        <w:t>日</w:t>
      </w:r>
    </w:p>
    <w:p>
      <w:pPr>
        <w:rPr>
          <w:vanish/>
          <w:sz w:val="24"/>
        </w:rPr>
      </w:pPr>
    </w:p>
    <w:tbl>
      <w:tblPr>
        <w:tblStyle w:val="10"/>
        <w:tblpPr w:leftFromText="180" w:rightFromText="180" w:vertAnchor="text" w:horzAnchor="margin" w:tblpY="145"/>
        <w:tblW w:w="935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935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962" w:hRule="atLeast"/>
        </w:trPr>
        <w:tc>
          <w:tcPr>
            <w:tcW w:w="9351" w:type="dxa"/>
            <w:tcBorders>
              <w:top w:val="dotDotDash" w:color="auto" w:sz="4" w:space="0"/>
              <w:left w:val="dotDotDash" w:color="auto" w:sz="4" w:space="0"/>
              <w:bottom w:val="dotDotDash" w:color="auto" w:sz="4" w:space="0"/>
              <w:right w:val="dotDotDash" w:color="auto" w:sz="4" w:space="0"/>
            </w:tcBorders>
          </w:tcPr>
          <w:p>
            <w:pPr>
              <w:spacing w:line="520" w:lineRule="exact"/>
              <w:rPr>
                <w:b/>
                <w:sz w:val="24"/>
              </w:rPr>
            </w:pPr>
            <w:r>
              <w:rPr>
                <w:sz w:val="24"/>
              </w:rPr>
              <w:t>授权代理人身份证</w:t>
            </w:r>
            <w:r>
              <w:rPr>
                <w:b/>
                <w:sz w:val="24"/>
              </w:rPr>
              <w:t>彩色扫描件</w:t>
            </w:r>
          </w:p>
          <w:p>
            <w:pPr>
              <w:spacing w:line="520" w:lineRule="exact"/>
              <w:rPr>
                <w:b/>
                <w:sz w:val="24"/>
              </w:rPr>
            </w:pPr>
          </w:p>
          <w:p>
            <w:pPr>
              <w:spacing w:line="520" w:lineRule="exact"/>
              <w:jc w:val="center"/>
              <w:rPr>
                <w:b/>
                <w:sz w:val="24"/>
              </w:rPr>
            </w:pPr>
            <w:r>
              <w:rPr>
                <w:b/>
                <w:sz w:val="24"/>
              </w:rPr>
              <w:t>正反面</w:t>
            </w:r>
          </w:p>
          <w:p>
            <w:pPr>
              <w:spacing w:line="520" w:lineRule="exact"/>
              <w:rPr>
                <w:b/>
                <w:sz w:val="24"/>
              </w:rPr>
            </w:pPr>
          </w:p>
          <w:p>
            <w:pPr>
              <w:spacing w:line="520" w:lineRule="exact"/>
              <w:rPr>
                <w:b/>
                <w:sz w:val="24"/>
              </w:rPr>
            </w:pPr>
          </w:p>
        </w:tc>
      </w:tr>
    </w:tbl>
    <w:p>
      <w:pPr>
        <w:snapToGrid w:val="0"/>
        <w:spacing w:line="312" w:lineRule="auto"/>
        <w:ind w:firstLine="482" w:firstLineChars="200"/>
        <w:rPr>
          <w:b/>
          <w:kern w:val="0"/>
          <w:sz w:val="24"/>
        </w:rPr>
      </w:pPr>
    </w:p>
    <w:p>
      <w:pPr>
        <w:snapToGrid w:val="0"/>
        <w:spacing w:line="312" w:lineRule="auto"/>
        <w:ind w:firstLine="482" w:firstLineChars="200"/>
        <w:rPr>
          <w:kern w:val="0"/>
          <w:sz w:val="24"/>
        </w:rPr>
      </w:pPr>
      <w:r>
        <w:rPr>
          <w:b/>
          <w:kern w:val="0"/>
          <w:sz w:val="24"/>
        </w:rPr>
        <w:t>注：法定代表人签署文件的不需要授权委托书，删除本页，只需提供法定代表人身份证明。</w:t>
      </w:r>
    </w:p>
    <w:p>
      <w:pPr>
        <w:widowControl/>
        <w:jc w:val="left"/>
        <w:rPr>
          <w:b/>
          <w:sz w:val="24"/>
        </w:rPr>
      </w:pPr>
      <w:r>
        <w:rPr>
          <w:b/>
          <w:sz w:val="24"/>
        </w:rPr>
        <w:br w:type="page"/>
      </w:r>
    </w:p>
    <w:p>
      <w:pPr>
        <w:spacing w:line="360" w:lineRule="auto"/>
        <w:jc w:val="left"/>
        <w:rPr>
          <w:sz w:val="24"/>
        </w:rPr>
      </w:pPr>
      <w:r>
        <w:rPr>
          <w:rFonts w:hint="eastAsia"/>
          <w:sz w:val="24"/>
        </w:rPr>
        <w:t>附件3：</w:t>
      </w:r>
    </w:p>
    <w:p>
      <w:pPr>
        <w:spacing w:line="360" w:lineRule="auto"/>
        <w:jc w:val="center"/>
        <w:rPr>
          <w:b/>
          <w:sz w:val="24"/>
        </w:rPr>
      </w:pPr>
      <w:r>
        <w:rPr>
          <w:b/>
          <w:sz w:val="24"/>
        </w:rPr>
        <w:t>法定代表人身份证明</w:t>
      </w:r>
    </w:p>
    <w:p>
      <w:pPr>
        <w:spacing w:line="360" w:lineRule="auto"/>
        <w:jc w:val="center"/>
        <w:rPr>
          <w:sz w:val="24"/>
        </w:rPr>
      </w:pPr>
    </w:p>
    <w:p>
      <w:pPr>
        <w:tabs>
          <w:tab w:val="left" w:pos="5565"/>
        </w:tabs>
        <w:autoSpaceDE w:val="0"/>
        <w:autoSpaceDN w:val="0"/>
        <w:adjustRightInd w:val="0"/>
        <w:snapToGrid w:val="0"/>
        <w:spacing w:line="360" w:lineRule="auto"/>
        <w:ind w:firstLine="480" w:firstLineChars="200"/>
        <w:jc w:val="left"/>
        <w:rPr>
          <w:kern w:val="0"/>
          <w:sz w:val="24"/>
        </w:rPr>
      </w:pPr>
      <w:r>
        <w:rPr>
          <w:kern w:val="0"/>
          <w:sz w:val="24"/>
        </w:rPr>
        <w:t>供应商名称：</w:t>
      </w:r>
      <w:r>
        <w:rPr>
          <w:kern w:val="0"/>
          <w:sz w:val="24"/>
          <w:u w:val="single"/>
        </w:rPr>
        <w:tab/>
      </w:r>
    </w:p>
    <w:p>
      <w:pPr>
        <w:tabs>
          <w:tab w:val="left" w:pos="5475"/>
        </w:tabs>
        <w:autoSpaceDE w:val="0"/>
        <w:autoSpaceDN w:val="0"/>
        <w:adjustRightInd w:val="0"/>
        <w:snapToGrid w:val="0"/>
        <w:spacing w:line="360" w:lineRule="auto"/>
        <w:ind w:firstLine="480" w:firstLineChars="200"/>
        <w:jc w:val="left"/>
        <w:rPr>
          <w:kern w:val="0"/>
          <w:sz w:val="24"/>
        </w:rPr>
      </w:pPr>
      <w:r>
        <w:rPr>
          <w:kern w:val="0"/>
          <w:sz w:val="24"/>
        </w:rPr>
        <w:t>单位性质：</w:t>
      </w:r>
      <w:r>
        <w:rPr>
          <w:kern w:val="0"/>
          <w:sz w:val="24"/>
          <w:u w:val="single"/>
        </w:rPr>
        <w:tab/>
      </w:r>
    </w:p>
    <w:p>
      <w:pPr>
        <w:tabs>
          <w:tab w:val="left" w:pos="5475"/>
        </w:tabs>
        <w:autoSpaceDE w:val="0"/>
        <w:autoSpaceDN w:val="0"/>
        <w:adjustRightInd w:val="0"/>
        <w:snapToGrid w:val="0"/>
        <w:spacing w:line="360" w:lineRule="auto"/>
        <w:ind w:firstLine="480" w:firstLineChars="200"/>
        <w:jc w:val="left"/>
        <w:rPr>
          <w:kern w:val="0"/>
          <w:sz w:val="24"/>
        </w:rPr>
      </w:pPr>
      <w:r>
        <w:rPr>
          <w:kern w:val="0"/>
          <w:sz w:val="24"/>
        </w:rPr>
        <w:t>地址：</w:t>
      </w:r>
      <w:r>
        <w:rPr>
          <w:kern w:val="0"/>
          <w:sz w:val="24"/>
          <w:u w:val="single"/>
        </w:rPr>
        <w:tab/>
      </w:r>
    </w:p>
    <w:p>
      <w:pPr>
        <w:tabs>
          <w:tab w:val="left" w:pos="2520"/>
          <w:tab w:val="left" w:pos="3836"/>
        </w:tabs>
        <w:autoSpaceDE w:val="0"/>
        <w:autoSpaceDN w:val="0"/>
        <w:adjustRightInd w:val="0"/>
        <w:snapToGrid w:val="0"/>
        <w:spacing w:line="360" w:lineRule="auto"/>
        <w:ind w:firstLine="480" w:firstLineChars="200"/>
        <w:jc w:val="left"/>
        <w:rPr>
          <w:kern w:val="0"/>
          <w:sz w:val="24"/>
        </w:rPr>
      </w:pPr>
      <w:r>
        <w:rPr>
          <w:kern w:val="0"/>
          <w:sz w:val="24"/>
        </w:rPr>
        <w:t>成立时间：</w:t>
      </w:r>
      <w:r>
        <w:rPr>
          <w:kern w:val="0"/>
          <w:sz w:val="24"/>
          <w:u w:val="single"/>
        </w:rPr>
        <w:tab/>
      </w:r>
      <w:r>
        <w:rPr>
          <w:spacing w:val="-1"/>
          <w:kern w:val="0"/>
          <w:sz w:val="24"/>
        </w:rPr>
        <w:t>年</w:t>
      </w:r>
      <w:r>
        <w:rPr>
          <w:kern w:val="0"/>
          <w:sz w:val="24"/>
          <w:u w:val="single"/>
        </w:rPr>
        <w:tab/>
      </w:r>
      <w:r>
        <w:rPr>
          <w:spacing w:val="-1"/>
          <w:kern w:val="0"/>
          <w:sz w:val="24"/>
        </w:rPr>
        <w:t>月</w:t>
      </w:r>
      <w:r>
        <w:rPr>
          <w:spacing w:val="-1"/>
          <w:kern w:val="0"/>
          <w:sz w:val="24"/>
          <w:u w:val="single"/>
        </w:rPr>
        <w:t xml:space="preserve">   </w:t>
      </w:r>
      <w:r>
        <w:rPr>
          <w:kern w:val="0"/>
          <w:sz w:val="24"/>
        </w:rPr>
        <w:t>日</w:t>
      </w:r>
    </w:p>
    <w:p>
      <w:pPr>
        <w:tabs>
          <w:tab w:val="left" w:pos="5475"/>
        </w:tabs>
        <w:autoSpaceDE w:val="0"/>
        <w:autoSpaceDN w:val="0"/>
        <w:adjustRightInd w:val="0"/>
        <w:snapToGrid w:val="0"/>
        <w:spacing w:line="360" w:lineRule="auto"/>
        <w:ind w:firstLine="480" w:firstLineChars="200"/>
        <w:jc w:val="left"/>
        <w:rPr>
          <w:kern w:val="0"/>
          <w:sz w:val="24"/>
        </w:rPr>
      </w:pPr>
      <w:r>
        <w:rPr>
          <w:kern w:val="0"/>
          <w:sz w:val="24"/>
        </w:rPr>
        <w:t>经营期限：</w:t>
      </w:r>
      <w:r>
        <w:rPr>
          <w:kern w:val="0"/>
          <w:sz w:val="24"/>
          <w:u w:val="single"/>
        </w:rPr>
        <w:tab/>
      </w:r>
    </w:p>
    <w:p>
      <w:pPr>
        <w:tabs>
          <w:tab w:val="left" w:pos="1580"/>
          <w:tab w:val="left" w:pos="3260"/>
          <w:tab w:val="left" w:pos="4840"/>
          <w:tab w:val="left" w:pos="6300"/>
        </w:tabs>
        <w:autoSpaceDE w:val="0"/>
        <w:autoSpaceDN w:val="0"/>
        <w:adjustRightInd w:val="0"/>
        <w:snapToGrid w:val="0"/>
        <w:spacing w:line="360" w:lineRule="auto"/>
        <w:ind w:firstLine="480" w:firstLineChars="200"/>
        <w:jc w:val="left"/>
        <w:rPr>
          <w:kern w:val="0"/>
          <w:sz w:val="24"/>
        </w:rPr>
      </w:pPr>
      <w:r>
        <w:rPr>
          <w:kern w:val="0"/>
          <w:sz w:val="24"/>
        </w:rPr>
        <w:t>姓名：</w:t>
      </w:r>
      <w:r>
        <w:rPr>
          <w:kern w:val="0"/>
          <w:sz w:val="24"/>
          <w:u w:val="single"/>
        </w:rPr>
        <w:tab/>
      </w:r>
      <w:r>
        <w:rPr>
          <w:kern w:val="0"/>
          <w:sz w:val="24"/>
        </w:rPr>
        <w:t>性别</w:t>
      </w:r>
      <w:r>
        <w:rPr>
          <w:spacing w:val="-1"/>
          <w:kern w:val="0"/>
          <w:sz w:val="24"/>
        </w:rPr>
        <w:t>：</w:t>
      </w:r>
      <w:r>
        <w:rPr>
          <w:kern w:val="0"/>
          <w:sz w:val="24"/>
          <w:u w:val="single"/>
        </w:rPr>
        <w:tab/>
      </w:r>
      <w:r>
        <w:rPr>
          <w:spacing w:val="-1"/>
          <w:kern w:val="0"/>
          <w:sz w:val="24"/>
        </w:rPr>
        <w:t>年</w:t>
      </w:r>
      <w:r>
        <w:rPr>
          <w:kern w:val="0"/>
          <w:sz w:val="24"/>
        </w:rPr>
        <w:t>龄：</w:t>
      </w:r>
      <w:r>
        <w:rPr>
          <w:kern w:val="0"/>
          <w:sz w:val="24"/>
          <w:u w:val="single"/>
        </w:rPr>
        <w:tab/>
      </w:r>
      <w:r>
        <w:rPr>
          <w:kern w:val="0"/>
          <w:sz w:val="24"/>
        </w:rPr>
        <w:t>职务：</w:t>
      </w:r>
      <w:r>
        <w:rPr>
          <w:kern w:val="0"/>
          <w:sz w:val="24"/>
          <w:u w:val="single"/>
        </w:rPr>
        <w:tab/>
      </w:r>
    </w:p>
    <w:p>
      <w:pPr>
        <w:tabs>
          <w:tab w:val="left" w:pos="3360"/>
        </w:tabs>
        <w:autoSpaceDE w:val="0"/>
        <w:autoSpaceDN w:val="0"/>
        <w:adjustRightInd w:val="0"/>
        <w:snapToGrid w:val="0"/>
        <w:spacing w:line="360" w:lineRule="auto"/>
        <w:ind w:firstLine="480" w:firstLineChars="200"/>
        <w:jc w:val="left"/>
        <w:rPr>
          <w:kern w:val="0"/>
          <w:sz w:val="24"/>
        </w:rPr>
      </w:pPr>
      <w:r>
        <w:rPr>
          <w:kern w:val="0"/>
          <w:sz w:val="24"/>
        </w:rPr>
        <w:t>系</w:t>
      </w:r>
      <w:r>
        <w:rPr>
          <w:kern w:val="0"/>
          <w:sz w:val="24"/>
          <w:u w:val="single"/>
        </w:rPr>
        <w:tab/>
      </w:r>
      <w:r>
        <w:rPr>
          <w:kern w:val="0"/>
          <w:sz w:val="24"/>
        </w:rPr>
        <w:t>（供应商名称）的法定代表人。</w:t>
      </w:r>
    </w:p>
    <w:p>
      <w:pPr>
        <w:tabs>
          <w:tab w:val="left" w:pos="3360"/>
        </w:tabs>
        <w:autoSpaceDE w:val="0"/>
        <w:autoSpaceDN w:val="0"/>
        <w:adjustRightInd w:val="0"/>
        <w:snapToGrid w:val="0"/>
        <w:spacing w:line="360" w:lineRule="auto"/>
        <w:ind w:firstLine="480" w:firstLineChars="200"/>
        <w:jc w:val="left"/>
        <w:rPr>
          <w:kern w:val="0"/>
          <w:sz w:val="24"/>
          <w:u w:val="single"/>
        </w:rPr>
      </w:pPr>
      <w:r>
        <w:rPr>
          <w:kern w:val="0"/>
          <w:sz w:val="24"/>
        </w:rPr>
        <w:t>联系电话：</w:t>
      </w:r>
      <w:r>
        <w:rPr>
          <w:kern w:val="0"/>
          <w:sz w:val="24"/>
          <w:u w:val="single"/>
        </w:rPr>
        <w:t xml:space="preserve">              </w:t>
      </w:r>
      <w:r>
        <w:rPr>
          <w:kern w:val="0"/>
          <w:sz w:val="24"/>
        </w:rPr>
        <w:t>。</w:t>
      </w:r>
    </w:p>
    <w:p>
      <w:pPr>
        <w:autoSpaceDE w:val="0"/>
        <w:autoSpaceDN w:val="0"/>
        <w:adjustRightInd w:val="0"/>
        <w:snapToGrid w:val="0"/>
        <w:spacing w:line="360" w:lineRule="auto"/>
        <w:ind w:firstLine="480" w:firstLineChars="200"/>
        <w:jc w:val="left"/>
        <w:rPr>
          <w:kern w:val="0"/>
          <w:sz w:val="24"/>
        </w:rPr>
      </w:pPr>
      <w:r>
        <w:rPr>
          <w:kern w:val="0"/>
          <w:sz w:val="24"/>
        </w:rPr>
        <w:t>特此证明。</w:t>
      </w:r>
    </w:p>
    <w:p>
      <w:pPr>
        <w:autoSpaceDE w:val="0"/>
        <w:autoSpaceDN w:val="0"/>
        <w:adjustRightInd w:val="0"/>
        <w:snapToGrid w:val="0"/>
        <w:spacing w:line="360" w:lineRule="auto"/>
        <w:ind w:firstLine="480" w:firstLineChars="200"/>
        <w:jc w:val="left"/>
        <w:rPr>
          <w:kern w:val="0"/>
          <w:sz w:val="24"/>
        </w:rPr>
      </w:pPr>
    </w:p>
    <w:tbl>
      <w:tblPr>
        <w:tblStyle w:val="10"/>
        <w:tblpPr w:leftFromText="180" w:rightFromText="180" w:vertAnchor="text" w:horzAnchor="margin" w:tblpY="264"/>
        <w:tblW w:w="935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935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8" w:hRule="atLeast"/>
        </w:trPr>
        <w:tc>
          <w:tcPr>
            <w:tcW w:w="9351" w:type="dxa"/>
            <w:tcBorders>
              <w:top w:val="dotDotDash" w:color="auto" w:sz="4" w:space="0"/>
              <w:left w:val="dotDotDash" w:color="auto" w:sz="4" w:space="0"/>
              <w:bottom w:val="dotDotDash" w:color="auto" w:sz="4" w:space="0"/>
              <w:right w:val="dotDotDash" w:color="auto" w:sz="4" w:space="0"/>
            </w:tcBorders>
          </w:tcPr>
          <w:p>
            <w:pPr>
              <w:spacing w:line="520" w:lineRule="exact"/>
              <w:ind w:firstLine="240" w:firstLineChars="100"/>
              <w:rPr>
                <w:b/>
                <w:sz w:val="24"/>
              </w:rPr>
            </w:pPr>
            <w:r>
              <w:rPr>
                <w:sz w:val="24"/>
              </w:rPr>
              <w:t>法定代表人身份证</w:t>
            </w:r>
            <w:r>
              <w:rPr>
                <w:b/>
                <w:sz w:val="24"/>
              </w:rPr>
              <w:t>彩色扫描件</w:t>
            </w:r>
          </w:p>
          <w:p>
            <w:pPr>
              <w:spacing w:line="520" w:lineRule="exact"/>
              <w:rPr>
                <w:b/>
                <w:sz w:val="24"/>
              </w:rPr>
            </w:pPr>
          </w:p>
          <w:p>
            <w:pPr>
              <w:spacing w:line="520" w:lineRule="exact"/>
              <w:jc w:val="center"/>
              <w:rPr>
                <w:b/>
                <w:sz w:val="24"/>
              </w:rPr>
            </w:pPr>
            <w:r>
              <w:rPr>
                <w:b/>
                <w:sz w:val="24"/>
              </w:rPr>
              <w:t>（正反面）</w:t>
            </w:r>
          </w:p>
          <w:p>
            <w:pPr>
              <w:spacing w:line="520" w:lineRule="exact"/>
              <w:rPr>
                <w:b/>
                <w:sz w:val="24"/>
              </w:rPr>
            </w:pPr>
          </w:p>
          <w:p>
            <w:pPr>
              <w:spacing w:line="520" w:lineRule="exact"/>
              <w:rPr>
                <w:b/>
                <w:sz w:val="24"/>
              </w:rPr>
            </w:pPr>
          </w:p>
        </w:tc>
      </w:tr>
    </w:tbl>
    <w:p>
      <w:pPr>
        <w:autoSpaceDE w:val="0"/>
        <w:autoSpaceDN w:val="0"/>
        <w:adjustRightInd w:val="0"/>
        <w:snapToGrid w:val="0"/>
        <w:spacing w:line="360" w:lineRule="auto"/>
        <w:jc w:val="left"/>
        <w:rPr>
          <w:kern w:val="0"/>
          <w:sz w:val="24"/>
        </w:rPr>
      </w:pPr>
    </w:p>
    <w:p>
      <w:pPr>
        <w:tabs>
          <w:tab w:val="left" w:pos="5460"/>
        </w:tabs>
        <w:autoSpaceDE w:val="0"/>
        <w:autoSpaceDN w:val="0"/>
        <w:adjustRightInd w:val="0"/>
        <w:snapToGrid w:val="0"/>
        <w:spacing w:line="360" w:lineRule="auto"/>
        <w:ind w:firstLine="2100"/>
        <w:jc w:val="left"/>
        <w:rPr>
          <w:kern w:val="0"/>
          <w:sz w:val="24"/>
        </w:rPr>
      </w:pPr>
    </w:p>
    <w:p>
      <w:pPr>
        <w:tabs>
          <w:tab w:val="left" w:pos="5460"/>
        </w:tabs>
        <w:autoSpaceDE w:val="0"/>
        <w:autoSpaceDN w:val="0"/>
        <w:adjustRightInd w:val="0"/>
        <w:snapToGrid w:val="0"/>
        <w:spacing w:line="360" w:lineRule="auto"/>
        <w:ind w:firstLine="2100"/>
        <w:jc w:val="left"/>
        <w:rPr>
          <w:kern w:val="0"/>
          <w:sz w:val="24"/>
        </w:rPr>
      </w:pPr>
    </w:p>
    <w:p>
      <w:pPr>
        <w:tabs>
          <w:tab w:val="left" w:pos="5460"/>
        </w:tabs>
        <w:autoSpaceDE w:val="0"/>
        <w:autoSpaceDN w:val="0"/>
        <w:adjustRightInd w:val="0"/>
        <w:snapToGrid w:val="0"/>
        <w:spacing w:line="360" w:lineRule="auto"/>
        <w:ind w:firstLine="2100"/>
        <w:jc w:val="left"/>
        <w:rPr>
          <w:kern w:val="0"/>
          <w:sz w:val="24"/>
        </w:rPr>
      </w:pPr>
    </w:p>
    <w:p>
      <w:pPr>
        <w:tabs>
          <w:tab w:val="left" w:pos="6300"/>
        </w:tabs>
        <w:snapToGrid w:val="0"/>
        <w:spacing w:line="360" w:lineRule="auto"/>
        <w:ind w:firstLine="3828" w:firstLineChars="1595"/>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供应商（盖单位法人章）： </w:t>
      </w:r>
    </w:p>
    <w:p>
      <w:pPr>
        <w:tabs>
          <w:tab w:val="left" w:pos="6300"/>
        </w:tabs>
        <w:snapToGrid w:val="0"/>
        <w:spacing w:line="360" w:lineRule="auto"/>
        <w:ind w:firstLine="3828" w:firstLineChars="1595"/>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法定代表人（签字）：</w:t>
      </w:r>
    </w:p>
    <w:p>
      <w:pPr>
        <w:wordWrap w:val="0"/>
        <w:autoSpaceDE w:val="0"/>
        <w:autoSpaceDN w:val="0"/>
        <w:adjustRightInd w:val="0"/>
        <w:snapToGrid w:val="0"/>
        <w:spacing w:line="360" w:lineRule="auto"/>
        <w:ind w:firstLine="3780"/>
        <w:jc w:val="right"/>
        <w:rPr>
          <w:kern w:val="0"/>
          <w:sz w:val="24"/>
        </w:rPr>
      </w:pPr>
      <w:r>
        <w:rPr>
          <w:kern w:val="0"/>
          <w:sz w:val="24"/>
          <w:u w:val="single"/>
        </w:rPr>
        <w:tab/>
      </w:r>
      <w:r>
        <w:rPr>
          <w:kern w:val="0"/>
          <w:sz w:val="24"/>
          <w:u w:val="single"/>
        </w:rPr>
        <w:t xml:space="preserve">  </w:t>
      </w:r>
      <w:r>
        <w:rPr>
          <w:spacing w:val="-1"/>
          <w:kern w:val="0"/>
          <w:sz w:val="24"/>
        </w:rPr>
        <w:t>年</w:t>
      </w:r>
      <w:r>
        <w:rPr>
          <w:b/>
          <w:w w:val="99"/>
          <w:kern w:val="0"/>
          <w:sz w:val="24"/>
          <w:u w:val="single"/>
        </w:rPr>
        <w:t xml:space="preserve">　 </w:t>
      </w:r>
      <w:r>
        <w:rPr>
          <w:kern w:val="0"/>
          <w:sz w:val="24"/>
        </w:rPr>
        <w:t>月</w:t>
      </w:r>
      <w:r>
        <w:rPr>
          <w:b/>
          <w:w w:val="99"/>
          <w:kern w:val="0"/>
          <w:sz w:val="24"/>
          <w:u w:val="single"/>
        </w:rPr>
        <w:t xml:space="preserve">　 </w:t>
      </w:r>
      <w:r>
        <w:rPr>
          <w:kern w:val="0"/>
          <w:sz w:val="24"/>
        </w:rPr>
        <w:t xml:space="preserve">日            </w:t>
      </w:r>
    </w:p>
    <w:p>
      <w:pPr>
        <w:snapToGrid w:val="0"/>
        <w:spacing w:line="312" w:lineRule="auto"/>
        <w:ind w:firstLine="480" w:firstLineChars="200"/>
        <w:rPr>
          <w:kern w:val="0"/>
          <w:sz w:val="24"/>
        </w:rPr>
      </w:pPr>
    </w:p>
    <w:p>
      <w:pPr>
        <w:widowControl/>
        <w:jc w:val="left"/>
        <w:rPr>
          <w:bCs/>
          <w:sz w:val="24"/>
        </w:rPr>
      </w:pPr>
      <w:r>
        <w:rPr>
          <w:bCs/>
          <w:sz w:val="24"/>
        </w:rPr>
        <w:br w:type="page"/>
      </w:r>
    </w:p>
    <w:p>
      <w:pPr>
        <w:spacing w:line="360" w:lineRule="auto"/>
        <w:jc w:val="left"/>
        <w:rPr>
          <w:bCs/>
          <w:sz w:val="24"/>
        </w:rPr>
      </w:pPr>
      <w:r>
        <w:rPr>
          <w:rFonts w:hint="eastAsia"/>
          <w:bCs/>
          <w:sz w:val="24"/>
        </w:rPr>
        <w:t>附件4：</w:t>
      </w:r>
    </w:p>
    <w:p>
      <w:pPr>
        <w:spacing w:line="360" w:lineRule="auto"/>
        <w:jc w:val="center"/>
        <w:rPr>
          <w:b/>
          <w:sz w:val="24"/>
        </w:rPr>
      </w:pPr>
      <w:r>
        <w:rPr>
          <w:b/>
          <w:sz w:val="24"/>
        </w:rPr>
        <w:t>供应商（</w:t>
      </w:r>
      <w:r>
        <w:rPr>
          <w:rFonts w:hint="eastAsia"/>
          <w:b/>
          <w:sz w:val="24"/>
        </w:rPr>
        <w:t>竞标人</w:t>
      </w:r>
      <w:r>
        <w:rPr>
          <w:b/>
          <w:sz w:val="24"/>
        </w:rPr>
        <w:t>）基本情况表</w:t>
      </w:r>
    </w:p>
    <w:tbl>
      <w:tblPr>
        <w:tblStyle w:val="10"/>
        <w:tblW w:w="9359" w:type="dxa"/>
        <w:tblInd w:w="-8" w:type="dxa"/>
        <w:tblLayout w:type="fixed"/>
        <w:tblCellMar>
          <w:top w:w="0" w:type="dxa"/>
          <w:left w:w="0" w:type="dxa"/>
          <w:bottom w:w="0" w:type="dxa"/>
          <w:right w:w="0" w:type="dxa"/>
        </w:tblCellMar>
      </w:tblPr>
      <w:tblGrid>
        <w:gridCol w:w="1704"/>
        <w:gridCol w:w="851"/>
        <w:gridCol w:w="1417"/>
        <w:gridCol w:w="993"/>
        <w:gridCol w:w="283"/>
        <w:gridCol w:w="978"/>
        <w:gridCol w:w="308"/>
        <w:gridCol w:w="850"/>
        <w:gridCol w:w="1975"/>
      </w:tblGrid>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rFonts w:hint="eastAsia"/>
                <w:sz w:val="24"/>
              </w:rPr>
              <w:t>竞标人</w:t>
            </w:r>
            <w:r>
              <w:rPr>
                <w:sz w:val="24"/>
              </w:rPr>
              <w:t>名称</w:t>
            </w:r>
          </w:p>
        </w:tc>
        <w:tc>
          <w:tcPr>
            <w:tcW w:w="765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注册地址</w:t>
            </w:r>
          </w:p>
        </w:tc>
        <w:tc>
          <w:tcPr>
            <w:tcW w:w="354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邮政编码</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联系方式</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联系人</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电话</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rPr>
          <w:trHeight w:val="683"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400" w:lineRule="exact"/>
              <w:jc w:val="center"/>
              <w:rPr>
                <w:sz w:val="24"/>
              </w:rPr>
            </w:pPr>
            <w:r>
              <w:rPr>
                <w:sz w:val="24"/>
              </w:rPr>
              <w:t>传 真</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网址</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法定代表人</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技术职称</w:t>
            </w:r>
          </w:p>
        </w:tc>
        <w:tc>
          <w:tcPr>
            <w:tcW w:w="15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电话</w:t>
            </w:r>
          </w:p>
        </w:tc>
        <w:tc>
          <w:tcPr>
            <w:tcW w:w="1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技术负责人</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技术职称</w:t>
            </w:r>
          </w:p>
        </w:tc>
        <w:tc>
          <w:tcPr>
            <w:tcW w:w="15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电话</w:t>
            </w:r>
          </w:p>
        </w:tc>
        <w:tc>
          <w:tcPr>
            <w:tcW w:w="1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成立时间</w:t>
            </w:r>
          </w:p>
        </w:tc>
        <w:tc>
          <w:tcPr>
            <w:tcW w:w="2268"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400" w:lineRule="exact"/>
              <w:rPr>
                <w:sz w:val="24"/>
              </w:rPr>
            </w:pPr>
          </w:p>
        </w:tc>
        <w:tc>
          <w:tcPr>
            <w:tcW w:w="5387" w:type="dxa"/>
            <w:gridSpan w:val="6"/>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400" w:lineRule="exact"/>
              <w:ind w:left="126" w:leftChars="60"/>
              <w:rPr>
                <w:sz w:val="24"/>
              </w:rPr>
            </w:pPr>
            <w:r>
              <w:rPr>
                <w:sz w:val="24"/>
              </w:rPr>
              <w:t>员工总人数：</w:t>
            </w: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企业资质等级</w:t>
            </w:r>
          </w:p>
          <w:p>
            <w:pPr>
              <w:autoSpaceDE w:val="0"/>
              <w:autoSpaceDN w:val="0"/>
              <w:adjustRightInd w:val="0"/>
              <w:snapToGrid w:val="0"/>
              <w:spacing w:line="400" w:lineRule="exact"/>
              <w:jc w:val="center"/>
              <w:rPr>
                <w:sz w:val="24"/>
              </w:rPr>
            </w:pPr>
            <w:r>
              <w:rPr>
                <w:sz w:val="24"/>
              </w:rPr>
              <w:t>（如有）</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获得的许可证名称（如有）</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统一社会信用代码</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注册资金</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开户银行</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400" w:lineRule="exact"/>
              <w:jc w:val="center"/>
              <w:rPr>
                <w:sz w:val="24"/>
              </w:rPr>
            </w:pPr>
            <w:r>
              <w:rPr>
                <w:sz w:val="24"/>
              </w:rPr>
              <w:t>账号</w:t>
            </w:r>
          </w:p>
        </w:tc>
        <w:tc>
          <w:tcPr>
            <w:tcW w:w="765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1559" w:hRule="exac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经营范围</w:t>
            </w:r>
          </w:p>
        </w:tc>
        <w:tc>
          <w:tcPr>
            <w:tcW w:w="7655" w:type="dxa"/>
            <w:gridSpan w:val="8"/>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r>
        <w:tblPrEx>
          <w:tblCellMar>
            <w:top w:w="0" w:type="dxa"/>
            <w:left w:w="0" w:type="dxa"/>
            <w:bottom w:w="0" w:type="dxa"/>
            <w:right w:w="0" w:type="dxa"/>
          </w:tblCellMar>
        </w:tblPrEx>
        <w:trPr>
          <w:trHeight w:val="788" w:hRule="exact"/>
        </w:trPr>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sz w:val="24"/>
              </w:rPr>
            </w:pPr>
            <w:r>
              <w:rPr>
                <w:sz w:val="24"/>
              </w:rPr>
              <w:t>备注</w:t>
            </w:r>
          </w:p>
        </w:tc>
        <w:tc>
          <w:tcPr>
            <w:tcW w:w="765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rPr>
                <w:sz w:val="24"/>
              </w:rPr>
            </w:pPr>
          </w:p>
        </w:tc>
      </w:tr>
    </w:tbl>
    <w:p>
      <w:pPr>
        <w:jc w:val="center"/>
        <w:rPr>
          <w:b/>
          <w:bCs/>
          <w:sz w:val="32"/>
          <w:szCs w:val="32"/>
        </w:rPr>
      </w:pPr>
    </w:p>
    <w:p>
      <w:pPr>
        <w:widowControl/>
        <w:jc w:val="left"/>
        <w:rPr>
          <w:b/>
          <w:bCs/>
          <w:sz w:val="32"/>
          <w:szCs w:val="32"/>
        </w:rPr>
      </w:pPr>
      <w:r>
        <w:rPr>
          <w:b/>
          <w:bCs/>
          <w:sz w:val="32"/>
          <w:szCs w:val="32"/>
        </w:rPr>
        <w:br w:type="page"/>
      </w:r>
    </w:p>
    <w:p>
      <w:pPr>
        <w:spacing w:line="360" w:lineRule="auto"/>
        <w:jc w:val="left"/>
        <w:rPr>
          <w:b/>
          <w:sz w:val="24"/>
        </w:rPr>
      </w:pPr>
      <w:r>
        <w:rPr>
          <w:b/>
          <w:sz w:val="24"/>
        </w:rPr>
        <w:t>附件</w:t>
      </w:r>
      <w:r>
        <w:rPr>
          <w:rFonts w:hint="eastAsia"/>
          <w:b/>
          <w:sz w:val="24"/>
        </w:rPr>
        <w:t>5：营业执照及特定资格条件证明文件</w:t>
      </w:r>
    </w:p>
    <w:p>
      <w:pPr>
        <w:widowControl/>
        <w:jc w:val="left"/>
        <w:rPr>
          <w:b/>
          <w:bCs/>
          <w:sz w:val="32"/>
          <w:szCs w:val="32"/>
        </w:rPr>
      </w:pPr>
    </w:p>
    <w:p>
      <w:pPr>
        <w:widowControl/>
        <w:jc w:val="left"/>
        <w:rPr>
          <w:b/>
          <w:bCs/>
          <w:sz w:val="32"/>
          <w:szCs w:val="32"/>
        </w:rPr>
      </w:pPr>
      <w:r>
        <w:rPr>
          <w:b/>
          <w:bCs/>
          <w:sz w:val="32"/>
          <w:szCs w:val="32"/>
        </w:rPr>
        <w:br w:type="page"/>
      </w:r>
    </w:p>
    <w:p>
      <w:pPr>
        <w:widowControl/>
        <w:jc w:val="left"/>
        <w:rPr>
          <w:b/>
          <w:bCs/>
          <w:sz w:val="32"/>
          <w:szCs w:val="32"/>
        </w:rPr>
        <w:sectPr>
          <w:footerReference r:id="rId3" w:type="default"/>
          <w:pgSz w:w="11906" w:h="16838"/>
          <w:pgMar w:top="1134" w:right="1134" w:bottom="1134" w:left="1134" w:header="851" w:footer="992" w:gutter="0"/>
          <w:cols w:space="425" w:num="1"/>
          <w:docGrid w:type="lines" w:linePitch="312" w:charSpace="0"/>
        </w:sectPr>
      </w:pPr>
    </w:p>
    <w:p>
      <w:pPr>
        <w:jc w:val="left"/>
        <w:rPr>
          <w:rFonts w:asciiTheme="minorEastAsia" w:hAnsiTheme="minorEastAsia"/>
          <w:bCs/>
          <w:sz w:val="24"/>
        </w:rPr>
      </w:pPr>
      <w:r>
        <w:rPr>
          <w:rFonts w:hint="eastAsia" w:asciiTheme="minorEastAsia" w:hAnsiTheme="minorEastAsia"/>
          <w:bCs/>
          <w:sz w:val="24"/>
        </w:rPr>
        <w:t>附件6：</w:t>
      </w:r>
    </w:p>
    <w:p>
      <w:pPr>
        <w:jc w:val="center"/>
        <w:rPr>
          <w:b/>
          <w:bCs/>
          <w:sz w:val="32"/>
          <w:szCs w:val="32"/>
        </w:rPr>
      </w:pPr>
      <w:r>
        <w:rPr>
          <w:rFonts w:hint="eastAsia"/>
          <w:b/>
          <w:bCs/>
          <w:sz w:val="32"/>
          <w:szCs w:val="32"/>
        </w:rPr>
        <w:t>重庆工商大学</w:t>
      </w:r>
      <w:r>
        <w:rPr>
          <w:rFonts w:hint="eastAsia"/>
          <w:b/>
          <w:bCs/>
          <w:sz w:val="32"/>
          <w:szCs w:val="32"/>
        </w:rPr>
        <w:tab/>
      </w:r>
      <w:r>
        <w:rPr>
          <w:rFonts w:hint="eastAsia"/>
          <w:b/>
          <w:bCs/>
          <w:sz w:val="32"/>
          <w:szCs w:val="32"/>
        </w:rPr>
        <w:t>国合基地实验台及配套气柜、人工智能学院新进辅导员办公家具采购项目报价明细表</w:t>
      </w:r>
    </w:p>
    <w:p>
      <w:pPr>
        <w:jc w:val="center"/>
        <w:rPr>
          <w:b/>
          <w:bCs/>
          <w:sz w:val="28"/>
          <w:szCs w:val="28"/>
        </w:rPr>
      </w:pPr>
    </w:p>
    <w:p>
      <w:pPr>
        <w:rPr>
          <w:b/>
          <w:bCs/>
          <w:sz w:val="28"/>
          <w:szCs w:val="28"/>
        </w:rPr>
      </w:pPr>
      <w:r>
        <w:rPr>
          <w:rFonts w:hint="eastAsia"/>
          <w:b/>
          <w:bCs/>
          <w:sz w:val="28"/>
          <w:szCs w:val="28"/>
        </w:rPr>
        <w:t>竞标单位名称（盖章）：</w:t>
      </w:r>
    </w:p>
    <w:p>
      <w:pPr>
        <w:rPr>
          <w:b/>
          <w:bCs/>
          <w:sz w:val="28"/>
          <w:szCs w:val="28"/>
        </w:rPr>
      </w:pPr>
      <w:r>
        <w:rPr>
          <w:rFonts w:hint="eastAsia"/>
          <w:b/>
          <w:bCs/>
          <w:sz w:val="28"/>
          <w:szCs w:val="28"/>
        </w:rPr>
        <w:t>授权代表签字：</w:t>
      </w:r>
    </w:p>
    <w:p>
      <w:pPr>
        <w:jc w:val="left"/>
        <w:rPr>
          <w:b/>
          <w:bCs/>
          <w:sz w:val="28"/>
          <w:szCs w:val="28"/>
          <w:u w:val="single"/>
        </w:rPr>
      </w:pPr>
      <w:r>
        <w:rPr>
          <w:rFonts w:hint="eastAsia"/>
          <w:b/>
          <w:bCs/>
          <w:sz w:val="28"/>
          <w:szCs w:val="28"/>
        </w:rPr>
        <w:t>是否完全响应下表及《竞标人须知》中的全部内容（是/否）：</w:t>
      </w:r>
      <w:r>
        <w:rPr>
          <w:rFonts w:hint="eastAsia"/>
          <w:b/>
          <w:bCs/>
          <w:sz w:val="28"/>
          <w:szCs w:val="28"/>
          <w:u w:val="single"/>
        </w:rPr>
        <w:t xml:space="preserve">              </w:t>
      </w:r>
    </w:p>
    <w:tbl>
      <w:tblPr>
        <w:tblStyle w:val="11"/>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690"/>
        <w:gridCol w:w="1530"/>
        <w:gridCol w:w="8488"/>
        <w:gridCol w:w="350"/>
        <w:gridCol w:w="487"/>
        <w:gridCol w:w="886"/>
        <w:gridCol w:w="87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7"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35"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品名</w:t>
            </w:r>
          </w:p>
        </w:tc>
        <w:tc>
          <w:tcPr>
            <w:tcW w:w="523"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规格尺寸</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（长*宽*高mm）</w:t>
            </w:r>
          </w:p>
        </w:tc>
        <w:tc>
          <w:tcPr>
            <w:tcW w:w="2903"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图例、技术参数</w:t>
            </w:r>
          </w:p>
        </w:tc>
        <w:tc>
          <w:tcPr>
            <w:tcW w:w="119"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166"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302" w:type="pct"/>
            <w:vAlign w:val="center"/>
          </w:tcPr>
          <w:p>
            <w:pPr>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投标限价（元）</w:t>
            </w:r>
          </w:p>
        </w:tc>
        <w:tc>
          <w:tcPr>
            <w:tcW w:w="30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投标单价（元）</w:t>
            </w:r>
          </w:p>
        </w:tc>
        <w:tc>
          <w:tcPr>
            <w:tcW w:w="30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9"/>
            <w:vAlign w:val="center"/>
          </w:tcPr>
          <w:p>
            <w:pPr>
              <w:pStyle w:val="4"/>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国合基地</w:t>
            </w:r>
            <w:r>
              <w:rPr>
                <w:rFonts w:hint="default" w:ascii="Times New Roman" w:hAnsi="Times New Roman" w:eastAsia="宋体" w:cs="Times New Roman"/>
                <w:b/>
                <w:sz w:val="21"/>
                <w:szCs w:val="21"/>
              </w:rPr>
              <w:t>（联系人：</w:t>
            </w:r>
            <w:r>
              <w:rPr>
                <w:rFonts w:hint="default" w:ascii="Times New Roman" w:hAnsi="Times New Roman" w:eastAsia="宋体" w:cs="Times New Roman"/>
                <w:b/>
                <w:sz w:val="21"/>
                <w:szCs w:val="21"/>
                <w:lang w:val="en-US" w:eastAsia="zh-CN"/>
              </w:rPr>
              <w:t>肖</w:t>
            </w:r>
            <w:r>
              <w:rPr>
                <w:rFonts w:hint="default" w:ascii="Times New Roman" w:hAnsi="Times New Roman" w:eastAsia="宋体" w:cs="Times New Roman"/>
                <w:b/>
                <w:sz w:val="21"/>
                <w:szCs w:val="21"/>
              </w:rPr>
              <w:t>老师</w:t>
            </w:r>
            <w:r>
              <w:rPr>
                <w:rFonts w:hint="default" w:ascii="Times New Roman" w:hAnsi="Times New Roman" w:eastAsia="宋体" w:cs="Times New Roman"/>
                <w:b/>
                <w:sz w:val="21"/>
                <w:szCs w:val="21"/>
                <w:lang w:val="en-US" w:eastAsia="zh-CN"/>
              </w:rPr>
              <w:t>，13452342648</w:t>
            </w:r>
            <w:r>
              <w:rPr>
                <w:rFonts w:hint="default" w:ascii="Times New Roman" w:hAnsi="Times New Roman" w:eastAsia="宋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235"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实验台及配套气柜</w:t>
            </w:r>
          </w:p>
        </w:tc>
        <w:tc>
          <w:tcPr>
            <w:tcW w:w="523" w:type="pct"/>
            <w:vAlign w:val="center"/>
          </w:tcPr>
          <w:p>
            <w:pPr>
              <w:jc w:val="center"/>
              <w:rPr>
                <w:rFonts w:hint="default" w:ascii="Times New Roman" w:hAnsi="Times New Roman" w:eastAsia="宋体" w:cs="Times New Roman"/>
                <w:b w:val="0"/>
                <w:bCs w:val="0"/>
                <w:i w:val="0"/>
                <w:iCs w:val="0"/>
                <w:caps w:val="0"/>
                <w:spacing w:val="0"/>
                <w:sz w:val="21"/>
                <w:szCs w:val="21"/>
                <w:shd w:val="clear" w:fill="FFFFFF"/>
              </w:rPr>
            </w:pPr>
            <w:r>
              <w:rPr>
                <w:rFonts w:hint="default" w:ascii="Times New Roman" w:hAnsi="Times New Roman" w:eastAsia="宋体" w:cs="Times New Roman"/>
                <w:b w:val="0"/>
                <w:bCs w:val="0"/>
                <w:i w:val="0"/>
                <w:iCs w:val="0"/>
                <w:caps w:val="0"/>
                <w:spacing w:val="0"/>
                <w:sz w:val="21"/>
                <w:szCs w:val="21"/>
                <w:shd w:val="clear" w:fill="FFFFFF"/>
                <w:lang w:val="en-US" w:eastAsia="zh-CN"/>
              </w:rPr>
              <w:t>实验台：</w:t>
            </w:r>
            <w:r>
              <w:rPr>
                <w:rFonts w:hint="default" w:ascii="Times New Roman" w:hAnsi="Times New Roman" w:eastAsia="宋体" w:cs="Times New Roman"/>
                <w:b w:val="0"/>
                <w:bCs w:val="0"/>
                <w:i w:val="0"/>
                <w:iCs w:val="0"/>
                <w:caps w:val="0"/>
                <w:spacing w:val="0"/>
                <w:sz w:val="21"/>
                <w:szCs w:val="21"/>
                <w:shd w:val="clear" w:fill="FFFFFF"/>
              </w:rPr>
              <w:t>8980*750*800</w:t>
            </w:r>
          </w:p>
          <w:p>
            <w:pPr>
              <w:pStyle w:val="2"/>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val="0"/>
                <w:bCs w:val="0"/>
                <w:i w:val="0"/>
                <w:iCs w:val="0"/>
                <w:caps w:val="0"/>
                <w:spacing w:val="0"/>
                <w:sz w:val="21"/>
                <w:szCs w:val="21"/>
                <w:shd w:val="clear" w:fill="FFFFFF"/>
              </w:rPr>
              <w:t>双瓶气瓶柜</w:t>
            </w:r>
            <w:r>
              <w:rPr>
                <w:rFonts w:hint="default" w:ascii="Times New Roman" w:hAnsi="Times New Roman" w:eastAsia="宋体" w:cs="Times New Roman"/>
                <w:b w:val="0"/>
                <w:bCs w:val="0"/>
                <w:i w:val="0"/>
                <w:iCs w:val="0"/>
                <w:caps w:val="0"/>
                <w:spacing w:val="0"/>
                <w:sz w:val="21"/>
                <w:szCs w:val="21"/>
                <w:shd w:val="clear" w:fill="FFFFFF"/>
                <w:lang w:eastAsia="zh-CN"/>
              </w:rPr>
              <w:t>：</w:t>
            </w:r>
            <w:r>
              <w:rPr>
                <w:rFonts w:hint="default" w:ascii="Times New Roman" w:hAnsi="Times New Roman" w:eastAsia="宋体" w:cs="Times New Roman"/>
                <w:b w:val="0"/>
                <w:bCs w:val="0"/>
                <w:i w:val="0"/>
                <w:iCs w:val="0"/>
                <w:caps w:val="0"/>
                <w:spacing w:val="0"/>
                <w:sz w:val="21"/>
                <w:szCs w:val="21"/>
                <w:shd w:val="clear" w:fill="FFFFFF"/>
              </w:rPr>
              <w:t>900*450*1900</w:t>
            </w:r>
          </w:p>
        </w:tc>
        <w:tc>
          <w:tcPr>
            <w:tcW w:w="2903" w:type="pct"/>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1、实验台 实验台尺寸为8980*750*800；包括边台、转角柜、水槽、试剂架、滴水架等；实验台整体为钢木结构，要求具有耐强酸强碱、防火、防水、防腐蚀、耐抗击、抗刮痕、不变形、无毒、易清洁等特点。 2、双瓶气瓶柜 双瓶气瓶柜尺寸为900*450*1900，数量为2个；柜体选用1.2mm厚宝钢好的冷轧钢板，经酸洗磷化处理，外表经过环氧树脂静电喷涂，达到防酸碱及防锈之作用。门板选用可脱卸铰链，正面带视窗，视窗为防爆玻璃。柜体侧面设有PASS孔，保证柜内气体流动。内部选用固定式链条，避免气瓶倾倒。柜体底部设有可调度踏板，便利气瓶装卸。选用嵌入式高强度拉手。</w:t>
            </w:r>
          </w:p>
        </w:tc>
        <w:tc>
          <w:tcPr>
            <w:tcW w:w="119"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166"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张</w:t>
            </w:r>
          </w:p>
        </w:tc>
        <w:tc>
          <w:tcPr>
            <w:tcW w:w="302"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15000</w:t>
            </w:r>
          </w:p>
        </w:tc>
        <w:tc>
          <w:tcPr>
            <w:tcW w:w="300" w:type="pct"/>
            <w:vAlign w:val="center"/>
          </w:tcPr>
          <w:p>
            <w:pPr>
              <w:jc w:val="center"/>
              <w:rPr>
                <w:rFonts w:hint="default" w:ascii="Times New Roman" w:hAnsi="Times New Roman" w:eastAsia="宋体" w:cs="Times New Roman"/>
                <w:kern w:val="2"/>
                <w:sz w:val="21"/>
                <w:szCs w:val="21"/>
                <w:lang w:val="en-US" w:eastAsia="zh-CN" w:bidi="ar-SA"/>
              </w:rPr>
            </w:pPr>
          </w:p>
        </w:tc>
        <w:tc>
          <w:tcPr>
            <w:tcW w:w="300" w:type="pct"/>
            <w:vAlign w:val="center"/>
          </w:tcPr>
          <w:p>
            <w:pPr>
              <w:pStyle w:val="4"/>
              <w:ind w:firstLine="48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00" w:type="pct"/>
            <w:gridSpan w:val="9"/>
            <w:vAlign w:val="center"/>
          </w:tcPr>
          <w:p>
            <w:pPr>
              <w:pStyle w:val="4"/>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人工智能学院</w:t>
            </w:r>
            <w:r>
              <w:rPr>
                <w:rFonts w:hint="default" w:ascii="Times New Roman" w:hAnsi="Times New Roman" w:eastAsia="宋体" w:cs="Times New Roman"/>
                <w:b/>
                <w:bCs/>
                <w:sz w:val="21"/>
                <w:szCs w:val="21"/>
              </w:rPr>
              <w:t>（</w:t>
            </w:r>
            <w:r>
              <w:rPr>
                <w:rFonts w:hint="default" w:ascii="Times New Roman" w:hAnsi="Times New Roman" w:eastAsia="宋体" w:cs="Times New Roman"/>
                <w:b/>
                <w:sz w:val="21"/>
                <w:szCs w:val="21"/>
              </w:rPr>
              <w:t>联系人：</w:t>
            </w:r>
            <w:r>
              <w:rPr>
                <w:rFonts w:hint="default" w:ascii="Times New Roman" w:hAnsi="Times New Roman" w:eastAsia="宋体" w:cs="Times New Roman"/>
                <w:b/>
                <w:sz w:val="21"/>
                <w:szCs w:val="21"/>
                <w:lang w:val="en-US" w:eastAsia="zh-CN"/>
              </w:rPr>
              <w:t>熊</w:t>
            </w:r>
            <w:r>
              <w:rPr>
                <w:rFonts w:hint="default" w:ascii="Times New Roman" w:hAnsi="Times New Roman" w:eastAsia="宋体" w:cs="Times New Roman"/>
                <w:b/>
                <w:sz w:val="21"/>
                <w:szCs w:val="21"/>
              </w:rPr>
              <w:t>老师</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13983882331）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235"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办公桌</w:t>
            </w:r>
          </w:p>
        </w:tc>
        <w:tc>
          <w:tcPr>
            <w:tcW w:w="523"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1400*700*760</w:t>
            </w:r>
          </w:p>
        </w:tc>
        <w:tc>
          <w:tcPr>
            <w:tcW w:w="2903" w:type="pct"/>
            <w:vAlign w:val="center"/>
          </w:tcPr>
          <w:p>
            <w:pPr>
              <w:spacing w:line="240" w:lineRule="auto"/>
              <w:outlineLvl w:val="2"/>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1、桌面及两侧立脚的厚度25mm，背板及搁板厚度16mm，E1级三聚氢氨板；2、封边：采用厚度2.2mmPVC直封边，无缝、防水；封边颜色为台面近似色；3、热熔胶：优质热溶胶封边。胶合性能极佳，抗温差候变较强、不易老化，不脱胶，不褪色、柔韧适中，无异味4、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 5、颜色：红胡桃木色</w:t>
            </w:r>
          </w:p>
        </w:tc>
        <w:tc>
          <w:tcPr>
            <w:tcW w:w="119" w:type="pct"/>
            <w:vAlign w:val="center"/>
          </w:tcPr>
          <w:p>
            <w:pPr>
              <w:pStyle w:val="6"/>
              <w:spacing w:line="240" w:lineRule="auto"/>
              <w:ind w:left="0" w:leftChars="0"/>
              <w:jc w:val="center"/>
              <w:outlineLvl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166"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张</w:t>
            </w:r>
          </w:p>
        </w:tc>
        <w:tc>
          <w:tcPr>
            <w:tcW w:w="302"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860</w:t>
            </w:r>
          </w:p>
        </w:tc>
        <w:tc>
          <w:tcPr>
            <w:tcW w:w="300" w:type="pct"/>
            <w:vAlign w:val="center"/>
          </w:tcPr>
          <w:p>
            <w:pPr>
              <w:jc w:val="center"/>
              <w:rPr>
                <w:rFonts w:hint="default" w:ascii="Times New Roman" w:hAnsi="Times New Roman" w:eastAsia="宋体" w:cs="Times New Roman"/>
                <w:kern w:val="2"/>
                <w:sz w:val="21"/>
                <w:szCs w:val="21"/>
                <w:lang w:val="en-US" w:eastAsia="zh-CN" w:bidi="ar-SA"/>
              </w:rPr>
            </w:pPr>
          </w:p>
        </w:tc>
        <w:tc>
          <w:tcPr>
            <w:tcW w:w="300" w:type="pct"/>
            <w:vAlign w:val="center"/>
          </w:tcPr>
          <w:p>
            <w:pPr>
              <w:pStyle w:val="4"/>
              <w:ind w:firstLine="48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235"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职员转椅</w:t>
            </w:r>
          </w:p>
        </w:tc>
        <w:tc>
          <w:tcPr>
            <w:tcW w:w="523"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550*600*950-1010</w:t>
            </w:r>
          </w:p>
        </w:tc>
        <w:tc>
          <w:tcPr>
            <w:tcW w:w="2903" w:type="pct"/>
            <w:vAlign w:val="center"/>
          </w:tcPr>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1）坐板基材:整体采用优质E1级实木多层板，甲醛释放量符合国家标准（GB18580）小于1.5mg/L，可承受 250kg压力,经过耐酸碱、防虫、防腐特殊处理。 2）面材：优质网状布艺饰面，坐感舒适、透气性强 3）海绵：高回弹45#PU发泡海绵，拉伸强度（KPa）≥180，伸长率（%）≥120，回弹率（%）≥40，撕裂强度（N/cm）≥2产品符合GB/T 10802-2006《通用软质聚醚型聚氨酯泡沫塑料》标准要求，回弹率 ≥44，检验依据须符合国家最新标准《GB/T 10802-2006通用软质聚醮型聚氨酯泡沫塑料》。 4）脚架：优质不锈钢脚架；采用1.2mm厚不锈钢管压铸成型；经磷化，酸洗，固化，清洗后镀铬处理，增加轴表面的防腐蚀性能。 5）工艺：面料缝线无跳针或明显浮线；无断线脱线现象或外露线头，嵌线圆滑顺直，圆弧处均匀对称；皮料包覆平服饱满无明显皱折，松紧均匀无明显松弛现象；</w:t>
            </w:r>
          </w:p>
        </w:tc>
        <w:tc>
          <w:tcPr>
            <w:tcW w:w="119" w:type="pct"/>
            <w:vAlign w:val="center"/>
          </w:tcPr>
          <w:p>
            <w:pPr>
              <w:pStyle w:val="6"/>
              <w:spacing w:line="240" w:lineRule="auto"/>
              <w:ind w:left="0" w:leftChars="0"/>
              <w:jc w:val="center"/>
              <w:outlineLvl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166"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把</w:t>
            </w:r>
          </w:p>
        </w:tc>
        <w:tc>
          <w:tcPr>
            <w:tcW w:w="302"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700</w:t>
            </w:r>
          </w:p>
        </w:tc>
        <w:tc>
          <w:tcPr>
            <w:tcW w:w="300" w:type="pct"/>
            <w:vAlign w:val="center"/>
          </w:tcPr>
          <w:p>
            <w:pPr>
              <w:jc w:val="center"/>
              <w:rPr>
                <w:rFonts w:hint="default" w:ascii="Times New Roman" w:hAnsi="Times New Roman" w:eastAsia="宋体" w:cs="Times New Roman"/>
                <w:kern w:val="2"/>
                <w:sz w:val="21"/>
                <w:szCs w:val="21"/>
                <w:lang w:val="en-US" w:eastAsia="zh-CN" w:bidi="ar-SA"/>
              </w:rPr>
            </w:pPr>
          </w:p>
        </w:tc>
        <w:tc>
          <w:tcPr>
            <w:tcW w:w="300" w:type="pct"/>
            <w:vAlign w:val="center"/>
          </w:tcPr>
          <w:p>
            <w:pPr>
              <w:pStyle w:val="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7"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235"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五节铁皮柜</w:t>
            </w:r>
          </w:p>
        </w:tc>
        <w:tc>
          <w:tcPr>
            <w:tcW w:w="523"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aps w:val="0"/>
                <w:color w:val="333333"/>
                <w:spacing w:val="0"/>
                <w:sz w:val="21"/>
                <w:szCs w:val="21"/>
              </w:rPr>
              <w:t>850*390*1950</w:t>
            </w:r>
          </w:p>
        </w:tc>
        <w:tc>
          <w:tcPr>
            <w:tcW w:w="2903" w:type="pct"/>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i w:val="0"/>
                <w:iCs w:val="0"/>
                <w:caps w:val="0"/>
                <w:color w:val="333333"/>
                <w:spacing w:val="0"/>
                <w:sz w:val="21"/>
                <w:szCs w:val="21"/>
              </w:rPr>
              <w:t>2、采用优质品牌冷钆钢； 3、柜体：优质冷轧钢板，钢板厚度采用≥0.8mm标准，表面采用酸洗淋化、静电粉末喷涂处理； 4、柜门：优质冷轧钢板，钢板厚度采用足1.0mm标准，表面采用酸洗淋化、静电粉末喷涂处理，上下门采用铁皮门，均配锁； 5、搁板：优质冷轧钢板，钢板厚度采用足1.0mm标准，表面采用酸洗淋化、静电粉末喷涂处理，搁板底部加横梁处理，加大承重力，同时搁板支撑架加固。柜体由五节拼接而成，每层可独立使用 6、整体毛重≧40KG/个。 7、五金件：优质定位铰链；（开启角度为125°）；柜门拉手采用内嵌拉手。 8、外表处理：磨砂静电喷塑工艺 9、颜色：灰白色</w:t>
            </w:r>
            <w:r>
              <w:rPr>
                <w:rFonts w:hint="default" w:ascii="Times New Roman" w:hAnsi="Times New Roman" w:eastAsia="宋体" w:cs="Times New Roman"/>
                <w:color w:val="000000"/>
                <w:kern w:val="0"/>
                <w:sz w:val="21"/>
                <w:szCs w:val="21"/>
                <w:lang w:bidi="ar"/>
              </w:rPr>
              <w:t>7.工艺：经磷化，酸洗，固化，清洗后镀铬处理，增加轴表面的防腐蚀性能。</w:t>
            </w:r>
          </w:p>
        </w:tc>
        <w:tc>
          <w:tcPr>
            <w:tcW w:w="119" w:type="pct"/>
            <w:vAlign w:val="center"/>
          </w:tcPr>
          <w:p>
            <w:pPr>
              <w:pStyle w:val="6"/>
              <w:spacing w:line="240" w:lineRule="auto"/>
              <w:ind w:left="0" w:leftChars="0"/>
              <w:jc w:val="center"/>
              <w:outlineLvl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166"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组</w:t>
            </w:r>
          </w:p>
        </w:tc>
        <w:tc>
          <w:tcPr>
            <w:tcW w:w="302"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950</w:t>
            </w:r>
          </w:p>
        </w:tc>
        <w:tc>
          <w:tcPr>
            <w:tcW w:w="300" w:type="pct"/>
            <w:vAlign w:val="center"/>
          </w:tcPr>
          <w:p>
            <w:pPr>
              <w:jc w:val="center"/>
              <w:rPr>
                <w:rFonts w:hint="default" w:ascii="Times New Roman" w:hAnsi="Times New Roman" w:eastAsia="宋体" w:cs="Times New Roman"/>
                <w:kern w:val="2"/>
                <w:sz w:val="21"/>
                <w:szCs w:val="21"/>
                <w:lang w:val="en-US" w:eastAsia="zh-CN" w:bidi="ar-SA"/>
              </w:rPr>
            </w:pPr>
          </w:p>
        </w:tc>
        <w:tc>
          <w:tcPr>
            <w:tcW w:w="300" w:type="pct"/>
            <w:vAlign w:val="center"/>
          </w:tcPr>
          <w:p>
            <w:pPr>
              <w:pStyle w:val="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6" w:type="pct"/>
            <w:gridSpan w:val="3"/>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
                <w:kern w:val="0"/>
                <w:sz w:val="21"/>
                <w:szCs w:val="21"/>
                <w:lang w:bidi="ar"/>
              </w:rPr>
              <w:t>合 计</w:t>
            </w:r>
          </w:p>
        </w:tc>
        <w:tc>
          <w:tcPr>
            <w:tcW w:w="4093" w:type="pct"/>
            <w:gridSpan w:val="6"/>
            <w:vAlign w:val="center"/>
          </w:tcPr>
          <w:p>
            <w:pPr>
              <w:jc w:val="center"/>
              <w:rPr>
                <w:rFonts w:hint="default" w:ascii="Times New Roman" w:hAnsi="Times New Roman" w:eastAsia="宋体" w:cs="Times New Roman"/>
                <w:b/>
                <w:kern w:val="0"/>
                <w:sz w:val="21"/>
                <w:szCs w:val="21"/>
                <w:lang w:bidi="ar"/>
              </w:rPr>
            </w:pPr>
            <w:r>
              <w:rPr>
                <w:rFonts w:hint="default" w:ascii="Times New Roman" w:hAnsi="Times New Roman" w:eastAsia="宋体" w:cs="Times New Roman"/>
                <w:b/>
                <w:kern w:val="0"/>
                <w:sz w:val="21"/>
                <w:szCs w:val="21"/>
                <w:lang w:bidi="ar"/>
              </w:rPr>
              <w:t>小写：        ，大写：</w:t>
            </w:r>
          </w:p>
        </w:tc>
      </w:tr>
    </w:tbl>
    <w:p>
      <w:pPr>
        <w:rPr>
          <w:sz w:val="24"/>
        </w:rPr>
      </w:pPr>
    </w:p>
    <w:p>
      <w:pPr>
        <w:rPr>
          <w:sz w:val="24"/>
        </w:rPr>
      </w:pPr>
      <w:r>
        <w:rPr>
          <w:rFonts w:hint="eastAsia"/>
          <w:sz w:val="24"/>
        </w:rPr>
        <w:t>1、本次报价为</w:t>
      </w:r>
      <w:r>
        <w:rPr>
          <w:rFonts w:hint="eastAsia"/>
          <w:b/>
          <w:sz w:val="24"/>
        </w:rPr>
        <w:t>一口价，不再进行二次报价。</w:t>
      </w:r>
      <w:r>
        <w:rPr>
          <w:rFonts w:hint="eastAsia"/>
          <w:sz w:val="24"/>
        </w:rPr>
        <w:t>本次报价为</w:t>
      </w:r>
      <w:r>
        <w:rPr>
          <w:rFonts w:hint="eastAsia"/>
          <w:b/>
          <w:bCs/>
          <w:sz w:val="24"/>
        </w:rPr>
        <w:t>包干价</w:t>
      </w:r>
      <w:r>
        <w:rPr>
          <w:rFonts w:hint="eastAsia"/>
          <w:sz w:val="24"/>
        </w:rPr>
        <w:t>，报价包括完成本项目所需的服务费、人工费及提供服务所需的设备或货物购买（制造）费、辅材费、运输费、装卸费、安装调试费、培训费、代理服务费及各种应纳的税费等。因供应商自身原因造成漏报、少报皆由其自行承担责任，采购人不再补偿。</w:t>
      </w:r>
    </w:p>
    <w:p>
      <w:pPr>
        <w:rPr>
          <w:b/>
          <w:bCs/>
          <w:color w:val="FF0000"/>
          <w:sz w:val="24"/>
        </w:rPr>
      </w:pPr>
      <w:r>
        <w:rPr>
          <w:rFonts w:hint="eastAsia"/>
          <w:b/>
          <w:bCs/>
          <w:color w:val="FF0000"/>
          <w:sz w:val="24"/>
        </w:rPr>
        <w:t>2、各类商品的单价报价不得超过投标限价，否则报价无效。</w:t>
      </w:r>
    </w:p>
    <w:p>
      <w:pPr>
        <w:rPr>
          <w:sz w:val="24"/>
        </w:rPr>
      </w:pPr>
      <w:r>
        <w:rPr>
          <w:rFonts w:hint="eastAsia"/>
          <w:sz w:val="24"/>
        </w:rPr>
        <w:t>3、本表可扩展。</w:t>
      </w:r>
    </w:p>
    <w:sectPr>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大黑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246711"/>
    </w:sdtPr>
    <w:sdtContent>
      <w:sdt>
        <w:sdtPr>
          <w:id w:val="860082579"/>
        </w:sdtPr>
        <w:sdtContent>
          <w:p>
            <w:pPr>
              <w:pStyle w:val="8"/>
              <w:jc w:val="right"/>
            </w:pPr>
            <w:r>
              <w:rPr>
                <w:lang w:val="zh-CN"/>
              </w:rPr>
              <w:t xml:space="preserve"> </w:t>
            </w:r>
            <w:r>
              <w:rPr>
                <w:b/>
                <w:bCs/>
                <w:sz w:val="24"/>
              </w:rPr>
              <w:fldChar w:fldCharType="begin"/>
            </w:r>
            <w:r>
              <w:rPr>
                <w:b/>
                <w:bCs/>
              </w:rPr>
              <w:instrText xml:space="preserve">PAGE</w:instrText>
            </w:r>
            <w:r>
              <w:rPr>
                <w:b/>
                <w:bCs/>
                <w:sz w:val="24"/>
              </w:rPr>
              <w:fldChar w:fldCharType="separate"/>
            </w:r>
            <w:r>
              <w:rPr>
                <w:b/>
                <w:bCs/>
              </w:rPr>
              <w:t>21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21</w:t>
            </w:r>
            <w:r>
              <w:rPr>
                <w:b/>
                <w:bCs/>
                <w:sz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88DC4"/>
    <w:multiLevelType w:val="singleLevel"/>
    <w:tmpl w:val="CBD88D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2AAF106B"/>
    <w:rsid w:val="00004563"/>
    <w:rsid w:val="000206FC"/>
    <w:rsid w:val="00034259"/>
    <w:rsid w:val="0004418F"/>
    <w:rsid w:val="00056C40"/>
    <w:rsid w:val="00062EAC"/>
    <w:rsid w:val="0006628C"/>
    <w:rsid w:val="0007493A"/>
    <w:rsid w:val="00077425"/>
    <w:rsid w:val="0009168A"/>
    <w:rsid w:val="000A00F0"/>
    <w:rsid w:val="000A33CF"/>
    <w:rsid w:val="000A5E10"/>
    <w:rsid w:val="000B0EE3"/>
    <w:rsid w:val="000B1978"/>
    <w:rsid w:val="000F2209"/>
    <w:rsid w:val="000F3DA9"/>
    <w:rsid w:val="00100CA4"/>
    <w:rsid w:val="0010536B"/>
    <w:rsid w:val="00106BF7"/>
    <w:rsid w:val="00113B6B"/>
    <w:rsid w:val="00114E51"/>
    <w:rsid w:val="00135356"/>
    <w:rsid w:val="00150828"/>
    <w:rsid w:val="00157422"/>
    <w:rsid w:val="00175005"/>
    <w:rsid w:val="00183181"/>
    <w:rsid w:val="001855C5"/>
    <w:rsid w:val="00197329"/>
    <w:rsid w:val="001B5A4A"/>
    <w:rsid w:val="001B7AFB"/>
    <w:rsid w:val="001C7A2F"/>
    <w:rsid w:val="001C7A91"/>
    <w:rsid w:val="00214E84"/>
    <w:rsid w:val="002156E9"/>
    <w:rsid w:val="002319C4"/>
    <w:rsid w:val="00251299"/>
    <w:rsid w:val="00282B25"/>
    <w:rsid w:val="00290F8F"/>
    <w:rsid w:val="002916D1"/>
    <w:rsid w:val="002A1233"/>
    <w:rsid w:val="002C06BD"/>
    <w:rsid w:val="002C3872"/>
    <w:rsid w:val="002C4E3B"/>
    <w:rsid w:val="002C7D1C"/>
    <w:rsid w:val="002E33AB"/>
    <w:rsid w:val="002E6896"/>
    <w:rsid w:val="003028E7"/>
    <w:rsid w:val="00302A8D"/>
    <w:rsid w:val="0030561D"/>
    <w:rsid w:val="0030562F"/>
    <w:rsid w:val="003135B6"/>
    <w:rsid w:val="00322F97"/>
    <w:rsid w:val="00346F7D"/>
    <w:rsid w:val="00353EDF"/>
    <w:rsid w:val="003A07B9"/>
    <w:rsid w:val="003D1FA8"/>
    <w:rsid w:val="003E1D1F"/>
    <w:rsid w:val="003F5CB7"/>
    <w:rsid w:val="0040343B"/>
    <w:rsid w:val="00415897"/>
    <w:rsid w:val="00417E22"/>
    <w:rsid w:val="004231DC"/>
    <w:rsid w:val="004404D1"/>
    <w:rsid w:val="00462BFB"/>
    <w:rsid w:val="0047503D"/>
    <w:rsid w:val="004777BD"/>
    <w:rsid w:val="00486118"/>
    <w:rsid w:val="004932F2"/>
    <w:rsid w:val="004B2C2A"/>
    <w:rsid w:val="004B2F52"/>
    <w:rsid w:val="004B36AC"/>
    <w:rsid w:val="004C0F75"/>
    <w:rsid w:val="004C5F48"/>
    <w:rsid w:val="004C7F01"/>
    <w:rsid w:val="004D0826"/>
    <w:rsid w:val="004D5AAB"/>
    <w:rsid w:val="004E1497"/>
    <w:rsid w:val="0052082D"/>
    <w:rsid w:val="00522F44"/>
    <w:rsid w:val="00525E33"/>
    <w:rsid w:val="00527A20"/>
    <w:rsid w:val="00535DCC"/>
    <w:rsid w:val="00552729"/>
    <w:rsid w:val="0058271C"/>
    <w:rsid w:val="00591B93"/>
    <w:rsid w:val="005B0F20"/>
    <w:rsid w:val="005C021B"/>
    <w:rsid w:val="005D4A67"/>
    <w:rsid w:val="005E0E30"/>
    <w:rsid w:val="005E5A10"/>
    <w:rsid w:val="00622CD0"/>
    <w:rsid w:val="006308BB"/>
    <w:rsid w:val="006641BA"/>
    <w:rsid w:val="006650E5"/>
    <w:rsid w:val="00686CB8"/>
    <w:rsid w:val="00690689"/>
    <w:rsid w:val="00694D18"/>
    <w:rsid w:val="00696410"/>
    <w:rsid w:val="006A6807"/>
    <w:rsid w:val="006B2DFB"/>
    <w:rsid w:val="006B74AD"/>
    <w:rsid w:val="006C438A"/>
    <w:rsid w:val="006D6BBE"/>
    <w:rsid w:val="00720107"/>
    <w:rsid w:val="00722291"/>
    <w:rsid w:val="007448F4"/>
    <w:rsid w:val="0075704C"/>
    <w:rsid w:val="007574FA"/>
    <w:rsid w:val="00782BAB"/>
    <w:rsid w:val="007A6103"/>
    <w:rsid w:val="007C32FD"/>
    <w:rsid w:val="007E100B"/>
    <w:rsid w:val="007F0F17"/>
    <w:rsid w:val="00801721"/>
    <w:rsid w:val="00822C00"/>
    <w:rsid w:val="00867DA8"/>
    <w:rsid w:val="00881F97"/>
    <w:rsid w:val="00883861"/>
    <w:rsid w:val="008A65EC"/>
    <w:rsid w:val="008B26C8"/>
    <w:rsid w:val="008C7C27"/>
    <w:rsid w:val="008D0450"/>
    <w:rsid w:val="008E3006"/>
    <w:rsid w:val="008E77CD"/>
    <w:rsid w:val="00925EE4"/>
    <w:rsid w:val="009266B6"/>
    <w:rsid w:val="00932119"/>
    <w:rsid w:val="00943987"/>
    <w:rsid w:val="00955C07"/>
    <w:rsid w:val="00957122"/>
    <w:rsid w:val="00957E95"/>
    <w:rsid w:val="00964244"/>
    <w:rsid w:val="009734B6"/>
    <w:rsid w:val="00977AD2"/>
    <w:rsid w:val="00980306"/>
    <w:rsid w:val="00984442"/>
    <w:rsid w:val="009A30C4"/>
    <w:rsid w:val="009A6A84"/>
    <w:rsid w:val="009B4A46"/>
    <w:rsid w:val="009D0E1B"/>
    <w:rsid w:val="00A0114F"/>
    <w:rsid w:val="00A160A9"/>
    <w:rsid w:val="00A66E17"/>
    <w:rsid w:val="00A814BE"/>
    <w:rsid w:val="00A81999"/>
    <w:rsid w:val="00AB5BAA"/>
    <w:rsid w:val="00AC3462"/>
    <w:rsid w:val="00AD3C72"/>
    <w:rsid w:val="00AE46C3"/>
    <w:rsid w:val="00AF3EA4"/>
    <w:rsid w:val="00B064AC"/>
    <w:rsid w:val="00B11279"/>
    <w:rsid w:val="00B31527"/>
    <w:rsid w:val="00B36FC8"/>
    <w:rsid w:val="00B37056"/>
    <w:rsid w:val="00B471EE"/>
    <w:rsid w:val="00B47FF2"/>
    <w:rsid w:val="00B53BFD"/>
    <w:rsid w:val="00B839AA"/>
    <w:rsid w:val="00BB0432"/>
    <w:rsid w:val="00BC1C10"/>
    <w:rsid w:val="00BE1DBF"/>
    <w:rsid w:val="00BF2A1A"/>
    <w:rsid w:val="00BF3ABF"/>
    <w:rsid w:val="00C02F29"/>
    <w:rsid w:val="00C10B38"/>
    <w:rsid w:val="00C218B6"/>
    <w:rsid w:val="00C4248E"/>
    <w:rsid w:val="00C54E2D"/>
    <w:rsid w:val="00C70CA0"/>
    <w:rsid w:val="00C757EE"/>
    <w:rsid w:val="00C77205"/>
    <w:rsid w:val="00C87BE2"/>
    <w:rsid w:val="00CB6B11"/>
    <w:rsid w:val="00CD4F61"/>
    <w:rsid w:val="00CD6C2E"/>
    <w:rsid w:val="00CF0933"/>
    <w:rsid w:val="00CF6B91"/>
    <w:rsid w:val="00D00AF3"/>
    <w:rsid w:val="00D21F03"/>
    <w:rsid w:val="00D305D8"/>
    <w:rsid w:val="00D40280"/>
    <w:rsid w:val="00D40A0F"/>
    <w:rsid w:val="00D456AE"/>
    <w:rsid w:val="00D618FD"/>
    <w:rsid w:val="00D66462"/>
    <w:rsid w:val="00D71408"/>
    <w:rsid w:val="00D779E0"/>
    <w:rsid w:val="00D9316F"/>
    <w:rsid w:val="00D9485A"/>
    <w:rsid w:val="00DA4DD4"/>
    <w:rsid w:val="00DA5B3E"/>
    <w:rsid w:val="00DB32D2"/>
    <w:rsid w:val="00DE1274"/>
    <w:rsid w:val="00DE2FFC"/>
    <w:rsid w:val="00DF1030"/>
    <w:rsid w:val="00DF2B68"/>
    <w:rsid w:val="00E02E7B"/>
    <w:rsid w:val="00E051ED"/>
    <w:rsid w:val="00E40B1E"/>
    <w:rsid w:val="00E558A3"/>
    <w:rsid w:val="00E639C3"/>
    <w:rsid w:val="00E66338"/>
    <w:rsid w:val="00EA37B7"/>
    <w:rsid w:val="00EA748D"/>
    <w:rsid w:val="00EC3C1C"/>
    <w:rsid w:val="00EE1942"/>
    <w:rsid w:val="00F32A8B"/>
    <w:rsid w:val="00F36D62"/>
    <w:rsid w:val="00F442FC"/>
    <w:rsid w:val="00F4585A"/>
    <w:rsid w:val="00F56B7B"/>
    <w:rsid w:val="00F65904"/>
    <w:rsid w:val="00F74FCA"/>
    <w:rsid w:val="00F971DE"/>
    <w:rsid w:val="00FA4F2A"/>
    <w:rsid w:val="00FC2672"/>
    <w:rsid w:val="00FD006C"/>
    <w:rsid w:val="00FD347C"/>
    <w:rsid w:val="00FD4CC1"/>
    <w:rsid w:val="00FE1C27"/>
    <w:rsid w:val="00FE620A"/>
    <w:rsid w:val="01981D96"/>
    <w:rsid w:val="02981FD4"/>
    <w:rsid w:val="05483DDB"/>
    <w:rsid w:val="07A51BB2"/>
    <w:rsid w:val="08370B6D"/>
    <w:rsid w:val="08E078A7"/>
    <w:rsid w:val="0AD44814"/>
    <w:rsid w:val="0B1960B9"/>
    <w:rsid w:val="0EB837EA"/>
    <w:rsid w:val="0F2E5E50"/>
    <w:rsid w:val="0FA26ED4"/>
    <w:rsid w:val="114871A2"/>
    <w:rsid w:val="120767EB"/>
    <w:rsid w:val="12991950"/>
    <w:rsid w:val="172B6C14"/>
    <w:rsid w:val="19CD19CF"/>
    <w:rsid w:val="1AB14D60"/>
    <w:rsid w:val="1B92721E"/>
    <w:rsid w:val="1BE659FA"/>
    <w:rsid w:val="22726641"/>
    <w:rsid w:val="237979D4"/>
    <w:rsid w:val="23797EB4"/>
    <w:rsid w:val="295740A3"/>
    <w:rsid w:val="2A8510D8"/>
    <w:rsid w:val="2AAF106B"/>
    <w:rsid w:val="2D113626"/>
    <w:rsid w:val="2EB208EB"/>
    <w:rsid w:val="2FA554DB"/>
    <w:rsid w:val="305B0DE0"/>
    <w:rsid w:val="306D4845"/>
    <w:rsid w:val="31C80197"/>
    <w:rsid w:val="32AA0F6A"/>
    <w:rsid w:val="346225E8"/>
    <w:rsid w:val="35AF4DDA"/>
    <w:rsid w:val="36A8236D"/>
    <w:rsid w:val="37D85B02"/>
    <w:rsid w:val="3F227DB4"/>
    <w:rsid w:val="41DC72E3"/>
    <w:rsid w:val="437749A0"/>
    <w:rsid w:val="43A04CA4"/>
    <w:rsid w:val="43E9584D"/>
    <w:rsid w:val="44BA53C1"/>
    <w:rsid w:val="49E11D42"/>
    <w:rsid w:val="4B415F67"/>
    <w:rsid w:val="4B615BF3"/>
    <w:rsid w:val="4BE807F1"/>
    <w:rsid w:val="4CBB57E9"/>
    <w:rsid w:val="4F3118DB"/>
    <w:rsid w:val="503A0B09"/>
    <w:rsid w:val="53906754"/>
    <w:rsid w:val="5438192C"/>
    <w:rsid w:val="55D226A7"/>
    <w:rsid w:val="5731634B"/>
    <w:rsid w:val="594D5D76"/>
    <w:rsid w:val="5B303794"/>
    <w:rsid w:val="5F6845F0"/>
    <w:rsid w:val="62441745"/>
    <w:rsid w:val="630327E4"/>
    <w:rsid w:val="65AD07DA"/>
    <w:rsid w:val="6A2417B9"/>
    <w:rsid w:val="6D905835"/>
    <w:rsid w:val="6E52221E"/>
    <w:rsid w:val="72AA3E51"/>
    <w:rsid w:val="744141CD"/>
    <w:rsid w:val="75C047E7"/>
    <w:rsid w:val="774C6CD4"/>
    <w:rsid w:val="786B1629"/>
    <w:rsid w:val="7873765F"/>
    <w:rsid w:val="78EF290F"/>
    <w:rsid w:val="7EC5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uto"/>
      <w:ind w:firstLine="420"/>
    </w:pPr>
    <w:rPr>
      <w:rFonts w:ascii="Times New Roman" w:hAnsi="Times New Roman"/>
      <w:szCs w:val="20"/>
    </w:rPr>
  </w:style>
  <w:style w:type="paragraph" w:styleId="5">
    <w:name w:val="annotation text"/>
    <w:basedOn w:val="1"/>
    <w:uiPriority w:val="0"/>
    <w:pPr>
      <w:jc w:val="left"/>
    </w:pPr>
  </w:style>
  <w:style w:type="paragraph" w:styleId="6">
    <w:name w:val="Body Text Indent"/>
    <w:basedOn w:val="1"/>
    <w:link w:val="22"/>
    <w:qFormat/>
    <w:uiPriority w:val="0"/>
    <w:pPr>
      <w:spacing w:line="700" w:lineRule="exact"/>
      <w:ind w:left="960"/>
    </w:pPr>
    <w:rPr>
      <w:rFonts w:ascii="Times New Roman" w:hAnsi="Times New Roman" w:eastAsia="宋体" w:cs="Times New Roman"/>
      <w:sz w:val="44"/>
      <w:szCs w:val="20"/>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rPr>
  </w:style>
  <w:style w:type="paragraph" w:styleId="9">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156356"/>
      <w:sz w:val="18"/>
      <w:szCs w:val="18"/>
      <w:u w:val="none"/>
      <w:shd w:val="clear" w:color="auto" w:fill="FF5722"/>
    </w:rPr>
  </w:style>
  <w:style w:type="character" w:styleId="14">
    <w:name w:val="Hyperlink"/>
    <w:basedOn w:val="12"/>
    <w:qFormat/>
    <w:uiPriority w:val="0"/>
    <w:rPr>
      <w:color w:val="156356"/>
      <w:u w:val="none"/>
    </w:rPr>
  </w:style>
  <w:style w:type="character" w:customStyle="1" w:styleId="15">
    <w:name w:val="批注框文本 Char"/>
    <w:basedOn w:val="12"/>
    <w:link w:val="7"/>
    <w:qFormat/>
    <w:uiPriority w:val="99"/>
    <w:rPr>
      <w:rFonts w:asciiTheme="minorHAnsi" w:hAnsiTheme="minorHAnsi" w:eastAsiaTheme="minorEastAsia" w:cstheme="minorBidi"/>
      <w:kern w:val="2"/>
      <w:sz w:val="18"/>
      <w:szCs w:val="18"/>
    </w:rPr>
  </w:style>
  <w:style w:type="character" w:customStyle="1" w:styleId="16">
    <w:name w:val="页脚 Char"/>
    <w:basedOn w:val="12"/>
    <w:link w:val="8"/>
    <w:qFormat/>
    <w:uiPriority w:val="99"/>
    <w:rPr>
      <w:rFonts w:asciiTheme="minorHAnsi" w:hAnsiTheme="minorHAnsi" w:eastAsiaTheme="minorEastAsia" w:cstheme="minorBidi"/>
      <w:kern w:val="2"/>
      <w:sz w:val="18"/>
      <w:szCs w:val="24"/>
    </w:rPr>
  </w:style>
  <w:style w:type="character" w:customStyle="1" w:styleId="17">
    <w:name w:val="标题 2 Char"/>
    <w:basedOn w:val="12"/>
    <w:link w:val="2"/>
    <w:semiHidden/>
    <w:qFormat/>
    <w:uiPriority w:val="0"/>
    <w:rPr>
      <w:rFonts w:asciiTheme="majorHAnsi" w:hAnsiTheme="majorHAnsi" w:eastAsiaTheme="majorEastAsia" w:cstheme="majorBidi"/>
      <w:b/>
      <w:bCs/>
      <w:kern w:val="2"/>
      <w:sz w:val="32"/>
      <w:szCs w:val="32"/>
    </w:rPr>
  </w:style>
  <w:style w:type="character" w:customStyle="1" w:styleId="18">
    <w:name w:val="页眉 Char"/>
    <w:basedOn w:val="12"/>
    <w:link w:val="9"/>
    <w:qFormat/>
    <w:uiPriority w:val="99"/>
    <w:rPr>
      <w:rFonts w:asciiTheme="minorHAnsi" w:hAnsiTheme="minorHAnsi" w:eastAsiaTheme="minorEastAsia" w:cstheme="minorBidi"/>
      <w:kern w:val="2"/>
      <w:sz w:val="18"/>
      <w:szCs w:val="24"/>
    </w:rPr>
  </w:style>
  <w:style w:type="character" w:customStyle="1" w:styleId="19">
    <w:name w:val="layui-laypage-curr"/>
    <w:basedOn w:val="12"/>
    <w:qFormat/>
    <w:uiPriority w:val="0"/>
  </w:style>
  <w:style w:type="character" w:customStyle="1" w:styleId="20">
    <w:name w:val="label"/>
    <w:basedOn w:val="12"/>
    <w:qFormat/>
    <w:uiPriority w:val="0"/>
    <w:rPr>
      <w:color w:val="999999"/>
    </w:rPr>
  </w:style>
  <w:style w:type="character" w:customStyle="1" w:styleId="21">
    <w:name w:val="hover13"/>
    <w:basedOn w:val="12"/>
    <w:qFormat/>
    <w:uiPriority w:val="0"/>
  </w:style>
  <w:style w:type="character" w:customStyle="1" w:styleId="22">
    <w:name w:val="正文文本缩进 Char"/>
    <w:basedOn w:val="12"/>
    <w:link w:val="6"/>
    <w:uiPriority w:val="0"/>
    <w:rPr>
      <w:kern w:val="2"/>
      <w:sz w:val="44"/>
    </w:rPr>
  </w:style>
  <w:style w:type="table" w:customStyle="1" w:styleId="2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17</Pages>
  <Words>10307</Words>
  <Characters>11260</Characters>
  <Lines>93</Lines>
  <Paragraphs>26</Paragraphs>
  <TotalTime>5</TotalTime>
  <ScaleCrop>false</ScaleCrop>
  <LinksUpToDate>false</LinksUpToDate>
  <CharactersWithSpaces>11558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2021-03-25T05:50:00Z</dcterms:created>
  <dc:creator>阎晗</dc:creator>
  <cp:lastModifiedBy>谭武斌</cp:lastModifiedBy>
  <cp:lastPrinted>2022-07-12T02:39:00Z</cp:lastPrinted>
  <dcterms:modified xsi:type="dcterms:W3CDTF">2023-04-19T06:30:11Z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A57146CF4C754387B69C8B1497EF5111_13</vt:lpwstr>
  </property>
  <property fmtid="{D5CDD505-2E9C-101B-9397-08002B2CF9AE}" pid="4" name="KSOSaveFontToCloudKey">
    <vt:lpwstr>1223693500_btnclosed</vt:lpwstr>
  </property>
</Properties>
</file>