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41"/>
        <w:gridCol w:w="1228"/>
        <w:gridCol w:w="1006"/>
        <w:gridCol w:w="862"/>
        <w:gridCol w:w="3311"/>
        <w:gridCol w:w="840"/>
        <w:gridCol w:w="786"/>
        <w:gridCol w:w="900"/>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37"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项号</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10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参考品 牌</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 号</w:t>
            </w:r>
          </w:p>
        </w:tc>
        <w:tc>
          <w:tcPr>
            <w:tcW w:w="33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参数配置及性能指标</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 量</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 位</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报价品牌及型号</w:t>
            </w:r>
          </w:p>
        </w:tc>
        <w:tc>
          <w:tcPr>
            <w:tcW w:w="964" w:type="dxa"/>
            <w:tcBorders>
              <w:tl2br w:val="nil"/>
              <w:tr2bl w:val="nil"/>
            </w:tcBorders>
            <w:shd w:val="clear" w:color="auto" w:fill="auto"/>
            <w:vAlign w:val="center"/>
          </w:tcPr>
          <w:p>
            <w:pPr>
              <w:keepNext w:val="0"/>
              <w:keepLines w:val="0"/>
              <w:widowControl/>
              <w:suppressLineNumbers w:val="0"/>
              <w:tabs>
                <w:tab w:val="left" w:pos="215"/>
              </w:tabs>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eastAsia="zh-CN"/>
              </w:rPr>
              <w:tab/>
            </w:r>
            <w:r>
              <w:rPr>
                <w:rFonts w:hint="eastAsia" w:ascii="宋体" w:hAnsi="宋体" w:eastAsia="宋体" w:cs="宋体"/>
                <w:b/>
                <w:bCs/>
                <w:i w:val="0"/>
                <w:iCs w:val="0"/>
                <w:color w:val="000000"/>
                <w:sz w:val="20"/>
                <w:szCs w:val="20"/>
                <w:u w:val="none"/>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27" w:hRule="atLeast"/>
          <w:jc w:val="center"/>
        </w:trPr>
        <w:tc>
          <w:tcPr>
            <w:tcW w:w="10438" w:type="dxa"/>
            <w:gridSpan w:val="9"/>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一、大堂LED显示屏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显示屏</w:t>
            </w:r>
          </w:p>
        </w:tc>
        <w:tc>
          <w:tcPr>
            <w:tcW w:w="10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蓝普、</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洲明、</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艾比森</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KL2.0</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1.显示单元像素间距≤2.0mm；像素密度≥250000点/㎡。像素构成：SMD1515黑灯表贴三合一，屏体正面黑色亚光处理，反光率≤2%。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2.显示系统尺寸，长≥3.52m，高≥1.92m，面积≥6.758平方，整屏分辨率≥1760*960，要求整屏尺寸不得小于规定尺寸。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3.★整机采用压铸铝金箱体，保证箱体拼接的平整度和密闭防尘性，箱体单元厚度≤60mm，支持模组、电源、接收卡前维护/后维护；静音设计，全金属自然散热，无风扇，无孔，防尘静音。</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4.具备平整度调节装置，显示单元和模组平整度≤0.1mm，显示单元和模组拼缝精度达到0.1mm 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5.★白平衡亮度≥800nit，亮度0-100%无级可调；亮度鉴别等级C级Bj≥20；灰度等级16bit.</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6.对比度≥10000:1，刷新频率≥3840HZ，换帧频率：50&amp;60HZ。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7.视角：水平视角≥174°，垂直视角≥174°。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8.★显示屏采用喷墨技术，防眩光黑色电喷工艺，表面墨色一致性和散热性更好，显示屏亮度均匀性≥99.1%； 显示屏色度均匀性偏差在±0.002Cx,Cy 之内，像素中心距偏差≤0.85%；智能色温，1000-13000K可调，调节步长100K；色温误差：色温为6500K时，100%，75%，50%，25%四档电平白场调节色温误差≤200K；人眼视觉健康舒适度VICO指数达到1级。</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9.★峰值功耗≤300W/㎡，平均功耗≤160W/㎡，LED显示屏电源功率因数≥0.95，转换效率≥86%。</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10.低亮高灰采用EPWM灰阶控制技术提升低灰视觉效果，0-100%亮度时，支持8-16bits灰度自定义设置。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11.PCB焊盘采用OSP工艺处理，充分保证单模块安装的稳定性和抗氧化性。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12.具有单点、模块级亮度、色度校正功能，校正后亮度损失＜10%；校正数据可保存及回读。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13.显示单元工作噪音声压（距离1米）≤3.5dBA；MTBF≥100000小时，MTTR≤5分钟，满足7*24小时工作。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14.★带有智能（黑屏）节电功能，开启智能节电功能比没有开启节能50%以上，能源效率值≥3cd/W，睡眠模式功率密度值≤125W/㎡；显示屏黑屏不点亮时，功耗42W/㎡ 。</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15.LED显示屏具有电源温度控制系统，提供电源实时温度监控，超出设定温度自动报警，防止过温失效。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16.除湿设计：屏体长时间没有使用，屏体自动切入除湿模式。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17.★显示屏防尘性能满足IP6X防护等级要求，防水性能满足IPX3防护等级要求；符合防冲击IK10，25J能量冲击外壳5次，其中同一点受冲击不超过4次，试验后样品外观结构和功能正常；箱体结构符合盐雾10级要求。</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18.★LED 显示屏高防火能力，线材低烟无卤，箱体内部线材、塑胶件、PCB均满足V-0阻燃等级要求，并且整机满足BS476-7表面燃烧测试1级。</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耐压要求：电源输入端对外壳施加AC1.5kV，测试1分钟，无击穿、飞弧或超漏现象；泄漏电流要求：输入242VAC（AC电源），检测电流值：0.87mA，电流≤3.5mA；接地电阻要求：在32A试验电流下，测试2分钟，电阻≤0.095Ω。</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20.★电磁兼容性满足基于GB 9254-2008标准的CLASS B级要求，同时满足 EN55022（CISPR22）标准；电器绝缘试验，显示屏符合CLASS1等级标准。</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LED显示屏最大亮度连续工作2小时后，表面温升小于10K°（10℃），工作12小时后，表面温升小于20K°（20℃）；抗紫外线测试，UVA-340灯管，辐照度0.89W/（m2.nm），辐射8小时，黑标温度60℃；冷凝4小时，冷凝温度50℃。试验后无变形，变色；在10LUX/5600K照度下，对屏幕表面进行光反射率试验，屏幕表面光反射率（单位面积反射亮度）＜3cd/㎡；</w:t>
            </w:r>
            <w:r>
              <w:rPr>
                <w:rFonts w:hint="eastAsia" w:ascii="宋体" w:hAnsi="宋体" w:cs="宋体"/>
                <w:b/>
                <w:bCs/>
                <w:szCs w:val="21"/>
                <w:lang w:val="en-US" w:eastAsia="zh-CN"/>
              </w:rPr>
              <w:t>为保证产品质量，供货时必须提供第三方出具的检测报告复印件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工作磁场测试，磁场场强10A/m，试验在LED屏幕X,Y,Z三个轴上分别进行，单一轴试验时间为60s，测试中和测试结束后，产品无异常；电快速瞬变脉冲群测试，交流输入端口试验电压峰值：±4kV，T1/Th：5/50ns，重复频率：5kHz，直接耦合，正、负极化。各种脉冲施加组合持续时间各60s。测试中和测试结束后，产品无异常；合格基于GB/T 17618-2015电压暂降和短时中断测试，测试中和测试结束后，产品无异常。</w:t>
            </w:r>
            <w:r>
              <w:rPr>
                <w:rFonts w:hint="eastAsia" w:ascii="宋体" w:hAnsi="宋体" w:cs="宋体"/>
                <w:b/>
                <w:bCs/>
                <w:szCs w:val="21"/>
                <w:lang w:val="en-US" w:eastAsia="zh-CN"/>
              </w:rPr>
              <w:t>为保证产品质量，供货时必须提供第三方出具的检测报告复印件</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控制系统-同步</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卡兰特、灵信</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V960</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1.支持多达 5 路输入接口，包括 1 路 DVI，1 路 HDMI1.3，1 路 VGA，1 路 USB 播放，1 路 CVBS。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2.支持窗口位置、大小调整及窗口截取功能。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3.扩展子卡安装后支持使用鼠标或键盘进行控制和手机电脑等无线投屏。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4.支持输入源一键切换。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5.支持外置独立音频。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 DVI、HDMI 的输入分辨率预设及自定义调节。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7.支持画面一键全屏缩放、点对点显示、自定义缩放三种缩放模式。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8.支持快捷点屏，简单操作即可完成屏体配置。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 4 个网口输出，最大带载 260 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10.支持创建 10个用户场景作为模板保存，可直接调用，方便使用。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11.支持通过 RS232 协议连接中控设备。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12.支持屏体参数调整，例如亮度、Gamma 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13.具有坏点检测系统，自动告警，方便维护人员准确定位故障迅速修复，。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14.具有多点测温系统，均衡散热，防止局部温度过高造成色彩漂移，并提高显示屏寿命。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15.具有电源温度控制系统，提供电源实时温度监控，超出设定温度自动报警，防止过温失效。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16.集成控制软件，实时监控显示屏工作状态，发生故障立即发消息到指定邮箱，及时处理。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17.LED显示屏永不黑屏，控制系统可以冗余热备份，。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18.实时检测显示屏温度状况，确保LED显示屏在正常温度下运行。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19.显示屏支持逐点亮色度校正，校正过程快速高效。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20.可实时监控LED显示屏运行状态，LED显示屏运行状态监控系统。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21.使控制系统供电稳定不受外部电流干扰。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22.保障控制系统在高低温环境下稳定运行。</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10KW</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1、配电柜应包括继电器、开关箱、空开器件，间隔性顺序开启LED大屏幕，减缓峰值电流；</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多功能卡</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卡兰特、灵信</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MFN300</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 RS232 串口或千兆网口通信；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2.支持用网口级联在接收卡之间或最后；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3.具有定时功能，可以替代定时器和延时器；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4.支持配电箱温度检测；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5.支持配电箱湿度检测；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7.支持接4路光探头实现自动亮度调节；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8.支持外接温度模块；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9.支持8路电源开关控制。</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084"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框架结构及安装</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一、屏幕钢结构安装；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1.钢结构内框, 拉丝白锈钢或铝塑板包边。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2.支撑钢结构需做好防锈处理；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固定屏幕铝支架，需按照屏幕尺寸和现场安装方式定制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4.使屏体外观与周围环境相协调。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二、屏体的安装，显示屏调试；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三、专业技术培训；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四、施工所需的PVC管材五金配件等。</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007"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显示屏布线</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网线、电源线、视频线、音频线、连接线、安装辅材等</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66"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迪士普、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itc、</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湖山</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含1台功放，2个喇叭（根据实际现场情况选择吸顶或者壁装）</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82"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控制电脑电脑</w:t>
            </w:r>
          </w:p>
        </w:tc>
        <w:tc>
          <w:tcPr>
            <w:tcW w:w="100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 戴尔、 清华同方</w:t>
            </w:r>
          </w:p>
        </w:tc>
        <w:tc>
          <w:tcPr>
            <w:tcW w:w="862" w:type="dxa"/>
            <w:tcBorders>
              <w:tl2br w:val="nil"/>
              <w:tr2bl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1、处理器：i5；                                                                                                                                                      2、内存：8G 支持双内存扩展；                                                                                      3、硬盘：硬盘1T，支持双硬盘扩展，支持SSD扩展；                                                                                                                                                          4、显卡：2G独立显卡；                                                                                                                                   5、声卡：集成HD Audio声卡；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6、外观：塔式机箱，体积小巧，不大于15L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7、显示器：与主机同品牌21.5寸IPS LED显示器</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898" w:hRule="atLeast"/>
          <w:jc w:val="center"/>
        </w:trPr>
        <w:tc>
          <w:tcPr>
            <w:tcW w:w="5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门楣单红显示屏LED</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强力巨彩、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泰森</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P10</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P10单红LED显示屏，含电源、显示屏框架、控制卡等</w:t>
            </w:r>
          </w:p>
        </w:tc>
        <w:tc>
          <w:tcPr>
            <w:tcW w:w="8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7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65" w:hRule="atLeast"/>
          <w:jc w:val="center"/>
        </w:trPr>
        <w:tc>
          <w:tcPr>
            <w:tcW w:w="10438" w:type="dxa"/>
            <w:gridSpan w:val="9"/>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二、报告厅LED显示屏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638"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显示屏</w:t>
            </w:r>
          </w:p>
        </w:tc>
        <w:tc>
          <w:tcPr>
            <w:tcW w:w="100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洲明、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艾比森</w:t>
            </w:r>
          </w:p>
        </w:tc>
        <w:tc>
          <w:tcPr>
            <w:tcW w:w="8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P1.839</w:t>
            </w: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两套LED屏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每套显示系统尺寸，长=3.84m，高=2.4，面积=9.22平方，整屏分辨率=2088*1305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1.LED灯珠采用SMD RGB三合一表贴封装；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2.★点间距≤1.839mm；</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3.像素密度≥422500点/平米；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4.★刷新率≥3840Hz；</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5.★亮度≥500cd/㎡；</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6.维护方式：全前维护、支持磁吸固定方式；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7.★投标产品整机、内部线材阻燃等级达到V-1级；PCB板电路板、套件（塑料面板、面罩）阻燃达到UL94 V-0级；塑胶件阻燃符合V-0级；</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8.★亮度≥500cd/㎡；</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9.★对比度≥9000:1；亮度均匀性≥99%；色度均匀性±0.001Cx，Cy 之内；</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10.支持软件实现不同亮度情况下，灰度8-18bit任意设置0-100%亮度时，8-16bit任意灰度设置；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11.★套件材料采用聚碳酸酯和玻璃纤维材质，内部线材使用低烟无卤素环保线材；</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12.★发光点中心距偏差 ≤0.8%；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13.箱体平整度≤0.05mm；</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14.★投标产品具有HDR显示技术：依据CESI/TS 008-2016 标准，支持HDR 高动态光照渲染技术；</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15.★LED 显示屏画面延迟≤500ns；LED 显示屏画面信噪比≥60dB；</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16.★标准色温 6500K（1000K～20000K可调）；色温误差≤180K；</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17.★最大功耗≤260W/平米，平均功耗≤90W/平米，休眠模式功耗≤15W/平米；</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18.★投标产品具有动态节能功能，带有智能节电功能、带电黑屏节电功能，开启智能节电功能比没有开启节能45%以上；</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19.投标产品满足设备在正常工作条件下，连续工作168h，不应出现电、机械或操作系统的故障；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20.为确保良好的观看效果，投标产品符合SJ/T 11590-2016 LED显示屏质量评价优级；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21.为确保显示产品长期稳定可靠，系统支持自动检测长时间没有使用屏体，将启动除湿模式，提升产品稳定性，具备相应的自动除湿功能；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22.高低温工作储存温度：-40℃-80℃；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23.★投标产品带有图像处理功能：1、具体视频降噪、增强、运动补偿、色彩变换、钝化等图像处理功能；2、具有亮度/对比度度调节/视觉修正等图像调整功能；3、LED 显示屏图像无失真现象；</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24.★投标产品具有监控自检技术，可实现LED 单点检测、通讯检测、温度检测，电源检测，温度监控等功能；</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25.显示屏支持抑制摩尔纹功能，减轻摩尔纹视觉主观效果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26.★水平视角≥173°，垂直视角≥171°；</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27.整屏像素失控率≤1×10-6,区域像素失控率≤1×10-6；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28.投标产品支持逐点校正功能，校正后亮度损失≤7%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29.具备毛毛虫现象消除功能，显示画面无单列或单行像素失控现象且系统具备掉电储存功能。支持不关电热拔抢修功能；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30.★在室温下，LED 显示屏供电电源的功率因数不小于 95%，转换效率不小于86%；</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31.★LED显示屏Color Space覆盖率≥122% YIQ（NTSC），LED显示屏Color Space覆盖率≥173% YUV（PAL）；</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32.★投标产品要求通过浪涌（冲击）抗扰度测试，抗雷击；无线电骚扰传导、无线电骚扰辐射符合ClassA；</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33.★LED 显示屏的平均失效间隔工作时间 MTBF ≥100000h ，恢复时间MTTR＜2分钟；</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34.★视觉舒适度（VICO 指数）范围在 0-1 级，满足CSA035.2-2017 标准；</w:t>
            </w:r>
            <w:r>
              <w:rPr>
                <w:rFonts w:hint="eastAsia" w:ascii="宋体" w:hAnsi="宋体" w:cs="宋体"/>
                <w:b/>
                <w:bCs/>
                <w:szCs w:val="21"/>
                <w:lang w:val="en-US" w:eastAsia="zh-CN"/>
              </w:rPr>
              <w:t>为保证产品质量，供货时必须提供带有CNAS和CMA标识的第三方出具的检测报告复印件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35.★具有信号加密传输功能，支持控制器与屏体之间信号加密传输功能，防止网络恶意入侵。</w:t>
            </w:r>
            <w:r>
              <w:rPr>
                <w:rFonts w:hint="eastAsia" w:ascii="宋体" w:hAnsi="宋体" w:cs="宋体"/>
                <w:b/>
                <w:bCs/>
                <w:szCs w:val="21"/>
                <w:lang w:val="en-US" w:eastAsia="zh-CN"/>
              </w:rPr>
              <w:t>为保证产品质量，供货时必须提供带有CNAS和CMA标识的第三方出具的检测报告复印件</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18.44</w:t>
            </w:r>
          </w:p>
        </w:tc>
        <w:tc>
          <w:tcPr>
            <w:tcW w:w="7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057"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控制系统</w:t>
            </w:r>
          </w:p>
        </w:tc>
        <w:tc>
          <w:tcPr>
            <w:tcW w:w="100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卡兰特、灵信</w:t>
            </w:r>
          </w:p>
        </w:tc>
        <w:tc>
          <w:tcPr>
            <w:tcW w:w="8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V1060n</w:t>
            </w: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1.支持常见的视频接口，包括 2 路 HDMI1.3，1 路 DVI，支持音频输入输出。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2.支持快捷配屏和高级配屏功能。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HDMI、DVI 输入分辨率自定义调节。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4.支持设备间备份设置。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5.视频输出最大带载高达 390 万像素，最高8192，最宽10240。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6.支持带载屏体亮度调节，通过旋钮可实现100级亮度调节。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7.支持一键将优先级最低的窗口全屏自动缩放。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8.支持上位机软件操控，开窗布局。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9.前面板配备直观的 LCD 显示界面，可直接观察10个网口的通讯状态，清晰的按键灯提示，简化了系统的控制操作。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10.支持选择 HDMI 输入源或 DVI 输入源作为同步信号，达到输出的场级同步。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11.支持设备备份和网口备份，设备故障或网线故障时保证屏体运行过程正常无问题。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12.无需电脑，支持通过设备旋转按钮快捷配屏和高级配屏功能点亮屏体。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13.发送卡和视频处理器二合一，连线更加少，稳定性兼容性大大提升</w:t>
            </w:r>
          </w:p>
        </w:tc>
        <w:tc>
          <w:tcPr>
            <w:tcW w:w="84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164"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100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8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10KW</w:t>
            </w: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10KW  满足过流、短路、断路、过压、欠压等保护措施，支持远程上电、分步上电的功能</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928"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工程布线</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1.配电井到屏幕主电缆 ；                                               2.六类网线（屏幕到处理器通讯线）；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3.屏体内部电源线；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4.屏体内部网络跳线。</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框架结构及安装</w:t>
            </w:r>
          </w:p>
        </w:tc>
        <w:tc>
          <w:tcPr>
            <w:tcW w:w="100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一、屏幕钢结构安装；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1.钢结构内框, 拉丝白锈钢或铝塑板包边。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2.支撑钢结构需做好防锈处理；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固定屏幕铝支架，需按照屏幕尺寸和现场安装方式定制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4.使屏体外观与周围环境相协调。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二、屏体的安装，显示屏调试；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三、专业技术培训；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四、施工所需的PVC管材五金配件等。</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10"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控制电脑</w:t>
            </w:r>
          </w:p>
        </w:tc>
        <w:tc>
          <w:tcPr>
            <w:tcW w:w="100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 戴尔、 清华同方</w:t>
            </w:r>
          </w:p>
        </w:tc>
        <w:tc>
          <w:tcPr>
            <w:tcW w:w="862" w:type="dxa"/>
            <w:tcBorders>
              <w:tl2br w:val="nil"/>
              <w:tr2bl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11"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1、处理器：i5；                                                                                                                                                      2、内存：8G 支持双内存扩展；                                                                                      3、硬盘：硬盘1T，支持双硬盘扩展，支持SSD扩展；                                                                                                                                                          4、显卡：2G独立显卡；                                                                                                                                   5、声卡：集成HD Audio声卡；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6、外观：塔式机箱，体积小巧，不大于15L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7、显示器：与主机同品牌21.5寸IPS LED显示器</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61" w:hRule="atLeast"/>
          <w:jc w:val="center"/>
        </w:trPr>
        <w:tc>
          <w:tcPr>
            <w:tcW w:w="10438" w:type="dxa"/>
            <w:gridSpan w:val="9"/>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三、会议室投影仪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0"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w:t>
            </w:r>
          </w:p>
        </w:tc>
        <w:tc>
          <w:tcPr>
            <w:tcW w:w="10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NEC、  爱普生、</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明基 </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NP-CB4600U</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投影技术：3 LCD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标准亮度：5600流明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LCD尺寸：0.64英寸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标准分辨率：1920×1200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灯泡：≤330W  标准模式下灯泡寿命≥4000小时（节能模式下灯泡寿命≥8000小时）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对比度：≥20000:1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投射比：1.2~2.0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光学变焦：1.6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光学镜头位移：垂直 0~55%，水平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 D-SUB15针输入×1；D-SUB15针输入出×1；HDMI×2；HDBaseT×1；RCA音频×1；RCA视频×1；音频输入3.5mm×1；音频输出3.5mm×1；控制串口RS232×1；A型USB×1，B型USB×1；RJ45网络接口×1。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功耗（标准）： ≤431W，最低待机功耗： ≤0.5W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重量：≤4.8KG</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幕布</w:t>
            </w:r>
          </w:p>
        </w:tc>
        <w:tc>
          <w:tcPr>
            <w:tcW w:w="10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 经科、 极米坚果</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150寸</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150寸16：10，投影尺寸：3230mm*2020mm（宽*高）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1、玻珠幕、增益系数达2.5倍；有效散射角2α≥32°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2、外壳由金属板冲压机械加工成型，表面静电喷涂装饰，美观耐用。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3．采用品牌优质同步电机、超静音、可配选红外遥控，卷动锁紧系统。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4、幕面为经高温处理的PVC浆融性机制幕，具有高亮度、高分辨率、色彩还原性好、白昼成像清晰等优点。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5、采用先进的加工工艺，银幕表面物理参数稳定衰减小，绿色环保的幕面材料无任何气味，幕面平整度好。长时间使用不卷边，不发黄，具有防霉、防潮、阻燃、等特点。</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864"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100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1、进口芯片，技术先进，设计合理，外形美观，过压保护和避雷设计；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2、安全可靠，接收器带手动控制功能；                                           3、长距离射频发射设计，不受障碍物阻隔，遥控操作简单便捷。</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75"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吊架</w:t>
            </w:r>
          </w:p>
        </w:tc>
        <w:tc>
          <w:tcPr>
            <w:tcW w:w="100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1.5米工程吊架</w:t>
            </w: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750-1500主杆长度</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75"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2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投影电脑</w:t>
            </w:r>
          </w:p>
        </w:tc>
        <w:tc>
          <w:tcPr>
            <w:tcW w:w="10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联想、 戴尔、 清华同方</w:t>
            </w:r>
          </w:p>
        </w:tc>
        <w:tc>
          <w:tcPr>
            <w:tcW w:w="862" w:type="dxa"/>
            <w:tcBorders>
              <w:tl2br w:val="nil"/>
              <w:tr2bl w:val="nil"/>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3311"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1、处理器：i5；                                                                                                                                                      2、内存：8G 支持双内存扩展；                                                                                      3、硬盘：硬盘1T，支持双硬盘扩展，支持SSD扩展；                                                                                                                                                          4、显卡：2G独立显卡；                                                                                                                                   5、声卡：集成HD Audio声卡；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6、外观：塔式机箱，体积小巧，不大于15L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7、显示器：与主机同品牌21.5寸IPS LED显示器</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75" w:hRule="atLeast"/>
          <w:jc w:val="center"/>
        </w:trPr>
        <w:tc>
          <w:tcPr>
            <w:tcW w:w="541" w:type="dxa"/>
            <w:tcBorders>
              <w:tl2br w:val="nil"/>
              <w:tr2bl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28" w:type="dxa"/>
            <w:tcBorders>
              <w:tl2br w:val="nil"/>
              <w:tr2bl w:val="nil"/>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操作桌</w:t>
            </w:r>
          </w:p>
        </w:tc>
        <w:tc>
          <w:tcPr>
            <w:tcW w:w="100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8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c>
          <w:tcPr>
            <w:tcW w:w="3311" w:type="dxa"/>
            <w:tcBorders>
              <w:tl2br w:val="nil"/>
              <w:tr2bl w:val="nil"/>
            </w:tcBorders>
            <w:shd w:val="clear" w:color="auto" w:fill="auto"/>
            <w:vAlign w:val="center"/>
          </w:tcPr>
          <w:p>
            <w:pPr>
              <w:bidi w:val="0"/>
              <w:rPr>
                <w:rFonts w:hint="eastAsia"/>
                <w:sz w:val="20"/>
                <w:szCs w:val="20"/>
              </w:rPr>
            </w:pPr>
            <w:r>
              <w:rPr>
                <w:rFonts w:hint="eastAsia"/>
                <w:sz w:val="20"/>
                <w:szCs w:val="20"/>
              </w:rPr>
              <w:t>1、尺寸：1200*400*760mm.</w:t>
            </w:r>
          </w:p>
          <w:p>
            <w:pPr>
              <w:bidi w:val="0"/>
              <w:rPr>
                <w:rFonts w:hint="eastAsia"/>
                <w:sz w:val="20"/>
                <w:szCs w:val="20"/>
              </w:rPr>
            </w:pPr>
            <w:r>
              <w:rPr>
                <w:rFonts w:hint="eastAsia"/>
                <w:sz w:val="20"/>
                <w:szCs w:val="20"/>
              </w:rPr>
              <w:t>2、基材采用E1级（甲醛释放量≤5mg/100g,相当于E0级)优质环保型中密度纤维板，经过防虫、防腐等化学处理，含水率9％，密度达0.9g/cm³，静曲强度≥23MPa，甲醛释放量≤5mg/100g；符合GB/T11718-2009《中密度纤维板》和GB 18580-2001《室内装饰装修材料人造板及其制品中甲醛释放限量》标准；</w:t>
            </w:r>
          </w:p>
          <w:p>
            <w:pPr>
              <w:bidi w:val="0"/>
              <w:rPr>
                <w:rFonts w:hint="eastAsia"/>
                <w:sz w:val="20"/>
                <w:szCs w:val="20"/>
              </w:rPr>
            </w:pPr>
            <w:r>
              <w:rPr>
                <w:rFonts w:hint="eastAsia"/>
                <w:sz w:val="20"/>
                <w:szCs w:val="20"/>
              </w:rPr>
              <w:t>3、饰面采用厚度0.6mmAAA级胡桃木皮，选料是无腐、无裂痕、无虫眼和死节，耐磨性强、不起球、防静电、阻燃、纹理自然，并经过烘干、防虫、防污、防腐处理，甲醛释放量0.1mg/L。</w:t>
            </w:r>
          </w:p>
          <w:p>
            <w:pPr>
              <w:bidi w:val="0"/>
              <w:rPr>
                <w:rFonts w:hint="eastAsia"/>
                <w:sz w:val="20"/>
                <w:szCs w:val="20"/>
              </w:rPr>
            </w:pPr>
            <w:r>
              <w:rPr>
                <w:rFonts w:hint="eastAsia"/>
                <w:sz w:val="20"/>
                <w:szCs w:val="20"/>
              </w:rPr>
              <w:t>4、油漆：采用高级环保型聚脂漆，符合GB 18581-2009《室内装饰装修材料溶剂型木器涂料中有害物质限量》标准；采用封闭式油漆工艺，表面光亮平整，颜色均匀、硬度高。耐磨性强，色泽效果持久，漆膜饱满，手感光滑。油漆无颗粒、气泡、渣点、附着性强，涂膜强韧，封边细腻，线条均匀，转角过渡自然，间隙细小且均等。</w:t>
            </w:r>
          </w:p>
          <w:p>
            <w:pPr>
              <w:bidi w:val="0"/>
              <w:rPr>
                <w:rFonts w:hint="eastAsia" w:ascii="宋体" w:hAnsi="宋体" w:eastAsia="宋体" w:cs="宋体"/>
                <w:i w:val="0"/>
                <w:iCs w:val="0"/>
                <w:color w:val="000000"/>
                <w:kern w:val="0"/>
                <w:szCs w:val="20"/>
                <w:u w:val="none"/>
                <w:lang w:val="en-US" w:eastAsia="zh-CN" w:bidi="ar"/>
              </w:rPr>
            </w:pPr>
            <w:r>
              <w:rPr>
                <w:rFonts w:hint="eastAsia"/>
                <w:sz w:val="20"/>
                <w:szCs w:val="20"/>
              </w:rPr>
              <w:t>5、配件选用优质五金配件，连接处均紧密拼接，安全、坚固、静音。所有偏心件外露接口处均加装嵌入式孔帽，外表美观，并且有效减少甲醛通过孔眼处释放，环保安全。</w:t>
            </w:r>
          </w:p>
        </w:tc>
        <w:tc>
          <w:tcPr>
            <w:tcW w:w="84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6"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73" w:hRule="atLeast"/>
          <w:jc w:val="center"/>
        </w:trPr>
        <w:tc>
          <w:tcPr>
            <w:tcW w:w="9474" w:type="dxa"/>
            <w:gridSpan w:val="8"/>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96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73" w:hRule="atLeast"/>
          <w:jc w:val="center"/>
        </w:trPr>
        <w:tc>
          <w:tcPr>
            <w:tcW w:w="10438" w:type="dxa"/>
            <w:gridSpan w:val="9"/>
            <w:tcBorders>
              <w:tl2br w:val="nil"/>
              <w:tr2bl w:val="nil"/>
            </w:tcBorders>
            <w:shd w:val="clear" w:color="auto" w:fill="auto"/>
            <w:vAlign w:val="center"/>
          </w:tcPr>
          <w:p>
            <w:pPr>
              <w:spacing w:line="360" w:lineRule="auto"/>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商务要求：</w:t>
            </w:r>
          </w:p>
          <w:p>
            <w:pPr>
              <w:spacing w:line="36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成交供应商必须提供原装正品的、全新的、符合有关质量标准的产品；在设备到货安装前，采购人现场根据货物需求表文件要求逐条对应进行核验，核验不合格的，不予验收并全部退货，同时报相关监督管理部门处理，由此造成采购人经济损失的由成交供应商负责承担全部赔偿责任。</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2、验收：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3、投标报价为采购人指定地点的现场交货价，包括：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（1）货物的价格；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（2）货物的标准附件、备品备件、专用工具的价格；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（3）运输、装卸、调试、培训、技术支持、售后服务等费用；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（4）必要的保险费用和各项税费；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（5）安装、调试费用。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（6）包括项目整体验收各项费用。 </w:t>
            </w:r>
          </w:p>
          <w:p>
            <w:p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本项目报价为总价包干，即一次性报出本项目实施过程所需的全部费用。采购人不再针对本项目另行支付其他费用。</w:t>
            </w:r>
          </w:p>
          <w:p>
            <w:pPr>
              <w:numPr>
                <w:ilvl w:val="0"/>
                <w:numId w:val="1"/>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交付使用时间及地点 </w:t>
            </w:r>
          </w:p>
          <w:p>
            <w:pPr>
              <w:numPr>
                <w:ilvl w:val="0"/>
                <w:numId w:val="0"/>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交付使用时间：自签订合同之日起，3个日历日内将货物送到指定现场，20个日历日内交付并验收合格。 </w:t>
            </w:r>
          </w:p>
          <w:p>
            <w:pPr>
              <w:numPr>
                <w:ilvl w:val="0"/>
                <w:numId w:val="0"/>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交付使用地点：广西南宁市采购人指定地点 。</w:t>
            </w:r>
          </w:p>
          <w:p>
            <w:pPr>
              <w:numPr>
                <w:ilvl w:val="0"/>
                <w:numId w:val="0"/>
              </w:numPr>
              <w:spacing w:line="36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5、保质期及售后服务要求 </w:t>
            </w:r>
          </w:p>
          <w:p>
            <w:pPr>
              <w:numPr>
                <w:ilvl w:val="0"/>
                <w:numId w:val="0"/>
              </w:numPr>
              <w:spacing w:line="360" w:lineRule="auto"/>
              <w:jc w:val="left"/>
              <w:rPr>
                <w:rFonts w:hint="eastAsia" w:ascii="宋体" w:hAnsi="宋体" w:eastAsia="宋体" w:cs="宋体"/>
                <w:b/>
                <w:bCs/>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（1）供应商提供的所有产品（含部件）必须是全新的原厂原装正品，负责免费送货上门、免费安装调试至合格。 </w:t>
            </w:r>
          </w:p>
          <w:p>
            <w:pPr>
              <w:numPr>
                <w:ilvl w:val="0"/>
                <w:numId w:val="0"/>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（2）按国家有关产品“三包”规定执行“三包”。质保期1年(自交货并验收合格之日起计，分项有特别要求的按照分项要求)，在质保期内设备运行发生故障，中标人免费提供维修服务，免费提供系统软件升级。</w:t>
            </w:r>
          </w:p>
          <w:p>
            <w:pPr>
              <w:numPr>
                <w:ilvl w:val="0"/>
                <w:numId w:val="0"/>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（3）故障响应时间：中标供应商接到故障通知后需在1小时内做出响应（电话），同时在2小时内派工程师到现场进行故障解除。如果修复不了的，用同等备用设备替换。 </w:t>
            </w:r>
          </w:p>
          <w:p>
            <w:pPr>
              <w:numPr>
                <w:ilvl w:val="0"/>
                <w:numId w:val="0"/>
              </w:numPr>
              <w:spacing w:line="360" w:lineRule="auto"/>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（4）在保修期内无偿提供人员和技术支持配合建设单位进行技术改进，投标人应提供保修期内日常维护和保养计划。保修期后优惠提供产品更新、改造服务。</w:t>
            </w:r>
          </w:p>
          <w:p>
            <w:pPr>
              <w:bidi w:val="0"/>
              <w:spacing w:line="360" w:lineRule="auto"/>
              <w:jc w:val="left"/>
              <w:rPr>
                <w:rFonts w:hint="eastAsia"/>
                <w:b/>
                <w:bCs/>
              </w:rPr>
            </w:pPr>
            <w:r>
              <w:rPr>
                <w:rFonts w:hint="eastAsia" w:ascii="宋体" w:hAnsi="宋体" w:eastAsia="宋体" w:cs="宋体"/>
                <w:b/>
                <w:bCs/>
                <w:color w:val="auto"/>
                <w:sz w:val="21"/>
                <w:szCs w:val="21"/>
                <w:vertAlign w:val="baseline"/>
                <w:lang w:val="en-US" w:eastAsia="zh-CN"/>
              </w:rPr>
              <w:t>★6、</w:t>
            </w:r>
            <w:r>
              <w:rPr>
                <w:rFonts w:hint="eastAsia"/>
                <w:b/>
                <w:bCs/>
              </w:rPr>
              <w:t>为保证项目能够顺利按时完成以及后期系统维护，</w:t>
            </w:r>
            <w:r>
              <w:rPr>
                <w:rFonts w:hint="eastAsia"/>
                <w:b/>
                <w:bCs/>
                <w:lang w:eastAsia="zh-CN"/>
              </w:rPr>
              <w:t>投标</w:t>
            </w:r>
            <w:r>
              <w:rPr>
                <w:rFonts w:hint="eastAsia"/>
                <w:b/>
                <w:bCs/>
              </w:rPr>
              <w:t>人在签订合同</w:t>
            </w:r>
            <w:r>
              <w:rPr>
                <w:rFonts w:hint="eastAsia"/>
                <w:b/>
                <w:bCs/>
                <w:lang w:eastAsia="zh-CN"/>
              </w:rPr>
              <w:t>前</w:t>
            </w:r>
            <w:r>
              <w:rPr>
                <w:rFonts w:hint="eastAsia"/>
                <w:b/>
                <w:bCs/>
              </w:rPr>
              <w:t>必须提供</w:t>
            </w:r>
            <w:r>
              <w:rPr>
                <w:rFonts w:hint="eastAsia"/>
                <w:b/>
                <w:bCs/>
                <w:lang w:eastAsia="zh-CN"/>
              </w:rPr>
              <w:t>“</w:t>
            </w:r>
            <w:r>
              <w:rPr>
                <w:rFonts w:hint="eastAsia"/>
                <w:b/>
                <w:bCs/>
                <w:lang w:val="en-US" w:eastAsia="zh-CN"/>
              </w:rPr>
              <w:t>大堂LED显示屏</w:t>
            </w:r>
            <w:r>
              <w:rPr>
                <w:rFonts w:hint="eastAsia"/>
                <w:b/>
                <w:bCs/>
                <w:lang w:eastAsia="zh-CN"/>
              </w:rPr>
              <w:t>”、“</w:t>
            </w:r>
            <w:r>
              <w:rPr>
                <w:rFonts w:hint="eastAsia"/>
                <w:b/>
                <w:bCs/>
                <w:lang w:val="en-US" w:eastAsia="zh-CN"/>
              </w:rPr>
              <w:t>报告厅LED显示屏</w:t>
            </w:r>
            <w:r>
              <w:rPr>
                <w:rFonts w:hint="eastAsia"/>
                <w:b/>
                <w:bCs/>
                <w:lang w:eastAsia="zh-CN"/>
              </w:rPr>
              <w:t>”</w:t>
            </w:r>
            <w:r>
              <w:rPr>
                <w:rFonts w:hint="eastAsia"/>
                <w:b/>
                <w:bCs/>
              </w:rPr>
              <w:t>生产厂家针对本项目的售后服务承诺书及有效供货证明书的原件。</w:t>
            </w:r>
          </w:p>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auto"/>
                <w:sz w:val="21"/>
                <w:szCs w:val="21"/>
                <w:vertAlign w:val="baseline"/>
                <w:lang w:val="en-US" w:eastAsia="zh-CN"/>
              </w:rPr>
              <w:t>★</w:t>
            </w:r>
            <w:r>
              <w:rPr>
                <w:rFonts w:hint="eastAsia" w:ascii="宋体" w:hAnsi="宋体" w:eastAsia="宋体" w:cs="宋体"/>
                <w:b/>
                <w:bCs/>
                <w:lang w:val="en-US" w:eastAsia="zh-CN"/>
              </w:rPr>
              <w:t>7、</w:t>
            </w:r>
            <w:r>
              <w:rPr>
                <w:rFonts w:hint="eastAsia" w:ascii="宋体" w:hAnsi="宋体" w:eastAsia="宋体" w:cs="宋体"/>
                <w:b/>
                <w:bCs/>
              </w:rPr>
              <w:t>为保证项目</w:t>
            </w:r>
            <w:r>
              <w:rPr>
                <w:rFonts w:hint="eastAsia" w:ascii="宋体" w:hAnsi="宋体" w:eastAsia="宋体" w:cs="宋体"/>
                <w:b/>
                <w:bCs/>
                <w:lang w:eastAsia="zh-CN"/>
              </w:rPr>
              <w:t>的售后运维的响应速度，设备得到稳定的运行。投标人在广西设立有售后服务团队，</w:t>
            </w:r>
            <w:r>
              <w:rPr>
                <w:rFonts w:hint="eastAsia" w:ascii="宋体" w:hAnsi="宋体" w:eastAsia="宋体" w:cs="宋体"/>
                <w:b/>
                <w:bCs/>
                <w:lang w:val="en-US" w:eastAsia="zh-CN"/>
              </w:rPr>
              <w:t>合同签订前</w:t>
            </w:r>
            <w:r>
              <w:rPr>
                <w:rFonts w:hint="eastAsia" w:ascii="宋体" w:hAnsi="宋体" w:eastAsia="宋体" w:cs="宋体"/>
                <w:b/>
                <w:bCs/>
                <w:lang w:eastAsia="zh-CN"/>
              </w:rPr>
              <w:t>必须提供售后服务团队成员</w:t>
            </w:r>
            <w:r>
              <w:rPr>
                <w:rFonts w:hint="eastAsia" w:ascii="宋体" w:hAnsi="宋体" w:eastAsia="宋体" w:cs="宋体"/>
                <w:b/>
                <w:bCs/>
                <w:lang w:val="en-US" w:eastAsia="zh-CN"/>
              </w:rPr>
              <w:t>2022年在广西壮族自治区内连续三个月缴纳社保证明。（</w:t>
            </w:r>
            <w:r>
              <w:rPr>
                <w:rFonts w:hint="eastAsia" w:ascii="宋体" w:hAnsi="宋体" w:eastAsia="宋体" w:cs="宋体"/>
                <w:b/>
                <w:bCs/>
                <w:lang w:eastAsia="zh-CN"/>
              </w:rPr>
              <w:t>售后服务团队可以是分公司成员。）</w:t>
            </w:r>
          </w:p>
        </w:tc>
      </w:tr>
    </w:tbl>
    <w:p/>
    <w:sectPr>
      <w:pgSz w:w="11906" w:h="16838"/>
      <w:pgMar w:top="1440" w:right="1080" w:bottom="1440" w:left="10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DA1AA"/>
    <w:multiLevelType w:val="singleLevel"/>
    <w:tmpl w:val="A87DA1A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GMxYjhkMzcxNmNlMWIzZGViYWU3MWM4ZGZhMDkifQ=="/>
  </w:docVars>
  <w:rsids>
    <w:rsidRoot w:val="00000000"/>
    <w:rsid w:val="02E132C9"/>
    <w:rsid w:val="03394EB3"/>
    <w:rsid w:val="05D90285"/>
    <w:rsid w:val="0ABB2FF3"/>
    <w:rsid w:val="0B5B1B2F"/>
    <w:rsid w:val="25B70430"/>
    <w:rsid w:val="2BDE4EA9"/>
    <w:rsid w:val="33887A61"/>
    <w:rsid w:val="378D51F2"/>
    <w:rsid w:val="3C667DC0"/>
    <w:rsid w:val="3D5063FA"/>
    <w:rsid w:val="42A9564E"/>
    <w:rsid w:val="441C47CB"/>
    <w:rsid w:val="47B27AFB"/>
    <w:rsid w:val="4F5C2789"/>
    <w:rsid w:val="501716A5"/>
    <w:rsid w:val="572D7A00"/>
    <w:rsid w:val="5AC81B70"/>
    <w:rsid w:val="67140F74"/>
    <w:rsid w:val="6BFD2E6C"/>
    <w:rsid w:val="71607AB3"/>
    <w:rsid w:val="7394464A"/>
    <w:rsid w:val="75EB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7634</Words>
  <Characters>9140</Characters>
  <Lines>0</Lines>
  <Paragraphs>0</Paragraphs>
  <TotalTime>12</TotalTime>
  <ScaleCrop>false</ScaleCrop>
  <LinksUpToDate>false</LinksUpToDate>
  <CharactersWithSpaces>10937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2022-07-03T04:18:00Z</dcterms:created>
  <dc:creator>Administrator</dc:creator>
  <cp:lastModifiedBy>轩爸</cp:lastModifiedBy>
  <dcterms:modified xsi:type="dcterms:W3CDTF">2022-08-16T10:43:34Z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7764614534C446DC96AD809295A58F12</vt:lpwstr>
  </property>
</Properties>
</file>