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4"/>
          <w:highlight w:val="none"/>
        </w:rPr>
      </w:pPr>
      <w:r>
        <w:rPr>
          <w:rFonts w:hint="eastAsia" w:ascii="宋体" w:hAnsi="宋体" w:eastAsia="宋体"/>
          <w:b/>
          <w:sz w:val="24"/>
          <w:highlight w:val="none"/>
        </w:rPr>
        <w:t>反向竞价文件</w:t>
      </w:r>
    </w:p>
    <w:p>
      <w:pPr>
        <w:rPr>
          <w:rFonts w:ascii="宋体" w:hAnsi="宋体" w:eastAsia="宋体"/>
          <w:b/>
          <w:sz w:val="24"/>
          <w:highlight w:val="none"/>
        </w:rPr>
      </w:pPr>
    </w:p>
    <w:p>
      <w:pPr>
        <w:spacing w:line="480" w:lineRule="auto"/>
        <w:ind w:right="-693"/>
        <w:jc w:val="both"/>
        <w:rPr>
          <w:rFonts w:ascii="宋体" w:hAnsi="宋体" w:eastAsia="宋体"/>
          <w:sz w:val="24"/>
          <w:highlight w:val="none"/>
        </w:rPr>
      </w:pPr>
      <w:r>
        <w:rPr>
          <w:rFonts w:hint="eastAsia"/>
          <w:sz w:val="24"/>
          <w:highlight w:val="none"/>
        </w:rPr>
        <w:t>项目名称：</w:t>
      </w:r>
      <w:r>
        <w:rPr>
          <w:rFonts w:hint="eastAsia" w:ascii="Calibri" w:hAnsi="Calibri" w:eastAsia="宋体" w:cs="Times New Roman"/>
          <w:b w:val="0"/>
          <w:bCs w:val="0"/>
          <w:sz w:val="24"/>
          <w:szCs w:val="24"/>
          <w:highlight w:val="none"/>
          <w:lang w:val="en-US" w:eastAsia="zh-CN"/>
        </w:rPr>
        <w:t>广西自然资源职业技术学院体育馆功能拓展篮球馆空调系统设备</w:t>
      </w:r>
      <w:r>
        <w:rPr>
          <w:rFonts w:ascii="宋体" w:hAnsi="宋体" w:cs="宋体"/>
          <w:b w:val="0"/>
          <w:bCs w:val="0"/>
          <w:kern w:val="1"/>
          <w:sz w:val="24"/>
          <w:szCs w:val="24"/>
          <w:highlight w:val="none"/>
        </w:rPr>
        <mc:AlternateContent>
          <mc:Choice Requires="wps">
            <w:drawing>
              <wp:anchor distT="0" distB="0" distL="114300" distR="114300" simplePos="0" relativeHeight="251660288" behindDoc="0" locked="0" layoutInCell="0" allowOverlap="1">
                <wp:simplePos x="0" y="0"/>
                <wp:positionH relativeFrom="column">
                  <wp:posOffset>342900</wp:posOffset>
                </wp:positionH>
                <wp:positionV relativeFrom="paragraph">
                  <wp:posOffset>165735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7pt;margin-top:13.05pt;height:0pt;width:0.05pt;z-index:251660288;mso-width-relative:page;mso-height-relative:page;" filled="f" stroked="t" coordsize="21600,21600" o:allowincell="f" o:gfxdata="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05AI/1QAAAAcBAAAPAAAAAAAAAAEAIAAAACIAAABkcnMvZG93bnJldi54bWxQSwEC&#10;FAAUAAAACACHTuJAWq1/V/cBAADqAwAADgAAAAAAAAABACAAAAAkAQAAZHJzL2Uyb0RvYy54bWxQ&#10;SwUGAAAAAAYABgBZAQAAjQUAAAAA&#10;">
                <v:fill on="f" focussize="0,0"/>
                <v:stroke color="#000000" joinstyle="round"/>
                <v:imagedata o:title=""/>
                <o:lock v:ext="edit" aspectratio="f"/>
              </v:line>
            </w:pict>
          </mc:Fallback>
        </mc:AlternateContent>
      </w:r>
      <w:r>
        <w:rPr>
          <w:rFonts w:hint="eastAsia" w:ascii="Calibri" w:hAnsi="Calibri" w:eastAsia="宋体" w:cs="Times New Roman"/>
          <w:b w:val="0"/>
          <w:bCs w:val="0"/>
          <w:sz w:val="24"/>
          <w:szCs w:val="24"/>
          <w:highlight w:val="none"/>
          <w:lang w:val="en-US" w:eastAsia="zh-CN"/>
        </w:rPr>
        <w:t>项目</w:t>
      </w:r>
    </w:p>
    <w:p>
      <w:pPr>
        <w:spacing w:line="360" w:lineRule="auto"/>
        <w:rPr>
          <w:sz w:val="24"/>
          <w:highlight w:val="none"/>
        </w:rPr>
      </w:pPr>
      <w:r>
        <w:rPr>
          <w:rFonts w:hint="eastAsia"/>
          <w:sz w:val="24"/>
          <w:highlight w:val="none"/>
        </w:rPr>
        <w:t>预算金额：</w:t>
      </w:r>
      <w:r>
        <w:rPr>
          <w:rFonts w:hint="eastAsia"/>
          <w:sz w:val="24"/>
          <w:highlight w:val="none"/>
          <w:lang w:val="en-US" w:eastAsia="zh-CN"/>
        </w:rPr>
        <w:t>99.8</w:t>
      </w:r>
      <w:r>
        <w:rPr>
          <w:rFonts w:hint="eastAsia"/>
          <w:sz w:val="24"/>
          <w:highlight w:val="none"/>
        </w:rPr>
        <w:t>万元</w:t>
      </w:r>
    </w:p>
    <w:p>
      <w:pPr>
        <w:spacing w:line="360" w:lineRule="auto"/>
        <w:rPr>
          <w:rFonts w:ascii="宋体" w:hAnsi="宋体" w:eastAsia="宋体"/>
          <w:bCs/>
          <w:sz w:val="24"/>
          <w:highlight w:val="none"/>
        </w:rPr>
      </w:pPr>
      <w:r>
        <w:rPr>
          <w:rFonts w:hint="eastAsia" w:ascii="宋体" w:hAnsi="宋体" w:eastAsia="宋体"/>
          <w:bCs/>
          <w:sz w:val="24"/>
          <w:highlight w:val="none"/>
        </w:rPr>
        <w:t>采购需求表：</w:t>
      </w:r>
    </w:p>
    <w:tbl>
      <w:tblPr>
        <w:tblStyle w:val="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6"/>
        <w:gridCol w:w="1265"/>
        <w:gridCol w:w="1087"/>
        <w:gridCol w:w="3537"/>
        <w:gridCol w:w="18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highlight w:val="none"/>
                <w:u w:val="single"/>
              </w:rPr>
            </w:pPr>
            <w:r>
              <w:rPr>
                <w:rFonts w:hint="eastAsia" w:ascii="宋体" w:hAnsi="宋体" w:eastAsia="宋体"/>
                <w:sz w:val="24"/>
                <w:highlight w:val="none"/>
              </w:rPr>
              <w:t>预算金额：人民币</w:t>
            </w:r>
            <w:r>
              <w:rPr>
                <w:rFonts w:hint="eastAsia" w:ascii="宋体" w:hAnsi="宋体" w:eastAsia="宋体"/>
                <w:sz w:val="24"/>
                <w:highlight w:val="none"/>
                <w:lang w:val="en-US" w:eastAsia="zh-CN"/>
              </w:rPr>
              <w:t>99.8</w:t>
            </w:r>
            <w:r>
              <w:rPr>
                <w:rFonts w:hint="eastAsia" w:ascii="宋体" w:hAnsi="宋体" w:eastAsia="宋体"/>
                <w:sz w:val="24"/>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sz w:val="24"/>
                <w:highlight w:val="none"/>
              </w:rPr>
            </w:pPr>
            <w:r>
              <w:rPr>
                <w:rFonts w:hint="eastAsia" w:ascii="宋体" w:hAnsi="宋体" w:eastAsia="宋体"/>
                <w:sz w:val="24"/>
                <w:highlight w:val="none"/>
              </w:rPr>
              <w:t>序号</w:t>
            </w:r>
          </w:p>
        </w:tc>
        <w:tc>
          <w:tcPr>
            <w:tcW w:w="74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sz w:val="24"/>
                <w:highlight w:val="none"/>
              </w:rPr>
            </w:pPr>
            <w:r>
              <w:rPr>
                <w:rFonts w:hint="eastAsia" w:ascii="宋体" w:hAnsi="宋体" w:eastAsia="宋体"/>
                <w:sz w:val="24"/>
                <w:highlight w:val="none"/>
              </w:rPr>
              <w:t>标的的名称</w:t>
            </w:r>
          </w:p>
        </w:tc>
        <w:tc>
          <w:tcPr>
            <w:tcW w:w="63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sz w:val="24"/>
                <w:highlight w:val="none"/>
              </w:rPr>
            </w:pPr>
            <w:r>
              <w:rPr>
                <w:rFonts w:hint="eastAsia" w:ascii="宋体" w:hAnsi="宋体" w:eastAsia="宋体"/>
                <w:sz w:val="24"/>
                <w:highlight w:val="none"/>
              </w:rPr>
              <w:t>数量及单位</w:t>
            </w:r>
          </w:p>
        </w:tc>
        <w:tc>
          <w:tcPr>
            <w:tcW w:w="207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sz w:val="24"/>
                <w:highlight w:val="none"/>
              </w:rPr>
            </w:pPr>
            <w:r>
              <w:rPr>
                <w:rFonts w:hint="eastAsia" w:ascii="宋体" w:hAnsi="宋体" w:eastAsia="宋体"/>
                <w:sz w:val="24"/>
                <w:highlight w:val="none"/>
              </w:rPr>
              <w:t>简要技术需求或者服务要求</w:t>
            </w:r>
          </w:p>
        </w:tc>
        <w:tc>
          <w:tcPr>
            <w:tcW w:w="110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sz w:val="24"/>
                <w:highlight w:val="none"/>
              </w:rPr>
            </w:pPr>
            <w:r>
              <w:rPr>
                <w:rFonts w:hint="eastAsia" w:ascii="宋体" w:hAnsi="宋体" w:eastAsia="宋体"/>
                <w:sz w:val="24"/>
                <w:highlight w:val="none"/>
              </w:rPr>
              <w:t>预算（万元）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sz w:val="24"/>
                <w:highlight w:val="none"/>
              </w:rPr>
            </w:pPr>
            <w:r>
              <w:rPr>
                <w:rFonts w:ascii="宋体" w:hAnsi="宋体" w:eastAsia="宋体"/>
                <w:sz w:val="24"/>
                <w:highlight w:val="none"/>
              </w:rPr>
              <w:t>1</w:t>
            </w:r>
          </w:p>
        </w:tc>
        <w:tc>
          <w:tcPr>
            <w:tcW w:w="74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highlight w:val="none"/>
              </w:rPr>
            </w:pPr>
            <w:r>
              <w:rPr>
                <w:rFonts w:hint="eastAsia" w:ascii="宋体" w:hAnsi="宋体" w:eastAsia="宋体"/>
                <w:sz w:val="24"/>
                <w:highlight w:val="none"/>
              </w:rPr>
              <w:t>中央空调系统</w:t>
            </w:r>
          </w:p>
        </w:tc>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 w:val="24"/>
                <w:highlight w:val="none"/>
                <w:lang w:val="en-US" w:eastAsia="zh-CN"/>
              </w:rPr>
            </w:pPr>
            <w:r>
              <w:rPr>
                <w:rFonts w:hint="eastAsia" w:ascii="宋体" w:hAnsi="宋体" w:eastAsia="宋体"/>
                <w:sz w:val="24"/>
                <w:highlight w:val="none"/>
              </w:rPr>
              <w:t>1</w:t>
            </w:r>
            <w:r>
              <w:rPr>
                <w:rFonts w:hint="eastAsia" w:ascii="宋体" w:hAnsi="宋体" w:eastAsia="宋体"/>
                <w:sz w:val="24"/>
                <w:highlight w:val="none"/>
                <w:lang w:val="en-US" w:eastAsia="zh-CN"/>
              </w:rPr>
              <w:t>套</w:t>
            </w:r>
          </w:p>
        </w:tc>
        <w:tc>
          <w:tcPr>
            <w:tcW w:w="207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highlight w:val="none"/>
              </w:rPr>
            </w:pPr>
            <w:r>
              <w:rPr>
                <w:rFonts w:hint="eastAsia" w:ascii="宋体" w:hAnsi="宋体" w:eastAsia="宋体"/>
                <w:sz w:val="24"/>
                <w:highlight w:val="none"/>
              </w:rPr>
              <w:t>详见：采购项目技术规格、参数及要求</w:t>
            </w:r>
          </w:p>
        </w:tc>
        <w:tc>
          <w:tcPr>
            <w:tcW w:w="110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99.8</w:t>
            </w:r>
          </w:p>
        </w:tc>
      </w:tr>
    </w:tbl>
    <w:p>
      <w:pPr>
        <w:spacing w:line="360" w:lineRule="auto"/>
        <w:jc w:val="left"/>
        <w:rPr>
          <w:rFonts w:ascii="宋体" w:hAnsi="宋体" w:eastAsia="宋体"/>
          <w:bCs/>
          <w:sz w:val="24"/>
          <w:highlight w:val="none"/>
        </w:rPr>
      </w:pPr>
      <w:r>
        <w:rPr>
          <w:rFonts w:hint="eastAsia" w:ascii="宋体" w:hAnsi="宋体" w:eastAsia="宋体"/>
          <w:bCs/>
          <w:sz w:val="24"/>
          <w:highlight w:val="none"/>
        </w:rPr>
        <w:t>合同履行期限：合同签订后</w:t>
      </w:r>
      <w:r>
        <w:rPr>
          <w:rFonts w:hint="eastAsia" w:ascii="宋体" w:hAnsi="宋体" w:eastAsia="宋体"/>
          <w:bCs/>
          <w:sz w:val="24"/>
          <w:highlight w:val="none"/>
          <w:lang w:val="en-US" w:eastAsia="zh-CN"/>
        </w:rPr>
        <w:t>12</w:t>
      </w:r>
      <w:r>
        <w:rPr>
          <w:rFonts w:hint="eastAsia" w:ascii="宋体" w:hAnsi="宋体" w:eastAsia="宋体"/>
          <w:bCs/>
          <w:sz w:val="24"/>
          <w:highlight w:val="none"/>
        </w:rPr>
        <w:t>天内完成供货安装调试并验收完毕。</w:t>
      </w:r>
    </w:p>
    <w:p>
      <w:pPr>
        <w:spacing w:line="360" w:lineRule="auto"/>
        <w:jc w:val="left"/>
        <w:rPr>
          <w:rFonts w:ascii="宋体" w:hAnsi="宋体" w:eastAsia="宋体"/>
          <w:bCs/>
          <w:sz w:val="24"/>
          <w:highlight w:val="none"/>
        </w:rPr>
      </w:pPr>
      <w:r>
        <w:rPr>
          <w:rFonts w:hint="eastAsia" w:ascii="宋体" w:hAnsi="宋体" w:eastAsia="宋体"/>
          <w:bCs/>
          <w:sz w:val="24"/>
          <w:highlight w:val="none"/>
        </w:rPr>
        <w:t>本项目不允许分包。</w:t>
      </w:r>
    </w:p>
    <w:p>
      <w:pPr>
        <w:spacing w:line="360" w:lineRule="auto"/>
        <w:jc w:val="left"/>
        <w:rPr>
          <w:rFonts w:hint="eastAsia" w:ascii="宋体" w:hAnsi="宋体" w:eastAsia="宋体"/>
          <w:bCs/>
          <w:sz w:val="24"/>
          <w:highlight w:val="none"/>
        </w:rPr>
      </w:pPr>
      <w:r>
        <w:rPr>
          <w:rFonts w:hint="eastAsia" w:ascii="宋体" w:hAnsi="宋体" w:eastAsia="宋体"/>
          <w:bCs/>
          <w:sz w:val="24"/>
          <w:highlight w:val="none"/>
        </w:rPr>
        <w:t xml:space="preserve">商务要求允许负偏离的条款数为 </w:t>
      </w:r>
      <w:r>
        <w:rPr>
          <w:rFonts w:hint="eastAsia" w:ascii="宋体" w:hAnsi="宋体" w:eastAsia="宋体"/>
          <w:bCs/>
          <w:sz w:val="24"/>
          <w:highlight w:val="none"/>
          <w:u w:val="single"/>
        </w:rPr>
        <w:t>0</w:t>
      </w:r>
      <w:r>
        <w:rPr>
          <w:rFonts w:hint="eastAsia" w:ascii="宋体" w:hAnsi="宋体" w:eastAsia="宋体"/>
          <w:bCs/>
          <w:sz w:val="24"/>
          <w:highlight w:val="none"/>
        </w:rPr>
        <w:t xml:space="preserve"> 项。</w:t>
      </w:r>
    </w:p>
    <w:p>
      <w:pPr>
        <w:spacing w:line="360" w:lineRule="auto"/>
        <w:jc w:val="left"/>
        <w:rPr>
          <w:rFonts w:ascii="宋体" w:hAnsi="宋体" w:eastAsia="宋体"/>
          <w:b/>
          <w:sz w:val="24"/>
          <w:highlight w:val="none"/>
        </w:rPr>
      </w:pPr>
      <w:r>
        <w:rPr>
          <w:rFonts w:hint="eastAsia" w:ascii="宋体" w:hAnsi="宋体" w:eastAsia="宋体"/>
          <w:bCs/>
          <w:sz w:val="24"/>
          <w:highlight w:val="none"/>
        </w:rPr>
        <w:t>技术要求评审中</w:t>
      </w:r>
      <w:r>
        <w:rPr>
          <w:rFonts w:hint="eastAsia" w:ascii="宋体" w:hAnsi="宋体"/>
          <w:color w:val="000000"/>
          <w:szCs w:val="21"/>
          <w:highlight w:val="none"/>
        </w:rPr>
        <w:t>★</w:t>
      </w:r>
      <w:r>
        <w:rPr>
          <w:rFonts w:hint="eastAsia" w:ascii="宋体" w:hAnsi="宋体" w:eastAsia="宋体"/>
          <w:bCs/>
          <w:sz w:val="24"/>
          <w:highlight w:val="none"/>
        </w:rPr>
        <w:t>号的为实质性要求，不能有负偏离。</w:t>
      </w:r>
    </w:p>
    <w:p>
      <w:pPr>
        <w:spacing w:line="360" w:lineRule="auto"/>
        <w:jc w:val="left"/>
        <w:rPr>
          <w:rFonts w:ascii="宋体" w:hAnsi="宋体" w:eastAsia="宋体"/>
          <w:b/>
          <w:bCs w:val="0"/>
          <w:sz w:val="24"/>
          <w:highlight w:val="none"/>
        </w:rPr>
      </w:pPr>
      <w:r>
        <w:rPr>
          <w:rFonts w:hint="eastAsia" w:ascii="宋体" w:hAnsi="宋体" w:eastAsia="宋体"/>
          <w:b/>
          <w:bCs w:val="0"/>
          <w:sz w:val="24"/>
          <w:highlight w:val="none"/>
        </w:rPr>
        <w:t>供应商必须提供的文件（在响应附件中上传）：</w:t>
      </w:r>
    </w:p>
    <w:p>
      <w:pPr>
        <w:spacing w:line="360" w:lineRule="auto"/>
        <w:jc w:val="left"/>
        <w:rPr>
          <w:rFonts w:ascii="宋体" w:hAnsi="宋体" w:eastAsia="宋体"/>
          <w:bCs/>
          <w:sz w:val="24"/>
          <w:highlight w:val="none"/>
        </w:rPr>
      </w:pPr>
      <w:r>
        <w:rPr>
          <w:rFonts w:ascii="宋体" w:hAnsi="宋体" w:eastAsia="宋体"/>
          <w:bCs/>
          <w:sz w:val="24"/>
          <w:highlight w:val="none"/>
        </w:rPr>
        <w:t>1. 供应商为法人或者其他组织的提供其营业执照等证明文件（如营业执照或者事业单位法人证书或者执业许可证或者登记证书等），供应商为自然人的提供其身份证复印件；（必须提供，否则响应文件按无效响应处理）</w:t>
      </w:r>
      <w:r>
        <w:rPr>
          <w:rFonts w:hint="eastAsia" w:ascii="宋体" w:hAnsi="宋体" w:eastAsia="宋体"/>
          <w:bCs/>
          <w:sz w:val="24"/>
          <w:highlight w:val="none"/>
        </w:rPr>
        <w:t>；</w:t>
      </w:r>
    </w:p>
    <w:p>
      <w:pPr>
        <w:spacing w:line="360" w:lineRule="auto"/>
        <w:jc w:val="left"/>
        <w:rPr>
          <w:rFonts w:ascii="宋体" w:hAnsi="宋体" w:eastAsia="宋体"/>
          <w:bCs/>
          <w:sz w:val="24"/>
          <w:highlight w:val="none"/>
        </w:rPr>
      </w:pPr>
      <w:r>
        <w:rPr>
          <w:rFonts w:ascii="宋体" w:hAnsi="宋体" w:eastAsia="宋体"/>
          <w:bCs/>
          <w:sz w:val="24"/>
          <w:highlight w:val="none"/>
        </w:rPr>
        <w:t>2.法定代表人身份证明书及法定代表人有效身份证正反面复印件（格式后附）；（必须提供，否则响应文件按无效处理）</w:t>
      </w:r>
      <w:r>
        <w:rPr>
          <w:rFonts w:hint="eastAsia" w:ascii="宋体" w:hAnsi="宋体" w:eastAsia="宋体"/>
          <w:bCs/>
          <w:sz w:val="24"/>
          <w:highlight w:val="none"/>
        </w:rPr>
        <w:t>;</w:t>
      </w:r>
    </w:p>
    <w:p>
      <w:pPr>
        <w:spacing w:line="360" w:lineRule="auto"/>
        <w:jc w:val="left"/>
        <w:rPr>
          <w:rFonts w:ascii="宋体" w:hAnsi="宋体" w:eastAsia="宋体"/>
          <w:bCs/>
          <w:sz w:val="24"/>
          <w:highlight w:val="none"/>
        </w:rPr>
      </w:pPr>
      <w:r>
        <w:rPr>
          <w:rFonts w:ascii="宋体" w:hAnsi="宋体" w:eastAsia="宋体"/>
          <w:bCs/>
          <w:sz w:val="24"/>
          <w:highlight w:val="none"/>
        </w:rPr>
        <w:t>3.授权委托书及委托代理人有效身份证正反面复印件（格式后附）；（委托时必须提供，否则响应文件按无效处理）</w:t>
      </w:r>
      <w:r>
        <w:rPr>
          <w:rFonts w:hint="eastAsia" w:ascii="宋体" w:hAnsi="宋体" w:eastAsia="宋体"/>
          <w:bCs/>
          <w:sz w:val="24"/>
          <w:highlight w:val="none"/>
        </w:rPr>
        <w:t>;</w:t>
      </w:r>
    </w:p>
    <w:p>
      <w:pPr>
        <w:spacing w:line="360" w:lineRule="auto"/>
        <w:jc w:val="left"/>
        <w:rPr>
          <w:rFonts w:ascii="宋体" w:hAnsi="宋体" w:eastAsia="宋体"/>
          <w:bCs/>
          <w:sz w:val="24"/>
          <w:highlight w:val="none"/>
        </w:rPr>
      </w:pPr>
      <w:r>
        <w:rPr>
          <w:rFonts w:ascii="宋体" w:hAnsi="宋体" w:eastAsia="宋体"/>
          <w:bCs/>
          <w:sz w:val="24"/>
          <w:highlight w:val="none"/>
        </w:rPr>
        <w:t>4.</w:t>
      </w:r>
      <w:r>
        <w:rPr>
          <w:rFonts w:hint="eastAsia" w:ascii="宋体" w:hAnsi="宋体" w:eastAsia="宋体"/>
          <w:bCs/>
          <w:sz w:val="24"/>
          <w:highlight w:val="none"/>
        </w:rPr>
        <w:t>商务要求偏离表（格式后附）；（必须提供，否则响应文件按无效处理）;</w:t>
      </w:r>
    </w:p>
    <w:p>
      <w:pPr>
        <w:spacing w:line="360" w:lineRule="auto"/>
        <w:jc w:val="left"/>
        <w:rPr>
          <w:rFonts w:ascii="宋体" w:hAnsi="宋体" w:eastAsia="宋体"/>
          <w:bCs/>
          <w:sz w:val="24"/>
          <w:highlight w:val="none"/>
        </w:rPr>
      </w:pPr>
      <w:r>
        <w:rPr>
          <w:rFonts w:hint="eastAsia" w:ascii="宋体" w:hAnsi="宋体" w:eastAsia="宋体"/>
          <w:bCs/>
          <w:sz w:val="24"/>
          <w:highlight w:val="none"/>
        </w:rPr>
        <w:t>5</w:t>
      </w:r>
      <w:r>
        <w:rPr>
          <w:rFonts w:ascii="宋体" w:hAnsi="宋体" w:eastAsia="宋体"/>
          <w:bCs/>
          <w:sz w:val="24"/>
          <w:highlight w:val="none"/>
        </w:rPr>
        <w:t>.</w:t>
      </w:r>
      <w:r>
        <w:rPr>
          <w:rFonts w:hint="eastAsia" w:ascii="宋体" w:hAnsi="宋体" w:eastAsia="宋体"/>
          <w:bCs/>
          <w:sz w:val="24"/>
          <w:highlight w:val="none"/>
        </w:rPr>
        <w:t>货物配置清单（格式后附）；（必须提供，否则响应文件按无效处理）；</w:t>
      </w:r>
    </w:p>
    <w:p>
      <w:pPr>
        <w:spacing w:line="360" w:lineRule="auto"/>
        <w:jc w:val="left"/>
        <w:rPr>
          <w:rFonts w:ascii="宋体" w:hAnsi="宋体" w:eastAsia="宋体"/>
          <w:bCs/>
          <w:sz w:val="24"/>
          <w:highlight w:val="none"/>
        </w:rPr>
      </w:pPr>
      <w:r>
        <w:rPr>
          <w:rFonts w:ascii="宋体" w:hAnsi="宋体" w:eastAsia="宋体"/>
          <w:bCs/>
          <w:sz w:val="24"/>
          <w:highlight w:val="none"/>
        </w:rPr>
        <w:t>6.</w:t>
      </w:r>
      <w:r>
        <w:rPr>
          <w:rFonts w:hint="eastAsia" w:ascii="宋体" w:hAnsi="宋体" w:eastAsia="宋体"/>
          <w:bCs/>
          <w:sz w:val="24"/>
          <w:highlight w:val="none"/>
        </w:rPr>
        <w:t>技术要求偏离表（格式后附）；（必须提供，否则响应文件按无效处理）;</w:t>
      </w:r>
    </w:p>
    <w:p>
      <w:pPr>
        <w:spacing w:line="360" w:lineRule="auto"/>
        <w:jc w:val="left"/>
        <w:rPr>
          <w:rFonts w:ascii="宋体" w:hAnsi="宋体" w:eastAsia="宋体"/>
          <w:bCs/>
          <w:sz w:val="24"/>
          <w:highlight w:val="none"/>
        </w:rPr>
      </w:pPr>
      <w:r>
        <w:rPr>
          <w:rFonts w:ascii="宋体" w:hAnsi="宋体" w:eastAsia="宋体"/>
          <w:bCs/>
          <w:sz w:val="24"/>
          <w:highlight w:val="none"/>
        </w:rPr>
        <w:t>7.对应采购需求的技术要求、商务要求提供的其他文件资料（格式自拟）；</w:t>
      </w:r>
    </w:p>
    <w:p>
      <w:pPr>
        <w:spacing w:line="360" w:lineRule="auto"/>
        <w:jc w:val="left"/>
        <w:rPr>
          <w:rFonts w:hint="eastAsia" w:ascii="宋体" w:hAnsi="宋体" w:eastAsia="宋体"/>
          <w:bCs/>
          <w:sz w:val="24"/>
          <w:highlight w:val="none"/>
        </w:rPr>
      </w:pPr>
      <w:r>
        <w:rPr>
          <w:rFonts w:ascii="宋体" w:hAnsi="宋体" w:eastAsia="宋体"/>
          <w:bCs/>
          <w:sz w:val="24"/>
          <w:highlight w:val="none"/>
        </w:rPr>
        <w:t>8.供应商认为需要提供的其他有关资料</w:t>
      </w:r>
      <w:r>
        <w:rPr>
          <w:rFonts w:hint="eastAsia" w:ascii="宋体" w:hAnsi="宋体" w:eastAsia="宋体"/>
          <w:bCs/>
          <w:sz w:val="24"/>
          <w:highlight w:val="none"/>
        </w:rPr>
        <w:t>;</w:t>
      </w:r>
    </w:p>
    <w:p>
      <w:pPr>
        <w:spacing w:line="360" w:lineRule="auto"/>
        <w:jc w:val="left"/>
        <w:rPr>
          <w:rFonts w:ascii="宋体" w:hAnsi="宋体" w:eastAsia="宋体"/>
          <w:bCs/>
          <w:sz w:val="24"/>
          <w:highlight w:val="none"/>
        </w:rPr>
      </w:pPr>
      <w:r>
        <w:rPr>
          <w:rFonts w:hint="eastAsia" w:ascii="宋体" w:hAnsi="宋体" w:eastAsia="宋体"/>
          <w:bCs/>
          <w:sz w:val="24"/>
          <w:highlight w:val="none"/>
          <w:lang w:val="en-US" w:eastAsia="zh-CN"/>
        </w:rPr>
        <w:t>9.</w:t>
      </w:r>
      <w:r>
        <w:rPr>
          <w:rFonts w:hint="eastAsia" w:ascii="宋体" w:hAnsi="宋体" w:eastAsia="宋体"/>
          <w:bCs/>
          <w:sz w:val="24"/>
          <w:highlight w:val="none"/>
        </w:rPr>
        <w:t>处理问题响应时间</w:t>
      </w:r>
      <w:r>
        <w:rPr>
          <w:rFonts w:hint="eastAsia" w:ascii="宋体" w:hAnsi="宋体" w:eastAsia="宋体"/>
          <w:bCs/>
          <w:sz w:val="24"/>
          <w:highlight w:val="none"/>
          <w:lang w:eastAsia="zh-CN"/>
        </w:rPr>
        <w:t>：</w:t>
      </w:r>
      <w:r>
        <w:rPr>
          <w:rFonts w:hint="eastAsia" w:ascii="宋体" w:hAnsi="宋体" w:eastAsia="宋体"/>
          <w:bCs/>
          <w:sz w:val="24"/>
          <w:highlight w:val="none"/>
        </w:rPr>
        <w:t>接到采购人处理问题通知后1小时内到达采购人指定现场</w:t>
      </w:r>
      <w:r>
        <w:rPr>
          <w:rFonts w:hint="eastAsia" w:ascii="宋体" w:hAnsi="宋体" w:eastAsia="宋体"/>
          <w:bCs/>
          <w:sz w:val="24"/>
          <w:highlight w:val="none"/>
          <w:lang w:eastAsia="zh-CN"/>
        </w:rPr>
        <w:t>（</w:t>
      </w:r>
      <w:r>
        <w:rPr>
          <w:rFonts w:hint="eastAsia" w:ascii="宋体" w:hAnsi="宋体" w:eastAsia="宋体"/>
          <w:bCs/>
          <w:sz w:val="24"/>
          <w:highlight w:val="none"/>
          <w:lang w:val="en-US" w:eastAsia="zh-CN"/>
        </w:rPr>
        <w:t>提供响应证明材</w:t>
      </w:r>
      <w:r>
        <w:rPr>
          <w:rFonts w:hint="eastAsia" w:ascii="宋体" w:hAnsi="宋体" w:eastAsia="宋体"/>
          <w:bCs/>
          <w:strike w:val="0"/>
          <w:dstrike w:val="0"/>
          <w:sz w:val="24"/>
          <w:highlight w:val="none"/>
          <w:lang w:val="en-US" w:eastAsia="zh-CN"/>
        </w:rPr>
        <w:t>料</w:t>
      </w:r>
      <w:r>
        <w:rPr>
          <w:rFonts w:hint="eastAsia" w:ascii="宋体" w:hAnsi="宋体" w:eastAsia="宋体"/>
          <w:bCs/>
          <w:strike w:val="0"/>
          <w:dstrike w:val="0"/>
          <w:sz w:val="24"/>
          <w:highlight w:val="none"/>
          <w:lang w:eastAsia="zh-CN"/>
        </w:rPr>
        <w:t>）。</w:t>
      </w:r>
    </w:p>
    <w:p>
      <w:pPr>
        <w:jc w:val="left"/>
        <w:rPr>
          <w:sz w:val="32"/>
          <w:szCs w:val="32"/>
          <w:highlight w:val="none"/>
        </w:rPr>
      </w:pPr>
      <w:r>
        <w:rPr>
          <w:rFonts w:hint="eastAsia"/>
          <w:sz w:val="32"/>
          <w:szCs w:val="32"/>
          <w:highlight w:val="none"/>
        </w:rPr>
        <w:t>采购项目技术规格、参数及要求：</w:t>
      </w:r>
    </w:p>
    <w:tbl>
      <w:tblPr>
        <w:tblStyle w:val="9"/>
        <w:tblW w:w="81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873"/>
        <w:gridCol w:w="505"/>
        <w:gridCol w:w="436"/>
        <w:gridCol w:w="941"/>
        <w:gridCol w:w="4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465" w:type="dxa"/>
            <w:vAlign w:val="center"/>
          </w:tcPr>
          <w:p>
            <w:pPr>
              <w:jc w:val="center"/>
              <w:rPr>
                <w:rFonts w:ascii="宋体" w:hAnsi="宋体"/>
                <w:color w:val="000000"/>
                <w:szCs w:val="21"/>
                <w:highlight w:val="none"/>
              </w:rPr>
            </w:pPr>
            <w:r>
              <w:rPr>
                <w:rFonts w:hint="eastAsia" w:ascii="宋体" w:hAnsi="宋体"/>
                <w:color w:val="000000"/>
                <w:szCs w:val="21"/>
                <w:highlight w:val="none"/>
              </w:rPr>
              <w:t>序号</w:t>
            </w:r>
          </w:p>
        </w:tc>
        <w:tc>
          <w:tcPr>
            <w:tcW w:w="873" w:type="dxa"/>
            <w:vAlign w:val="center"/>
          </w:tcPr>
          <w:p>
            <w:pPr>
              <w:jc w:val="center"/>
              <w:rPr>
                <w:rFonts w:ascii="宋体" w:hAnsi="宋体"/>
                <w:color w:val="000000"/>
                <w:szCs w:val="21"/>
                <w:highlight w:val="none"/>
              </w:rPr>
            </w:pPr>
            <w:r>
              <w:rPr>
                <w:rFonts w:hint="eastAsia" w:ascii="宋体" w:hAnsi="宋体"/>
                <w:color w:val="000000"/>
                <w:szCs w:val="21"/>
                <w:highlight w:val="none"/>
              </w:rPr>
              <w:t>★品牌</w:t>
            </w:r>
            <w:r>
              <w:rPr>
                <w:rFonts w:ascii="宋体" w:hAnsi="宋体"/>
                <w:color w:val="000000"/>
                <w:szCs w:val="21"/>
                <w:highlight w:val="none"/>
              </w:rPr>
              <w:t>型号</w:t>
            </w:r>
          </w:p>
        </w:tc>
        <w:tc>
          <w:tcPr>
            <w:tcW w:w="505" w:type="dxa"/>
            <w:vAlign w:val="center"/>
          </w:tcPr>
          <w:p>
            <w:pPr>
              <w:jc w:val="center"/>
              <w:rPr>
                <w:rFonts w:ascii="宋体" w:hAnsi="宋体"/>
                <w:color w:val="000000"/>
                <w:szCs w:val="21"/>
                <w:highlight w:val="none"/>
              </w:rPr>
            </w:pPr>
            <w:r>
              <w:rPr>
                <w:rFonts w:hint="eastAsia" w:ascii="宋体" w:hAnsi="宋体"/>
                <w:color w:val="000000"/>
                <w:szCs w:val="21"/>
                <w:highlight w:val="none"/>
              </w:rPr>
              <w:t>数量</w:t>
            </w:r>
          </w:p>
        </w:tc>
        <w:tc>
          <w:tcPr>
            <w:tcW w:w="436" w:type="dxa"/>
            <w:vAlign w:val="center"/>
          </w:tcPr>
          <w:p>
            <w:pPr>
              <w:jc w:val="center"/>
              <w:rPr>
                <w:rFonts w:ascii="宋体" w:hAnsi="宋体"/>
                <w:color w:val="000000"/>
                <w:szCs w:val="21"/>
                <w:highlight w:val="none"/>
              </w:rPr>
            </w:pPr>
            <w:r>
              <w:rPr>
                <w:rFonts w:hint="eastAsia" w:ascii="宋体" w:hAnsi="宋体"/>
                <w:color w:val="000000"/>
                <w:szCs w:val="21"/>
                <w:highlight w:val="none"/>
              </w:rPr>
              <w:t>单位</w:t>
            </w:r>
          </w:p>
        </w:tc>
        <w:tc>
          <w:tcPr>
            <w:tcW w:w="941" w:type="dxa"/>
            <w:vAlign w:val="center"/>
          </w:tcPr>
          <w:p>
            <w:pPr>
              <w:jc w:val="center"/>
              <w:rPr>
                <w:rFonts w:ascii="宋体" w:hAnsi="宋体"/>
                <w:szCs w:val="21"/>
                <w:highlight w:val="none"/>
              </w:rPr>
            </w:pPr>
            <w:r>
              <w:rPr>
                <w:rFonts w:hint="eastAsia" w:ascii="宋体" w:hAnsi="宋体"/>
                <w:szCs w:val="21"/>
                <w:highlight w:val="none"/>
                <w:lang w:val="en-US" w:eastAsia="zh-CN"/>
              </w:rPr>
              <w:t>预算</w:t>
            </w:r>
            <w:r>
              <w:rPr>
                <w:rFonts w:ascii="宋体" w:hAnsi="宋体"/>
                <w:szCs w:val="21"/>
                <w:highlight w:val="none"/>
              </w:rPr>
              <w:t>（元）</w:t>
            </w:r>
          </w:p>
        </w:tc>
        <w:tc>
          <w:tcPr>
            <w:tcW w:w="4975" w:type="dxa"/>
            <w:vAlign w:val="center"/>
          </w:tcPr>
          <w:p>
            <w:pPr>
              <w:jc w:val="center"/>
              <w:rPr>
                <w:rFonts w:ascii="宋体" w:hAnsi="宋体"/>
                <w:szCs w:val="21"/>
                <w:highlight w:val="none"/>
              </w:rPr>
            </w:pPr>
            <w:r>
              <w:rPr>
                <w:rFonts w:hint="eastAsia" w:ascii="宋体" w:hAnsi="宋体"/>
                <w:szCs w:val="21"/>
                <w:highlight w:val="none"/>
              </w:rPr>
              <w:t>技术参数及性能配置要求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1" w:hRule="atLeast"/>
          <w:jc w:val="center"/>
        </w:trPr>
        <w:tc>
          <w:tcPr>
            <w:tcW w:w="465" w:type="dxa"/>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87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中央空调系统</w:t>
            </w:r>
          </w:p>
        </w:tc>
        <w:tc>
          <w:tcPr>
            <w:tcW w:w="50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w:t>
            </w:r>
          </w:p>
        </w:tc>
        <w:tc>
          <w:tcPr>
            <w:tcW w:w="436"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套</w:t>
            </w:r>
          </w:p>
        </w:tc>
        <w:tc>
          <w:tcPr>
            <w:tcW w:w="94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998000</w:t>
            </w:r>
          </w:p>
        </w:tc>
        <w:tc>
          <w:tcPr>
            <w:tcW w:w="4975"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40" w:lineRule="auto"/>
              <w:jc w:val="left"/>
              <w:textAlignment w:val="center"/>
              <w:rPr>
                <w:rFonts w:hint="eastAsia"/>
                <w:b/>
                <w:bCs/>
                <w:highlight w:val="none"/>
                <w:lang w:val="en-US" w:eastAsia="zh-CN"/>
              </w:rPr>
            </w:pPr>
            <w:r>
              <w:rPr>
                <w:rFonts w:hint="eastAsia"/>
                <w:b/>
                <w:bCs/>
                <w:highlight w:val="none"/>
                <w:lang w:val="en-US" w:eastAsia="zh-CN"/>
              </w:rPr>
              <w:t>主机：5台</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default"/>
                <w:highlight w:val="none"/>
                <w:lang w:val="en-US" w:eastAsia="zh-CN"/>
              </w:rPr>
            </w:pPr>
            <w:r>
              <w:rPr>
                <w:rFonts w:hint="eastAsia"/>
                <w:highlight w:val="none"/>
                <w:lang w:eastAsia="zh-CN"/>
              </w:rPr>
              <w:t>★1.</w:t>
            </w:r>
            <w:r>
              <w:rPr>
                <w:rFonts w:hint="eastAsia"/>
                <w:highlight w:val="none"/>
                <w:lang w:val="en-US" w:eastAsia="zh-CN"/>
              </w:rPr>
              <w:t>品牌：美的</w:t>
            </w:r>
            <w:r>
              <w:rPr>
                <w:rFonts w:hint="default"/>
                <w:highlight w:val="none"/>
                <w:lang w:val="en-US" w:eastAsia="zh-CN"/>
              </w:rPr>
              <w:t>LSQWRF130M/AN1-W</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.制冷量：≥130KW，制热量：≥14</w:t>
            </w:r>
            <w:r>
              <w:rPr>
                <w:rFonts w:hint="eastAsia"/>
                <w:highlight w:val="none"/>
                <w:lang w:val="en-US" w:eastAsia="zh-CN"/>
              </w:rPr>
              <w:t>1</w:t>
            </w:r>
            <w:r>
              <w:rPr>
                <w:rFonts w:hint="eastAsia"/>
                <w:highlight w:val="none"/>
                <w:lang w:eastAsia="zh-CN"/>
              </w:rPr>
              <w:t>KW。</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.制冷功率：≤</w:t>
            </w:r>
            <w:r>
              <w:rPr>
                <w:rFonts w:hint="eastAsia"/>
                <w:highlight w:val="none"/>
                <w:lang w:val="en-US" w:eastAsia="zh-CN"/>
              </w:rPr>
              <w:t>39.3</w:t>
            </w:r>
            <w:r>
              <w:rPr>
                <w:rFonts w:hint="eastAsia"/>
                <w:highlight w:val="none"/>
                <w:lang w:eastAsia="zh-CN"/>
              </w:rPr>
              <w:t>KW，制热功率：≤</w:t>
            </w:r>
            <w:r>
              <w:rPr>
                <w:rFonts w:hint="eastAsia"/>
                <w:highlight w:val="none"/>
                <w:lang w:val="en-US" w:eastAsia="zh-CN"/>
              </w:rPr>
              <w:t>40.9</w:t>
            </w:r>
            <w:r>
              <w:rPr>
                <w:rFonts w:hint="eastAsia"/>
                <w:highlight w:val="none"/>
                <w:lang w:eastAsia="zh-CN"/>
              </w:rPr>
              <w:t>KW。</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eastAsia="zh-CN"/>
              </w:rPr>
              <w:t>★</w:t>
            </w:r>
            <w:r>
              <w:rPr>
                <w:rFonts w:hint="eastAsia"/>
                <w:highlight w:val="none"/>
                <w:lang w:val="en-US" w:eastAsia="zh-CN"/>
              </w:rPr>
              <w:t>4</w:t>
            </w:r>
            <w:r>
              <w:rPr>
                <w:rFonts w:hint="eastAsia"/>
                <w:highlight w:val="none"/>
                <w:lang w:eastAsia="zh-CN"/>
              </w:rPr>
              <w:t>.制冷COP值：≥3.</w:t>
            </w:r>
            <w:r>
              <w:rPr>
                <w:rFonts w:hint="eastAsia"/>
                <w:highlight w:val="none"/>
                <w:lang w:val="en-US" w:eastAsia="zh-CN"/>
              </w:rPr>
              <w:t>31</w:t>
            </w:r>
            <w:r>
              <w:rPr>
                <w:rFonts w:hint="eastAsia"/>
                <w:highlight w:val="none"/>
                <w:lang w:eastAsia="zh-CN"/>
              </w:rPr>
              <w:t>（以中国能效标识网上打印的真实数据为准，并在投标文件中提供节能产品认证实验报告复印件加盖单位公章）。（制冷COP值=制冷量KW/制冷额定输入功率KW。）</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eastAsia="zh-CN"/>
              </w:rPr>
              <w:t>★</w:t>
            </w:r>
            <w:r>
              <w:rPr>
                <w:rFonts w:hint="eastAsia"/>
                <w:highlight w:val="none"/>
                <w:lang w:val="en-US" w:eastAsia="zh-CN"/>
              </w:rPr>
              <w:t>5</w:t>
            </w:r>
            <w:r>
              <w:rPr>
                <w:rFonts w:hint="eastAsia"/>
                <w:highlight w:val="none"/>
                <w:lang w:eastAsia="zh-CN"/>
              </w:rPr>
              <w:t>.综合部分负荷性能系数（IPLV）3.</w:t>
            </w:r>
            <w:r>
              <w:rPr>
                <w:rFonts w:hint="eastAsia"/>
                <w:highlight w:val="none"/>
                <w:lang w:val="en-US" w:eastAsia="zh-CN"/>
              </w:rPr>
              <w:t>90</w:t>
            </w:r>
            <w:r>
              <w:rPr>
                <w:rFonts w:hint="eastAsia"/>
                <w:highlight w:val="none"/>
                <w:lang w:eastAsia="zh-CN"/>
              </w:rPr>
              <w:t>（以中国能效标识网上打印的真实数据为准，并在投标文件中提供节能产品认证实验报告复印件加盖单位公章）。</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eastAsia="zh-CN"/>
              </w:rPr>
              <w:t>★</w:t>
            </w:r>
            <w:r>
              <w:rPr>
                <w:rFonts w:hint="eastAsia"/>
                <w:highlight w:val="none"/>
                <w:lang w:val="en-US" w:eastAsia="zh-CN"/>
              </w:rPr>
              <w:t>6</w:t>
            </w:r>
            <w:r>
              <w:rPr>
                <w:rFonts w:hint="eastAsia"/>
                <w:highlight w:val="none"/>
                <w:lang w:eastAsia="zh-CN"/>
              </w:rPr>
              <w:t>.制热COP值：≥3.</w:t>
            </w:r>
            <w:r>
              <w:rPr>
                <w:rFonts w:hint="eastAsia"/>
                <w:highlight w:val="none"/>
                <w:lang w:val="en-US" w:eastAsia="zh-CN"/>
              </w:rPr>
              <w:t>44</w:t>
            </w:r>
            <w:r>
              <w:rPr>
                <w:rFonts w:hint="eastAsia"/>
                <w:highlight w:val="none"/>
                <w:lang w:eastAsia="zh-CN"/>
              </w:rPr>
              <w:t>（制热COP值=制热量KW/制热额定输入功率KW）。</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eastAsia="zh-CN"/>
              </w:rPr>
              <w:t>★</w:t>
            </w:r>
            <w:r>
              <w:rPr>
                <w:rFonts w:hint="eastAsia"/>
                <w:highlight w:val="none"/>
                <w:lang w:val="en-US" w:eastAsia="zh-CN"/>
              </w:rPr>
              <w:t>7.</w:t>
            </w:r>
            <w:r>
              <w:rPr>
                <w:rFonts w:hint="eastAsia"/>
                <w:highlight w:val="none"/>
                <w:lang w:eastAsia="zh-CN"/>
              </w:rPr>
              <w:t>机组具有宽广的运行范围，能够在1</w:t>
            </w:r>
            <w:r>
              <w:rPr>
                <w:rFonts w:hint="eastAsia"/>
                <w:highlight w:val="none"/>
                <w:lang w:val="en-US" w:eastAsia="zh-CN"/>
              </w:rPr>
              <w:t>5</w:t>
            </w:r>
            <w:r>
              <w:rPr>
                <w:rFonts w:hint="eastAsia"/>
                <w:highlight w:val="none"/>
                <w:lang w:eastAsia="zh-CN"/>
              </w:rPr>
              <w:t>～47℃的温度范围内能够正常制冷；能够在-14～2</w:t>
            </w:r>
            <w:r>
              <w:rPr>
                <w:rFonts w:hint="eastAsia"/>
                <w:highlight w:val="none"/>
                <w:lang w:val="en-US" w:eastAsia="zh-CN"/>
              </w:rPr>
              <w:t>4</w:t>
            </w:r>
            <w:r>
              <w:rPr>
                <w:rFonts w:hint="eastAsia"/>
                <w:highlight w:val="none"/>
                <w:lang w:eastAsia="zh-CN"/>
              </w:rPr>
              <w:t>℃的温度范围内能够正常制热。</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eastAsia="zh-CN"/>
              </w:rPr>
              <w:t>★</w:t>
            </w:r>
            <w:r>
              <w:rPr>
                <w:rFonts w:hint="eastAsia"/>
                <w:highlight w:val="none"/>
                <w:lang w:val="en-US" w:eastAsia="zh-CN"/>
              </w:rPr>
              <w:t>8</w:t>
            </w:r>
            <w:r>
              <w:rPr>
                <w:rFonts w:hint="eastAsia"/>
                <w:highlight w:val="none"/>
                <w:lang w:eastAsia="zh-CN"/>
              </w:rPr>
              <w:t>.受现场环境限制，设备占地面积（宽mm*深mm）：≤22</w:t>
            </w:r>
            <w:r>
              <w:rPr>
                <w:rFonts w:hint="eastAsia"/>
                <w:highlight w:val="none"/>
                <w:lang w:val="en-US" w:eastAsia="zh-CN"/>
              </w:rPr>
              <w:t>5</w:t>
            </w:r>
            <w:r>
              <w:rPr>
                <w:rFonts w:hint="eastAsia"/>
                <w:highlight w:val="none"/>
                <w:lang w:eastAsia="zh-CN"/>
              </w:rPr>
              <w:t>0*1</w:t>
            </w:r>
            <w:r>
              <w:rPr>
                <w:rFonts w:hint="eastAsia"/>
                <w:highlight w:val="none"/>
                <w:lang w:val="en-US" w:eastAsia="zh-CN"/>
              </w:rPr>
              <w:t>15</w:t>
            </w:r>
            <w:r>
              <w:rPr>
                <w:rFonts w:hint="eastAsia"/>
                <w:highlight w:val="none"/>
                <w:lang w:eastAsia="zh-CN"/>
              </w:rPr>
              <w:t>0。</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default"/>
                <w:highlight w:val="none"/>
                <w:lang w:val="en-US" w:eastAsia="zh-CN"/>
              </w:rPr>
            </w:pPr>
            <w:r>
              <w:rPr>
                <w:rFonts w:hint="eastAsia"/>
                <w:highlight w:val="none"/>
                <w:lang w:eastAsia="zh-CN"/>
              </w:rPr>
              <w:t>★</w:t>
            </w:r>
            <w:r>
              <w:rPr>
                <w:rFonts w:hint="eastAsia"/>
                <w:highlight w:val="none"/>
                <w:lang w:val="en-US" w:eastAsia="zh-CN"/>
              </w:rPr>
              <w:t>9</w:t>
            </w:r>
            <w:r>
              <w:rPr>
                <w:rFonts w:hint="eastAsia"/>
                <w:highlight w:val="none"/>
                <w:lang w:eastAsia="zh-CN"/>
              </w:rPr>
              <w:t>.受现场环境限制，设备运行重量(KG): ≤</w:t>
            </w:r>
            <w:r>
              <w:rPr>
                <w:rFonts w:hint="eastAsia"/>
                <w:highlight w:val="none"/>
                <w:lang w:val="en-US" w:eastAsia="zh-CN"/>
              </w:rPr>
              <w:t>900KG。</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default"/>
                <w:highlight w:val="none"/>
                <w:lang w:val="en-US" w:eastAsia="zh-CN"/>
              </w:rPr>
            </w:pPr>
            <w:r>
              <w:rPr>
                <w:rFonts w:hint="eastAsia"/>
                <w:highlight w:val="none"/>
                <w:lang w:eastAsia="zh-CN"/>
              </w:rPr>
              <w:t>★</w:t>
            </w:r>
            <w:r>
              <w:rPr>
                <w:rFonts w:hint="eastAsia"/>
                <w:highlight w:val="none"/>
                <w:lang w:val="en-US" w:eastAsia="zh-CN"/>
              </w:rPr>
              <w:t>10</w:t>
            </w:r>
            <w:r>
              <w:rPr>
                <w:rFonts w:hint="eastAsia"/>
                <w:highlight w:val="none"/>
                <w:lang w:eastAsia="zh-CN"/>
              </w:rPr>
              <w:t>.机组运行噪音: ≤</w:t>
            </w:r>
            <w:r>
              <w:rPr>
                <w:rFonts w:hint="eastAsia"/>
                <w:highlight w:val="none"/>
                <w:lang w:val="en-US" w:eastAsia="zh-CN"/>
              </w:rPr>
              <w:t>69dB(A)。</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eastAsia="zh-CN"/>
              </w:rPr>
              <w:t>★</w:t>
            </w:r>
            <w:r>
              <w:rPr>
                <w:rFonts w:hint="eastAsia"/>
                <w:highlight w:val="none"/>
                <w:lang w:val="en-US" w:eastAsia="zh-CN"/>
              </w:rPr>
              <w:t>11</w:t>
            </w:r>
            <w:r>
              <w:rPr>
                <w:rFonts w:hint="eastAsia"/>
                <w:highlight w:val="none"/>
                <w:lang w:eastAsia="zh-CN"/>
              </w:rPr>
              <w:t>.机组须采用环保冷媒R410A。</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val="en-US" w:eastAsia="zh-CN"/>
              </w:rPr>
            </w:pPr>
            <w:r>
              <w:rPr>
                <w:rFonts w:hint="eastAsia"/>
                <w:highlight w:val="none"/>
                <w:lang w:val="en-US" w:eastAsia="zh-CN"/>
              </w:rPr>
              <w:t>12</w:t>
            </w:r>
            <w:r>
              <w:rPr>
                <w:rFonts w:hint="eastAsia"/>
                <w:highlight w:val="none"/>
                <w:lang w:eastAsia="zh-CN"/>
              </w:rPr>
              <w:t>.机组节流装置采用电子膨胀阀。</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eastAsia="zh-CN"/>
              </w:rPr>
              <w:t>★1</w:t>
            </w:r>
            <w:r>
              <w:rPr>
                <w:rFonts w:hint="eastAsia"/>
                <w:highlight w:val="none"/>
                <w:lang w:val="en-US" w:eastAsia="zh-CN"/>
              </w:rPr>
              <w:t>3</w:t>
            </w:r>
            <w:r>
              <w:rPr>
                <w:rFonts w:hint="eastAsia"/>
                <w:highlight w:val="none"/>
                <w:lang w:eastAsia="zh-CN"/>
              </w:rPr>
              <w:t>.压缩机采用全封闭涡旋式压缩机，单台机组压缩机数量：≤2个。</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eastAsia="zh-CN"/>
              </w:rPr>
              <w:t>1</w:t>
            </w:r>
            <w:r>
              <w:rPr>
                <w:rFonts w:hint="eastAsia"/>
                <w:highlight w:val="none"/>
                <w:lang w:val="en-US" w:eastAsia="zh-CN"/>
              </w:rPr>
              <w:t>4</w:t>
            </w:r>
            <w:r>
              <w:rPr>
                <w:rFonts w:hint="eastAsia"/>
                <w:highlight w:val="none"/>
                <w:lang w:eastAsia="zh-CN"/>
              </w:rPr>
              <w:t>.风机选用高效率低噪音风机风叶，配合高效率电机，提高换热效率。</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eastAsia="zh-CN"/>
              </w:rPr>
              <w:t>★1</w:t>
            </w:r>
            <w:r>
              <w:rPr>
                <w:rFonts w:hint="eastAsia"/>
                <w:highlight w:val="none"/>
                <w:lang w:val="en-US" w:eastAsia="zh-CN"/>
              </w:rPr>
              <w:t>5.机组</w:t>
            </w:r>
            <w:r>
              <w:rPr>
                <w:rFonts w:hint="eastAsia"/>
                <w:highlight w:val="none"/>
                <w:lang w:eastAsia="zh-CN"/>
              </w:rPr>
              <w:t>蒸发器采用高效壳管式换热器。</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val="en-US" w:eastAsia="zh-CN"/>
              </w:rPr>
              <w:t>16</w:t>
            </w:r>
            <w:r>
              <w:rPr>
                <w:rFonts w:hint="eastAsia"/>
                <w:highlight w:val="none"/>
                <w:lang w:eastAsia="zh-CN"/>
              </w:rPr>
              <w:t>.微电脑控制系统：机组采用微电脑控制系统，液晶显示控制器。</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val="en-US" w:eastAsia="zh-CN"/>
              </w:rPr>
              <w:t>17.</w:t>
            </w:r>
            <w:r>
              <w:rPr>
                <w:rFonts w:hint="eastAsia"/>
                <w:highlight w:val="none"/>
                <w:lang w:eastAsia="zh-CN"/>
              </w:rPr>
              <w:t>机组采用模块化设计，不同容量规格的单元模块可自由组合，最大可实现</w:t>
            </w:r>
            <w:r>
              <w:rPr>
                <w:rFonts w:hint="eastAsia"/>
                <w:highlight w:val="none"/>
                <w:lang w:val="en-US" w:eastAsia="zh-CN"/>
              </w:rPr>
              <w:t>16台并联使用</w:t>
            </w:r>
            <w:r>
              <w:rPr>
                <w:rFonts w:hint="eastAsia"/>
                <w:highlight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default"/>
                <w:highlight w:val="none"/>
                <w:lang w:val="en-US" w:eastAsia="zh-CN"/>
              </w:rPr>
            </w:pPr>
            <w:r>
              <w:rPr>
                <w:rFonts w:hint="eastAsia"/>
                <w:highlight w:val="none"/>
                <w:lang w:val="en-US" w:eastAsia="zh-CN"/>
              </w:rPr>
              <w:t>18.机组具备多重保护功能，机组自带高低压开关、防冻保护装置、流量控制器、过载保护器、电源相序保护装置等，并配合运行控制装置，出现故障时，控制器进行实时自动报警。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b/>
                <w:bCs/>
                <w:highlight w:val="none"/>
                <w:lang w:val="en-US" w:eastAsia="zh-CN"/>
              </w:rPr>
            </w:pPr>
            <w:r>
              <w:rPr>
                <w:rFonts w:hint="eastAsia"/>
                <w:b/>
                <w:bCs/>
                <w:highlight w:val="none"/>
                <w:lang w:val="en-US" w:eastAsia="zh-CN"/>
              </w:rPr>
              <w:t>二、吊式空气处理机（回风工况）14</w:t>
            </w:r>
            <w:r>
              <w:rPr>
                <w:rFonts w:hint="eastAsia"/>
                <w:b/>
                <w:bCs/>
                <w:highlight w:val="none"/>
                <w:lang w:eastAsia="zh-CN"/>
              </w:rPr>
              <w:t>台</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eastAsia="zh-CN"/>
              </w:rPr>
              <w:t>★1.</w:t>
            </w:r>
            <w:r>
              <w:rPr>
                <w:rFonts w:hint="eastAsia"/>
                <w:highlight w:val="none"/>
                <w:lang w:val="en-US" w:eastAsia="zh-CN"/>
              </w:rPr>
              <w:t>品牌：美的</w:t>
            </w:r>
            <w:r>
              <w:rPr>
                <w:rFonts w:hint="eastAsia"/>
                <w:highlight w:val="none"/>
                <w:lang w:eastAsia="zh-CN"/>
              </w:rPr>
              <w:t>MKS08D6Y/CP6</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.制冷量≥</w:t>
            </w:r>
            <w:r>
              <w:rPr>
                <w:rFonts w:hint="eastAsia"/>
                <w:highlight w:val="none"/>
                <w:lang w:val="en-US" w:eastAsia="zh-CN"/>
              </w:rPr>
              <w:t>59</w:t>
            </w:r>
            <w:r>
              <w:rPr>
                <w:rFonts w:hint="eastAsia"/>
                <w:highlight w:val="none"/>
                <w:lang w:eastAsia="zh-CN"/>
              </w:rPr>
              <w:t>kW，制热量≥</w:t>
            </w:r>
            <w:r>
              <w:rPr>
                <w:rFonts w:hint="eastAsia"/>
                <w:highlight w:val="none"/>
                <w:lang w:val="en-US" w:eastAsia="zh-CN"/>
              </w:rPr>
              <w:t>90</w:t>
            </w:r>
            <w:r>
              <w:rPr>
                <w:rFonts w:hint="eastAsia"/>
                <w:highlight w:val="none"/>
                <w:lang w:eastAsia="zh-CN"/>
              </w:rPr>
              <w:t xml:space="preserve">kW。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.送风量：</w:t>
            </w:r>
            <w:r>
              <w:rPr>
                <w:rFonts w:hint="eastAsia"/>
                <w:highlight w:val="none"/>
                <w:lang w:val="en-US" w:eastAsia="zh-CN"/>
              </w:rPr>
              <w:t>8</w:t>
            </w:r>
            <w:r>
              <w:rPr>
                <w:rFonts w:hint="eastAsia"/>
                <w:highlight w:val="none"/>
                <w:lang w:eastAsia="zh-CN"/>
              </w:rPr>
              <w:t>000m³/h。                                        ★</w:t>
            </w:r>
            <w:r>
              <w:rPr>
                <w:rFonts w:hint="eastAsia"/>
                <w:highlight w:val="none"/>
                <w:lang w:val="en-US" w:eastAsia="zh-CN"/>
              </w:rPr>
              <w:t>4</w:t>
            </w:r>
            <w:r>
              <w:rPr>
                <w:rFonts w:hint="eastAsia"/>
                <w:highlight w:val="none"/>
                <w:lang w:eastAsia="zh-CN"/>
              </w:rPr>
              <w:t>.机外余压：</w:t>
            </w:r>
            <w:r>
              <w:rPr>
                <w:rFonts w:hint="eastAsia"/>
                <w:highlight w:val="none"/>
                <w:lang w:val="en-US" w:eastAsia="zh-CN"/>
              </w:rPr>
              <w:t>32</w:t>
            </w:r>
            <w:r>
              <w:rPr>
                <w:rFonts w:hint="eastAsia"/>
                <w:highlight w:val="none"/>
                <w:lang w:eastAsia="zh-CN"/>
              </w:rPr>
              <w:t>0Pa。                                           ★</w:t>
            </w:r>
            <w:r>
              <w:rPr>
                <w:rFonts w:hint="eastAsia"/>
                <w:highlight w:val="none"/>
                <w:lang w:val="en-US" w:eastAsia="zh-CN"/>
              </w:rPr>
              <w:t>5</w:t>
            </w:r>
            <w:r>
              <w:rPr>
                <w:rFonts w:hint="eastAsia"/>
                <w:highlight w:val="none"/>
                <w:lang w:eastAsia="zh-CN"/>
              </w:rPr>
              <w:t>.功率≤</w:t>
            </w:r>
            <w:r>
              <w:rPr>
                <w:rFonts w:hint="eastAsia"/>
                <w:highlight w:val="none"/>
                <w:lang w:val="en-US" w:eastAsia="zh-CN"/>
              </w:rPr>
              <w:t>2.2</w:t>
            </w:r>
            <w:r>
              <w:rPr>
                <w:rFonts w:hint="eastAsia"/>
                <w:highlight w:val="none"/>
                <w:lang w:eastAsia="zh-CN"/>
              </w:rPr>
              <w:t>KW。</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b/>
                <w:bCs/>
                <w:highlight w:val="none"/>
                <w:lang w:val="en-US" w:eastAsia="zh-CN"/>
              </w:rPr>
            </w:pPr>
            <w:r>
              <w:rPr>
                <w:rFonts w:hint="eastAsia"/>
                <w:b/>
                <w:bCs/>
                <w:highlight w:val="none"/>
                <w:lang w:val="en-US" w:eastAsia="zh-CN"/>
              </w:rPr>
              <w:t>三、冷冻水泵：2台</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val="en-US" w:eastAsia="zh-CN"/>
              </w:rPr>
              <w:t>1.</w:t>
            </w:r>
            <w:r>
              <w:rPr>
                <w:rFonts w:hint="eastAsia"/>
                <w:highlight w:val="none"/>
                <w:lang w:eastAsia="zh-CN"/>
              </w:rPr>
              <w:t>流量160m3/h，扬程=28m，18KW，口径DN125mm，转速1480，承压1.6</w:t>
            </w:r>
            <w:r>
              <w:rPr>
                <w:rFonts w:hint="eastAsia"/>
                <w:highlight w:val="none"/>
                <w:lang w:val="en-US" w:eastAsia="zh-CN"/>
              </w:rPr>
              <w:t xml:space="preserve">  </w:t>
            </w:r>
            <w:r>
              <w:rPr>
                <w:rFonts w:hint="eastAsia"/>
                <w:highlight w:val="none"/>
                <w:lang w:eastAsia="zh-CN"/>
              </w:rPr>
              <w:t>一用一备</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default"/>
                <w:b/>
                <w:bCs/>
                <w:highlight w:val="none"/>
                <w:lang w:val="en-US" w:eastAsia="zh-CN"/>
              </w:rPr>
            </w:pPr>
            <w:r>
              <w:rPr>
                <w:rFonts w:hint="eastAsia"/>
                <w:b/>
                <w:bCs/>
                <w:highlight w:val="none"/>
                <w:lang w:val="en-US" w:eastAsia="zh-CN"/>
              </w:rPr>
              <w:t>四、辅材及安装</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val="en-US" w:eastAsia="zh-CN"/>
              </w:rPr>
              <w:t>1.14</w:t>
            </w:r>
            <w:r>
              <w:rPr>
                <w:rFonts w:hint="eastAsia"/>
                <w:highlight w:val="none"/>
                <w:lang w:eastAsia="zh-CN"/>
              </w:rPr>
              <w:t>台</w:t>
            </w:r>
            <w:r>
              <w:rPr>
                <w:rFonts w:hint="eastAsia"/>
                <w:highlight w:val="none"/>
                <w:lang w:val="en-US" w:eastAsia="zh-CN"/>
              </w:rPr>
              <w:t>风柜机组安装五金辅材：</w:t>
            </w:r>
            <w:r>
              <w:rPr>
                <w:rFonts w:hint="eastAsia"/>
                <w:highlight w:val="none"/>
                <w:lang w:eastAsia="zh-CN"/>
              </w:rPr>
              <w:t>支架.吊杆.扣件等，均标准件</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val="en-US" w:eastAsia="zh-CN"/>
              </w:rPr>
              <w:t>2.56</w:t>
            </w:r>
            <w:r>
              <w:rPr>
                <w:rFonts w:hint="eastAsia"/>
                <w:highlight w:val="none"/>
                <w:lang w:eastAsia="zh-CN"/>
              </w:rPr>
              <w:t>个</w:t>
            </w:r>
            <w:r>
              <w:rPr>
                <w:rFonts w:hint="eastAsia"/>
                <w:highlight w:val="none"/>
                <w:lang w:val="en-US" w:eastAsia="zh-CN"/>
              </w:rPr>
              <w:t>射流风口：</w:t>
            </w:r>
            <w:r>
              <w:rPr>
                <w:rFonts w:hint="eastAsia"/>
                <w:highlight w:val="none"/>
                <w:lang w:eastAsia="zh-CN"/>
              </w:rPr>
              <w:t>25mmABS</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val="en-US" w:eastAsia="zh-CN"/>
              </w:rPr>
              <w:t>3.2</w:t>
            </w:r>
            <w:r>
              <w:rPr>
                <w:rFonts w:hint="eastAsia"/>
                <w:highlight w:val="none"/>
                <w:lang w:eastAsia="zh-CN"/>
              </w:rPr>
              <w:t>个</w:t>
            </w:r>
            <w:r>
              <w:rPr>
                <w:rFonts w:hint="eastAsia"/>
                <w:highlight w:val="none"/>
                <w:lang w:val="en-US" w:eastAsia="zh-CN"/>
              </w:rPr>
              <w:t>单向阀：</w:t>
            </w:r>
            <w:r>
              <w:rPr>
                <w:rFonts w:hint="eastAsia"/>
                <w:highlight w:val="none"/>
                <w:lang w:eastAsia="zh-CN"/>
              </w:rPr>
              <w:t>DN65铸铁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val="en-US" w:eastAsia="zh-CN"/>
              </w:rPr>
              <w:t>4.主机五金配件：</w:t>
            </w:r>
            <w:r>
              <w:rPr>
                <w:rFonts w:hint="eastAsia"/>
                <w:highlight w:val="none"/>
                <w:lang w:eastAsia="zh-CN"/>
              </w:rPr>
              <w:t>含Y滤.闸阀.软接.法兰.角钢管路支架等</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val="en-US" w:eastAsia="zh-CN"/>
              </w:rPr>
              <w:t>5.补水箱：</w:t>
            </w:r>
            <w:r>
              <w:rPr>
                <w:rFonts w:hint="eastAsia"/>
                <w:highlight w:val="none"/>
                <w:lang w:eastAsia="zh-CN"/>
              </w:rPr>
              <w:t>304保温500L非承压</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val="en-US" w:eastAsia="zh-CN"/>
              </w:rPr>
              <w:t>6.28</w:t>
            </w:r>
            <w:r>
              <w:rPr>
                <w:rFonts w:hint="eastAsia"/>
                <w:highlight w:val="none"/>
                <w:lang w:eastAsia="zh-CN"/>
              </w:rPr>
              <w:t>套</w:t>
            </w:r>
            <w:r>
              <w:rPr>
                <w:rFonts w:hint="eastAsia"/>
                <w:highlight w:val="none"/>
                <w:lang w:val="en-US" w:eastAsia="zh-CN"/>
              </w:rPr>
              <w:t>风柜机组法兰闸阀：</w:t>
            </w:r>
            <w:r>
              <w:rPr>
                <w:rFonts w:hint="eastAsia"/>
                <w:highlight w:val="none"/>
                <w:lang w:eastAsia="zh-CN"/>
              </w:rPr>
              <w:t>DN65铸铁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val="en-US" w:eastAsia="zh-CN"/>
              </w:rPr>
              <w:t>7.28</w:t>
            </w:r>
            <w:r>
              <w:rPr>
                <w:rFonts w:hint="eastAsia"/>
                <w:highlight w:val="none"/>
                <w:lang w:eastAsia="zh-CN"/>
              </w:rPr>
              <w:t>根</w:t>
            </w:r>
            <w:r>
              <w:rPr>
                <w:rFonts w:hint="eastAsia"/>
                <w:highlight w:val="none"/>
                <w:lang w:val="en-US" w:eastAsia="zh-CN"/>
              </w:rPr>
              <w:t>风柜机组软接：</w:t>
            </w:r>
            <w:r>
              <w:rPr>
                <w:rFonts w:hint="eastAsia"/>
                <w:highlight w:val="none"/>
                <w:lang w:eastAsia="zh-CN"/>
              </w:rPr>
              <w:t>DN65不锈钢波纹</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val="en-US" w:eastAsia="zh-CN"/>
              </w:rPr>
              <w:t>8.旁通阀：</w:t>
            </w:r>
            <w:r>
              <w:rPr>
                <w:rFonts w:hint="eastAsia"/>
                <w:highlight w:val="none"/>
                <w:lang w:eastAsia="zh-CN"/>
              </w:rPr>
              <w:t>DN125铸铁</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val="en-US" w:eastAsia="zh-CN"/>
              </w:rPr>
              <w:t>9.系统主管道：</w:t>
            </w:r>
            <w:r>
              <w:rPr>
                <w:rFonts w:hint="eastAsia"/>
                <w:highlight w:val="none"/>
                <w:lang w:eastAsia="zh-CN"/>
              </w:rPr>
              <w:t>DN125-200*0.4镀锌钢管;含配件.</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eastAsia="zh-CN"/>
              </w:rPr>
              <w:t>电焊及保温材料工费（含立管）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val="en-US" w:eastAsia="zh-CN"/>
              </w:rPr>
              <w:t>10.系统二级连接支管：</w:t>
            </w:r>
            <w:r>
              <w:rPr>
                <w:rFonts w:hint="eastAsia"/>
                <w:highlight w:val="none"/>
                <w:lang w:eastAsia="zh-CN"/>
              </w:rPr>
              <w:t>DN40-100*0.3镀锌钢管;含配件.电焊及保温材料工费</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val="en-US" w:eastAsia="zh-CN"/>
              </w:rPr>
              <w:t>11.排水管：</w:t>
            </w:r>
            <w:r>
              <w:rPr>
                <w:rFonts w:hint="eastAsia"/>
                <w:highlight w:val="none"/>
                <w:lang w:eastAsia="zh-CN"/>
              </w:rPr>
              <w:t>25-50pvc含保温；以实际产生核算为准</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val="en-US" w:eastAsia="zh-CN"/>
              </w:rPr>
              <w:t>12.自动排气阀：</w:t>
            </w:r>
            <w:r>
              <w:rPr>
                <w:rFonts w:hint="eastAsia"/>
                <w:highlight w:val="none"/>
                <w:lang w:eastAsia="zh-CN"/>
              </w:rPr>
              <w:t>DN25纯铜</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val="en-US" w:eastAsia="zh-CN"/>
              </w:rPr>
              <w:t>13.主机设备电源线:</w:t>
            </w:r>
            <w:r>
              <w:rPr>
                <w:rFonts w:hint="eastAsia"/>
                <w:highlight w:val="none"/>
                <w:lang w:eastAsia="zh-CN"/>
              </w:rPr>
              <w:t>GB3*25+10铜芯/含桥架</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val="en-US" w:eastAsia="zh-CN"/>
              </w:rPr>
              <w:t>14.主机辅助设备电源线:</w:t>
            </w:r>
            <w:r>
              <w:rPr>
                <w:rFonts w:hint="eastAsia"/>
                <w:highlight w:val="none"/>
                <w:lang w:eastAsia="zh-CN"/>
              </w:rPr>
              <w:t>GB3*16+6铜芯/含桥架</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highlight w:val="none"/>
                <w:lang w:eastAsia="zh-CN"/>
              </w:rPr>
            </w:pPr>
            <w:r>
              <w:rPr>
                <w:rFonts w:hint="eastAsia"/>
                <w:highlight w:val="none"/>
                <w:lang w:val="en-US" w:eastAsia="zh-CN"/>
              </w:rPr>
              <w:t>15.室内风柜机组电源线:</w:t>
            </w:r>
            <w:r>
              <w:rPr>
                <w:rFonts w:hint="eastAsia"/>
                <w:highlight w:val="none"/>
                <w:lang w:eastAsia="zh-CN"/>
              </w:rPr>
              <w:t>GB3*6+4铜芯/含线管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color w:val="000000"/>
                <w:kern w:val="0"/>
                <w:sz w:val="21"/>
                <w:szCs w:val="21"/>
                <w:highlight w:val="none"/>
                <w:lang w:eastAsia="zh-CN"/>
              </w:rPr>
            </w:pPr>
            <w:r>
              <w:rPr>
                <w:rFonts w:hint="eastAsia"/>
                <w:highlight w:val="none"/>
                <w:lang w:val="en-US" w:eastAsia="zh-CN"/>
              </w:rPr>
              <w:t>16.风柜机控制信号线材:</w:t>
            </w:r>
            <w:r>
              <w:rPr>
                <w:rFonts w:hint="eastAsia"/>
                <w:highlight w:val="none"/>
                <w:lang w:eastAsia="zh-CN"/>
              </w:rPr>
              <w:t>GB3*2.5-3*1.5铜芯/含线管</w:t>
            </w:r>
          </w:p>
        </w:tc>
      </w:tr>
    </w:tbl>
    <w:p>
      <w:pPr>
        <w:rPr>
          <w:highlight w:val="none"/>
        </w:rPr>
      </w:pPr>
    </w:p>
    <w:p>
      <w:pPr>
        <w:widowControl/>
        <w:jc w:val="left"/>
        <w:rPr>
          <w:highlight w:val="none"/>
        </w:rPr>
      </w:pPr>
      <w:r>
        <w:rPr>
          <w:highlight w:val="none"/>
        </w:rPr>
        <w:br w:type="page"/>
      </w:r>
    </w:p>
    <w:tbl>
      <w:tblPr>
        <w:tblStyle w:val="9"/>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2"/>
        <w:gridCol w:w="7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864" w:type="pct"/>
            <w:vAlign w:val="center"/>
          </w:tcPr>
          <w:p>
            <w:pPr>
              <w:rPr>
                <w:rFonts w:hint="eastAsia" w:ascii="宋体" w:hAnsi="宋体"/>
                <w:szCs w:val="21"/>
                <w:highlight w:val="none"/>
              </w:rPr>
            </w:pPr>
            <w:r>
              <w:rPr>
                <w:rFonts w:hint="eastAsia"/>
                <w:highlight w:val="none"/>
              </w:rPr>
              <w:t>商务</w:t>
            </w:r>
            <w:r>
              <w:rPr>
                <w:highlight w:val="none"/>
              </w:rPr>
              <w:t>要求</w:t>
            </w:r>
          </w:p>
        </w:tc>
        <w:tc>
          <w:tcPr>
            <w:tcW w:w="4135" w:type="pct"/>
            <w:vAlign w:val="center"/>
          </w:tcPr>
          <w:p>
            <w:pPr>
              <w:spacing w:line="380" w:lineRule="exact"/>
              <w:rPr>
                <w:rFonts w:hint="eastAsia" w:ascii="宋体" w:hAnsi="宋体"/>
                <w:szCs w:val="21"/>
                <w:highlight w:val="none"/>
              </w:rPr>
            </w:pPr>
            <w:r>
              <w:rPr>
                <w:rFonts w:hint="eastAsia" w:ascii="宋体" w:hAnsi="宋体" w:cs="宋体"/>
                <w:b/>
                <w:color w:val="auto"/>
                <w:kern w:val="0"/>
                <w:sz w:val="22"/>
                <w:highlight w:val="none"/>
              </w:rPr>
              <w:t>本</w:t>
            </w:r>
            <w:r>
              <w:rPr>
                <w:rFonts w:ascii="宋体" w:hAnsi="宋体" w:cs="宋体"/>
                <w:b/>
                <w:color w:val="auto"/>
                <w:kern w:val="0"/>
                <w:sz w:val="22"/>
                <w:highlight w:val="none"/>
              </w:rPr>
              <w:t>项目采购需求中</w:t>
            </w:r>
            <w:r>
              <w:rPr>
                <w:rFonts w:hint="eastAsia" w:ascii="宋体" w:hAnsi="宋体" w:cs="宋体"/>
                <w:b/>
                <w:color w:val="auto"/>
                <w:kern w:val="0"/>
                <w:sz w:val="22"/>
                <w:highlight w:val="none"/>
              </w:rPr>
              <w:t>带★号的内容为实质性要求，供应商</w:t>
            </w:r>
            <w:bookmarkStart w:id="0" w:name="_GoBack"/>
            <w:bookmarkEnd w:id="0"/>
            <w:r>
              <w:rPr>
                <w:rFonts w:hint="eastAsia" w:ascii="宋体" w:hAnsi="宋体" w:cs="宋体"/>
                <w:b/>
                <w:color w:val="auto"/>
                <w:kern w:val="0"/>
                <w:sz w:val="22"/>
                <w:highlight w:val="none"/>
              </w:rPr>
              <w:t>必须实质性满足，否则报价无效。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864" w:type="pct"/>
            <w:vAlign w:val="center"/>
          </w:tcPr>
          <w:p>
            <w:pPr>
              <w:rPr>
                <w:rFonts w:ascii="宋体" w:hAnsi="宋体"/>
                <w:szCs w:val="21"/>
                <w:highlight w:val="none"/>
              </w:rPr>
            </w:pPr>
            <w:r>
              <w:rPr>
                <w:rFonts w:hint="eastAsia" w:ascii="宋体" w:hAnsi="宋体"/>
                <w:szCs w:val="21"/>
                <w:highlight w:val="none"/>
              </w:rPr>
              <w:t>合同签订期限</w:t>
            </w:r>
          </w:p>
        </w:tc>
        <w:tc>
          <w:tcPr>
            <w:tcW w:w="4135" w:type="pct"/>
            <w:vAlign w:val="center"/>
          </w:tcPr>
          <w:p>
            <w:pPr>
              <w:rPr>
                <w:rFonts w:hint="eastAsia"/>
                <w:highlight w:val="none"/>
              </w:rPr>
            </w:pPr>
            <w:r>
              <w:rPr>
                <w:rFonts w:hint="eastAsia"/>
                <w:highlight w:val="none"/>
                <w:lang w:val="en-US" w:eastAsia="zh-CN"/>
              </w:rPr>
              <w:t>1</w:t>
            </w:r>
            <w:r>
              <w:rPr>
                <w:rFonts w:hint="eastAsia"/>
                <w:highlight w:val="none"/>
              </w:rPr>
              <w:t>、自成交公告发</w:t>
            </w:r>
            <w:r>
              <w:rPr>
                <w:rFonts w:hint="eastAsia"/>
                <w:highlight w:val="none"/>
              </w:rPr>
              <w:t>布之日起</w:t>
            </w:r>
            <w:r>
              <w:rPr>
                <w:rFonts w:hint="eastAsia"/>
                <w:highlight w:val="none"/>
                <w:lang w:val="en-US" w:eastAsia="zh-CN"/>
              </w:rPr>
              <w:t>3</w:t>
            </w:r>
            <w:r>
              <w:rPr>
                <w:rFonts w:hint="eastAsia"/>
                <w:highlight w:val="none"/>
              </w:rPr>
              <w:t>个工作</w:t>
            </w:r>
            <w:r>
              <w:rPr>
                <w:rFonts w:hint="eastAsia"/>
                <w:highlight w:val="none"/>
              </w:rPr>
              <w:t>日内</w:t>
            </w:r>
            <w:r>
              <w:rPr>
                <w:rFonts w:hint="eastAsia"/>
                <w:highlight w:val="none"/>
                <w:lang w:val="en-US" w:eastAsia="zh-CN"/>
              </w:rPr>
              <w:t>签订合同</w:t>
            </w:r>
            <w:r>
              <w:rPr>
                <w:rFonts w:hint="eastAsia"/>
                <w:highlight w:val="none"/>
              </w:rPr>
              <w:t>；</w:t>
            </w:r>
          </w:p>
          <w:p>
            <w:pPr>
              <w:rPr>
                <w:rFonts w:hint="eastAsia"/>
                <w:highlight w:val="none"/>
                <w:lang w:val="en-US" w:eastAsia="zh-CN"/>
              </w:rPr>
            </w:pPr>
            <w:r>
              <w:rPr>
                <w:rFonts w:hint="eastAsia"/>
                <w:highlight w:val="none"/>
              </w:rPr>
              <w:t>★</w:t>
            </w:r>
            <w:r>
              <w:rPr>
                <w:rFonts w:hint="eastAsia"/>
                <w:highlight w:val="none"/>
                <w:lang w:val="en-US" w:eastAsia="zh-CN"/>
              </w:rPr>
              <w:t>2</w:t>
            </w:r>
            <w:r>
              <w:rPr>
                <w:rFonts w:hint="eastAsia"/>
                <w:highlight w:val="none"/>
              </w:rPr>
              <w:t>、为避免假冒伪劣产品，</w:t>
            </w:r>
            <w:r>
              <w:rPr>
                <w:rFonts w:hint="eastAsia"/>
                <w:highlight w:val="none"/>
                <w:lang w:val="en-US" w:eastAsia="zh-CN"/>
              </w:rPr>
              <w:t>签订合同前</w:t>
            </w:r>
            <w:r>
              <w:rPr>
                <w:rFonts w:hint="eastAsia"/>
                <w:highlight w:val="none"/>
              </w:rPr>
              <w:t>需提供空调生产厂家授权函</w:t>
            </w:r>
            <w:r>
              <w:rPr>
                <w:rFonts w:hint="eastAsia"/>
                <w:highlight w:val="none"/>
                <w:lang w:eastAsia="zh-CN"/>
              </w:rPr>
              <w:t>，</w:t>
            </w:r>
            <w:r>
              <w:rPr>
                <w:rFonts w:hint="eastAsia"/>
                <w:highlight w:val="none"/>
              </w:rPr>
              <w:t>供货时需提供空调原厂供货证明、原厂售后服务承诺书并加盖厂家公章。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864" w:type="pct"/>
            <w:vAlign w:val="center"/>
          </w:tcPr>
          <w:p>
            <w:pPr>
              <w:spacing w:line="300" w:lineRule="exact"/>
              <w:jc w:val="center"/>
              <w:rPr>
                <w:rFonts w:ascii="宋体" w:hAnsi="宋体"/>
                <w:szCs w:val="21"/>
                <w:highlight w:val="none"/>
              </w:rPr>
            </w:pPr>
            <w:r>
              <w:rPr>
                <w:rFonts w:hint="eastAsia" w:ascii="宋体" w:hAnsi="宋体"/>
                <w:szCs w:val="21"/>
                <w:highlight w:val="none"/>
              </w:rPr>
              <w:t>交货时间及地点</w:t>
            </w:r>
          </w:p>
        </w:tc>
        <w:tc>
          <w:tcPr>
            <w:tcW w:w="4135" w:type="pct"/>
            <w:vAlign w:val="center"/>
          </w:tcPr>
          <w:p>
            <w:pPr>
              <w:spacing w:line="300" w:lineRule="exact"/>
              <w:rPr>
                <w:rFonts w:ascii="宋体" w:hAnsi="宋体"/>
                <w:szCs w:val="21"/>
                <w:highlight w:val="none"/>
              </w:rPr>
            </w:pPr>
            <w:r>
              <w:rPr>
                <w:rFonts w:hint="eastAsia" w:ascii="宋体" w:hAnsi="宋体" w:cs="宋体"/>
                <w:b/>
                <w:color w:val="auto"/>
                <w:kern w:val="0"/>
                <w:sz w:val="22"/>
                <w:highlight w:val="none"/>
              </w:rPr>
              <w:t>★</w:t>
            </w:r>
            <w:r>
              <w:rPr>
                <w:rFonts w:hint="eastAsia" w:ascii="宋体" w:hAnsi="宋体"/>
                <w:szCs w:val="21"/>
                <w:highlight w:val="none"/>
              </w:rPr>
              <w:t>1、</w:t>
            </w:r>
            <w:r>
              <w:rPr>
                <w:rFonts w:hint="eastAsia" w:ascii="宋体" w:hAnsi="宋体"/>
                <w:szCs w:val="21"/>
                <w:highlight w:val="none"/>
              </w:rPr>
              <w:t>交付的时间（期限）：合同签订后</w:t>
            </w:r>
            <w:r>
              <w:rPr>
                <w:rFonts w:hint="eastAsia" w:ascii="宋体" w:hAnsi="宋体"/>
                <w:szCs w:val="21"/>
                <w:highlight w:val="none"/>
                <w:lang w:val="en-US" w:eastAsia="zh-CN"/>
              </w:rPr>
              <w:t>12</w:t>
            </w:r>
            <w:r>
              <w:rPr>
                <w:rFonts w:hint="eastAsia" w:ascii="宋体" w:hAnsi="宋体"/>
                <w:szCs w:val="21"/>
                <w:highlight w:val="none"/>
              </w:rPr>
              <w:t>天内完成供货安装调试并验收完毕</w:t>
            </w:r>
          </w:p>
          <w:p>
            <w:pPr>
              <w:spacing w:line="300" w:lineRule="exact"/>
              <w:rPr>
                <w:rFonts w:ascii="宋体" w:hAnsi="宋体"/>
                <w:szCs w:val="21"/>
                <w:highlight w:val="none"/>
              </w:rPr>
            </w:pPr>
            <w:r>
              <w:rPr>
                <w:rFonts w:hint="eastAsia" w:ascii="宋体" w:hAnsi="宋体" w:cs="宋体"/>
                <w:b/>
                <w:color w:val="auto"/>
                <w:kern w:val="0"/>
                <w:sz w:val="22"/>
                <w:highlight w:val="none"/>
              </w:rPr>
              <w:t>★</w:t>
            </w:r>
            <w:r>
              <w:rPr>
                <w:rFonts w:hint="eastAsia" w:ascii="宋体" w:hAnsi="宋体"/>
                <w:szCs w:val="21"/>
                <w:highlight w:val="none"/>
              </w:rPr>
              <w:t>2、交付的地点：</w:t>
            </w:r>
            <w:r>
              <w:rPr>
                <w:rFonts w:hint="eastAsia" w:ascii="宋体" w:hAnsi="宋体"/>
                <w:color w:val="auto"/>
                <w:highlight w:val="none"/>
              </w:rPr>
              <w:t>广西崇左市扶绥县空港大道东29号广西自然资源职业技术学院</w:t>
            </w:r>
            <w:r>
              <w:rPr>
                <w:rFonts w:hint="eastAsia" w:ascii="宋体" w:hAnsi="宋体"/>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864" w:type="pct"/>
            <w:vAlign w:val="center"/>
          </w:tcPr>
          <w:p>
            <w:pPr>
              <w:spacing w:line="380" w:lineRule="exact"/>
              <w:jc w:val="center"/>
              <w:rPr>
                <w:rFonts w:ascii="宋体" w:hAnsi="宋体"/>
                <w:szCs w:val="21"/>
                <w:highlight w:val="none"/>
              </w:rPr>
            </w:pPr>
            <w:r>
              <w:rPr>
                <w:rFonts w:hint="eastAsia" w:ascii="宋体" w:hAnsi="宋体"/>
                <w:szCs w:val="21"/>
                <w:highlight w:val="none"/>
              </w:rPr>
              <w:t>售后服务</w:t>
            </w:r>
          </w:p>
        </w:tc>
        <w:tc>
          <w:tcPr>
            <w:tcW w:w="4135" w:type="pct"/>
            <w:vAlign w:val="center"/>
          </w:tcPr>
          <w:p>
            <w:pPr>
              <w:spacing w:line="300" w:lineRule="exact"/>
              <w:rPr>
                <w:highlight w:val="none"/>
              </w:rPr>
            </w:pPr>
            <w:r>
              <w:rPr>
                <w:rFonts w:hint="eastAsia"/>
                <w:highlight w:val="none"/>
              </w:rPr>
              <w:t>★1、整体质量保证期不少于</w:t>
            </w:r>
            <w:r>
              <w:rPr>
                <w:rFonts w:hint="eastAsia"/>
                <w:highlight w:val="none"/>
                <w:lang w:val="en-US" w:eastAsia="zh-CN"/>
              </w:rPr>
              <w:t>2</w:t>
            </w:r>
            <w:r>
              <w:rPr>
                <w:rFonts w:hint="eastAsia"/>
                <w:highlight w:val="none"/>
              </w:rPr>
              <w:t>年，各设备有单独要求的，从其要求（自提交货物并验收合格之日起计，包含软、硬件验收合格之日起壹年）若产品生产厂家免费质保期超过此年限的，则按厂家承诺的质保执行。</w:t>
            </w:r>
          </w:p>
          <w:p>
            <w:pPr>
              <w:spacing w:line="300" w:lineRule="exact"/>
              <w:rPr>
                <w:highlight w:val="none"/>
              </w:rPr>
            </w:pPr>
            <w:r>
              <w:rPr>
                <w:rFonts w:hint="eastAsia"/>
                <w:highlight w:val="none"/>
              </w:rPr>
              <w:t>★2、质保期内，按国家有关产品“三包”规定执行“三包”，免费上门保修和包换、维护服务（各分项货物或服务另有要求的以各分项要求为准）、上门维修、更换（非人为损坏）零部件，保障系统正常运行并提供终身技术支持；在正常使用情况下，出现的任何故障及损失（非人为损坏），中标人无偿维修。并承担以上相应费用。质保期满后，以优惠价格提供维修和备件更换，且免除一切手续费，并免费提供技术咨询和终身有偿维护。</w:t>
            </w:r>
          </w:p>
          <w:p>
            <w:pPr>
              <w:spacing w:line="300" w:lineRule="exact"/>
              <w:rPr>
                <w:highlight w:val="none"/>
              </w:rPr>
            </w:pPr>
            <w:r>
              <w:rPr>
                <w:rFonts w:hint="eastAsia"/>
                <w:highlight w:val="none"/>
              </w:rPr>
              <w:t>3、免费送货上门、由技术人员现场安装、调试和技术指导，并在采购人使用地培训操作人员掌握设备操作及日常维护。所供货物各项性能指标达到技术要求的，由供需双方共同签字认可，现场验收；并提供设备完整技术资料，技术资料包括技术规格和指标，各部件型号和参数清单，操作使用说明手册和注意事项。并承担以上相应费用。</w:t>
            </w:r>
          </w:p>
          <w:p>
            <w:pPr>
              <w:spacing w:line="300" w:lineRule="exact"/>
              <w:rPr>
                <w:highlight w:val="none"/>
              </w:rPr>
            </w:pPr>
            <w:r>
              <w:rPr>
                <w:rFonts w:hint="eastAsia"/>
                <w:highlight w:val="none"/>
              </w:rPr>
              <w:t>★4、供应商能通过7×24小时远程服务、上门服务、电话、E-mail等方式为用户提供质保期内完善的售后维保服务；</w:t>
            </w:r>
          </w:p>
          <w:p>
            <w:pPr>
              <w:spacing w:line="300" w:lineRule="exact"/>
              <w:rPr>
                <w:highlight w:val="none"/>
              </w:rPr>
            </w:pPr>
            <w:r>
              <w:rPr>
                <w:rFonts w:hint="eastAsia"/>
                <w:highlight w:val="none"/>
              </w:rPr>
              <w:t>★5、处理问题响应时间、接到采购人处理问题通知后1小时内到达采购人指定现场，2小时内解决故障并恢复系统运行。质保期内，免费维修维保，确保系统正常运行</w:t>
            </w:r>
            <w:r>
              <w:rPr>
                <w:rFonts w:hint="eastAsia"/>
                <w:highlight w:val="none"/>
              </w:rPr>
              <w:t>。</w:t>
            </w:r>
          </w:p>
          <w:p>
            <w:pPr>
              <w:spacing w:line="300" w:lineRule="exact"/>
              <w:rPr>
                <w:highlight w:val="none"/>
              </w:rPr>
            </w:pPr>
            <w:r>
              <w:rPr>
                <w:rFonts w:hint="eastAsia"/>
                <w:highlight w:val="none"/>
              </w:rPr>
              <w:t>★6、供应商在提供服务过程中，对所接触到的所有信息负有保密义务，并签署相关保密协议。</w:t>
            </w:r>
          </w:p>
          <w:p>
            <w:pPr>
              <w:spacing w:line="300" w:lineRule="exact"/>
              <w:rPr>
                <w:highlight w:val="none"/>
              </w:rPr>
            </w:pPr>
            <w:r>
              <w:rPr>
                <w:rFonts w:hint="eastAsia"/>
                <w:highlight w:val="none"/>
              </w:rPr>
              <w:t>7、供应商需配备设备、系统和软件维保需要的常用检测设备工具及其它必要器具等。</w:t>
            </w:r>
          </w:p>
          <w:p>
            <w:pPr>
              <w:spacing w:line="300" w:lineRule="exact"/>
              <w:rPr>
                <w:highlight w:val="none"/>
              </w:rPr>
            </w:pPr>
            <w:r>
              <w:rPr>
                <w:rFonts w:hint="eastAsia"/>
                <w:highlight w:val="none"/>
              </w:rPr>
              <w:t>8、培训要求：</w:t>
            </w:r>
          </w:p>
          <w:p>
            <w:pPr>
              <w:spacing w:line="300" w:lineRule="exact"/>
              <w:rPr>
                <w:rFonts w:hint="eastAsia"/>
                <w:highlight w:val="none"/>
              </w:rPr>
            </w:pPr>
            <w:r>
              <w:rPr>
                <w:rFonts w:hint="eastAsia"/>
                <w:highlight w:val="none"/>
              </w:rPr>
              <w:t>设备安装完成后，由项目供应商培训部门按岗位职责范围，统一组织进行使用培训。培训费用由供应商负责，培训地点</w:t>
            </w:r>
            <w:r>
              <w:rPr>
                <w:rFonts w:hint="eastAsia"/>
                <w:highlight w:val="none"/>
                <w:lang w:val="en-US" w:eastAsia="zh-CN"/>
              </w:rPr>
              <w:t>为</w:t>
            </w:r>
            <w:r>
              <w:rPr>
                <w:rFonts w:hint="eastAsia"/>
                <w:highlight w:val="none"/>
              </w:rPr>
              <w:t>采购人指定地点；培训时间和期限由本项目采购人根据需要确定。</w:t>
            </w:r>
          </w:p>
          <w:p>
            <w:pPr>
              <w:pStyle w:val="2"/>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6" w:hRule="atLeast"/>
          <w:jc w:val="center"/>
        </w:trPr>
        <w:tc>
          <w:tcPr>
            <w:tcW w:w="864" w:type="pct"/>
            <w:vAlign w:val="center"/>
          </w:tcPr>
          <w:p>
            <w:pPr>
              <w:spacing w:line="300" w:lineRule="exact"/>
              <w:rPr>
                <w:highlight w:val="none"/>
              </w:rPr>
            </w:pPr>
            <w:r>
              <w:rPr>
                <w:rFonts w:hint="eastAsia"/>
                <w:highlight w:val="none"/>
              </w:rPr>
              <w:t>验收标准</w:t>
            </w:r>
          </w:p>
        </w:tc>
        <w:tc>
          <w:tcPr>
            <w:tcW w:w="4135" w:type="pct"/>
            <w:vAlign w:val="center"/>
          </w:tcPr>
          <w:p>
            <w:pPr>
              <w:spacing w:line="300" w:lineRule="exact"/>
              <w:rPr>
                <w:highlight w:val="none"/>
              </w:rPr>
            </w:pPr>
            <w:r>
              <w:rPr>
                <w:rFonts w:hint="eastAsia" w:ascii="宋体" w:hAnsi="宋体" w:cs="宋体"/>
                <w:b/>
                <w:color w:val="auto"/>
                <w:kern w:val="0"/>
                <w:sz w:val="22"/>
                <w:highlight w:val="none"/>
              </w:rPr>
              <w:t>★</w:t>
            </w:r>
            <w:r>
              <w:rPr>
                <w:rFonts w:hint="eastAsia"/>
                <w:highlight w:val="none"/>
              </w:rPr>
              <w:t>1、供货时必须提供空调生产原厂有效售后服务说明和供货证明，否则不予签收和验收。</w:t>
            </w:r>
          </w:p>
          <w:p>
            <w:pPr>
              <w:spacing w:line="300" w:lineRule="exact"/>
              <w:rPr>
                <w:rFonts w:hint="eastAsia"/>
                <w:highlight w:val="none"/>
              </w:rPr>
            </w:pPr>
            <w:r>
              <w:rPr>
                <w:rFonts w:hint="eastAsia" w:ascii="宋体" w:hAnsi="宋体" w:cs="宋体"/>
                <w:b/>
                <w:color w:val="auto"/>
                <w:kern w:val="0"/>
                <w:sz w:val="22"/>
                <w:highlight w:val="none"/>
              </w:rPr>
              <w:t>★</w:t>
            </w:r>
            <w:r>
              <w:rPr>
                <w:rFonts w:hint="eastAsia"/>
                <w:highlight w:val="none"/>
                <w:lang w:val="en-US" w:eastAsia="zh-CN"/>
              </w:rPr>
              <w:t>2</w:t>
            </w:r>
            <w:r>
              <w:rPr>
                <w:rFonts w:hint="eastAsia"/>
                <w:highlight w:val="none"/>
              </w:rPr>
              <w:t>、</w:t>
            </w:r>
            <w:r>
              <w:rPr>
                <w:rFonts w:hint="eastAsia"/>
                <w:highlight w:val="none"/>
              </w:rPr>
              <w:t>成交供应商在安装前必须提供切实可行的安装技术方案，经采购人和使用方确认，且使用方签字盖章后方可实施安装；</w:t>
            </w:r>
          </w:p>
          <w:p>
            <w:pPr>
              <w:spacing w:line="300" w:lineRule="exact"/>
              <w:rPr>
                <w:highlight w:val="none"/>
              </w:rPr>
            </w:pPr>
            <w:r>
              <w:rPr>
                <w:rFonts w:hint="eastAsia" w:ascii="宋体" w:hAnsi="宋体" w:cs="宋体"/>
                <w:b/>
                <w:color w:val="auto"/>
                <w:kern w:val="0"/>
                <w:sz w:val="22"/>
                <w:highlight w:val="none"/>
              </w:rPr>
              <w:t>★</w:t>
            </w:r>
            <w:r>
              <w:rPr>
                <w:rFonts w:hint="eastAsia"/>
                <w:highlight w:val="none"/>
                <w:lang w:val="en-US" w:eastAsia="zh-CN"/>
              </w:rPr>
              <w:t>3</w:t>
            </w:r>
            <w:r>
              <w:rPr>
                <w:rFonts w:hint="eastAsia"/>
                <w:highlight w:val="none"/>
              </w:rPr>
              <w:t>、要求竞标货物必须是原厂、原装、全新的合格品。所有零部件、配件必须是未经使用的全新的并符合国家有关质量安全标准的产品。决不允许提供替代品牌或假冒伪劣产品。</w:t>
            </w:r>
          </w:p>
          <w:p>
            <w:pPr>
              <w:spacing w:line="300" w:lineRule="exact"/>
              <w:rPr>
                <w:highlight w:val="none"/>
              </w:rPr>
            </w:pPr>
            <w:r>
              <w:rPr>
                <w:rFonts w:hint="eastAsia" w:ascii="宋体" w:hAnsi="宋体" w:cs="宋体"/>
                <w:b/>
                <w:color w:val="auto"/>
                <w:kern w:val="0"/>
                <w:sz w:val="22"/>
                <w:highlight w:val="none"/>
              </w:rPr>
              <w:t>★</w:t>
            </w:r>
            <w:r>
              <w:rPr>
                <w:rFonts w:hint="eastAsia"/>
                <w:highlight w:val="none"/>
                <w:lang w:val="en-US" w:eastAsia="zh-CN"/>
              </w:rPr>
              <w:t>4</w:t>
            </w:r>
            <w:r>
              <w:rPr>
                <w:rFonts w:hint="eastAsia"/>
                <w:highlight w:val="none"/>
              </w:rPr>
              <w:t>、项目验收时由采购人（或邀请第三方）对照采购文件的技术参数及性能指标全面核对检验，对所有要求出具的证明文件的原件进行核查，如不符合采购文件的技术参数及性能指标或提供虚假承诺的，采购人有权拒绝验收并报财政监管部门处理，采购人保留进一步追究责任的权利。</w:t>
            </w:r>
          </w:p>
          <w:p>
            <w:pPr>
              <w:spacing w:line="300" w:lineRule="exact"/>
              <w:rPr>
                <w:highlight w:val="none"/>
              </w:rPr>
            </w:pPr>
            <w:r>
              <w:rPr>
                <w:rFonts w:hint="eastAsia" w:ascii="宋体" w:hAnsi="宋体" w:cs="宋体"/>
                <w:b/>
                <w:color w:val="auto"/>
                <w:kern w:val="0"/>
                <w:sz w:val="22"/>
                <w:highlight w:val="none"/>
              </w:rPr>
              <w:t>★</w:t>
            </w:r>
            <w:r>
              <w:rPr>
                <w:rFonts w:hint="eastAsia"/>
                <w:highlight w:val="none"/>
                <w:lang w:val="en-US" w:eastAsia="zh-CN"/>
              </w:rPr>
              <w:t>5</w:t>
            </w:r>
            <w:r>
              <w:rPr>
                <w:rFonts w:hint="eastAsia"/>
                <w:highlight w:val="none"/>
              </w:rPr>
              <w:t>、所供货物各项性能指标达到技术要求的，由供需双方共同签字认可，现场验收；并提供设备完整技术资料，技术资料包括技术规格和指标，各部件型号和参数清单，操作使用说明手册、注意事项和生产厂家质保书及售后服务材料。</w:t>
            </w:r>
          </w:p>
          <w:p>
            <w:pPr>
              <w:spacing w:line="300" w:lineRule="exact"/>
              <w:rPr>
                <w:highlight w:val="none"/>
              </w:rPr>
            </w:pPr>
            <w:r>
              <w:rPr>
                <w:rFonts w:hint="eastAsia"/>
                <w:highlight w:val="none"/>
                <w:lang w:val="en-US" w:eastAsia="zh-CN"/>
              </w:rPr>
              <w:t>6</w:t>
            </w:r>
            <w:r>
              <w:rPr>
                <w:rFonts w:hint="eastAsia"/>
                <w:highlight w:val="none"/>
              </w:rPr>
              <w:t>、所供货物不得侵犯他人的知识产权或者专利权或软件著作权等，不能涉及任何法律纠纷。本项目的货物涉及的知识产权和所提供的相关技术资料合法取得，并享有完整的知识产权，一切经济和法律责任均由供应商承担。合同履行过程中，如成交供应商提供的产品不符合采购文件技术需求及要求，或提供虚假承诺的，采购人有权按相关规定做违约处理，采购人将依据相关法律规定追究成交供应商的责任，由此带来的一切损失由成交供应商自行承担。</w:t>
            </w:r>
          </w:p>
          <w:p>
            <w:pPr>
              <w:spacing w:line="300" w:lineRule="exact"/>
              <w:rPr>
                <w:highlight w:val="none"/>
              </w:rPr>
            </w:pPr>
            <w:r>
              <w:rPr>
                <w:rFonts w:hint="eastAsia"/>
                <w:highlight w:val="none"/>
                <w:lang w:val="en-US" w:eastAsia="zh-CN"/>
              </w:rPr>
              <w:t>7</w:t>
            </w:r>
            <w:r>
              <w:rPr>
                <w:rFonts w:hint="eastAsia"/>
                <w:highlight w:val="none"/>
              </w:rPr>
              <w:t>、所有产品均负责运输至指定地点，并安装调试完毕</w:t>
            </w:r>
            <w:r>
              <w:rPr>
                <w:rFonts w:hint="eastAsia"/>
                <w:highlight w:val="none"/>
                <w:lang w:eastAsia="zh-CN"/>
              </w:rPr>
              <w:t>，</w:t>
            </w:r>
            <w:r>
              <w:rPr>
                <w:rFonts w:hint="eastAsia"/>
                <w:highlight w:val="none"/>
                <w:lang w:val="en-US" w:eastAsia="zh-CN"/>
              </w:rPr>
              <w:t>调试正常运行方可开展验收</w:t>
            </w:r>
            <w:r>
              <w:rPr>
                <w:rFonts w:hint="eastAsia"/>
                <w:highlight w:val="none"/>
              </w:rPr>
              <w:t>。</w:t>
            </w:r>
          </w:p>
          <w:p>
            <w:pPr>
              <w:spacing w:line="300" w:lineRule="exact"/>
              <w:rPr>
                <w:highlight w:val="none"/>
              </w:rPr>
            </w:pPr>
            <w:r>
              <w:rPr>
                <w:rFonts w:hint="eastAsia"/>
                <w:highlight w:val="none"/>
                <w:lang w:val="en-US" w:eastAsia="zh-CN"/>
              </w:rPr>
              <w:t>8</w:t>
            </w:r>
            <w:r>
              <w:rPr>
                <w:rFonts w:hint="eastAsia"/>
                <w:highlight w:val="none"/>
              </w:rPr>
              <w:t>、采购文件、成交供应商竞标承诺及采购合同约定的附件、工具、技术资料等齐全；提供产品使用说明书、合格证。</w:t>
            </w:r>
          </w:p>
          <w:p>
            <w:pPr>
              <w:spacing w:line="300" w:lineRule="exact"/>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864" w:type="pct"/>
            <w:vAlign w:val="center"/>
          </w:tcPr>
          <w:p>
            <w:pPr>
              <w:spacing w:line="300" w:lineRule="exact"/>
              <w:jc w:val="center"/>
              <w:rPr>
                <w:rFonts w:ascii="宋体" w:hAnsi="宋体"/>
                <w:szCs w:val="21"/>
                <w:highlight w:val="none"/>
              </w:rPr>
            </w:pPr>
            <w:r>
              <w:rPr>
                <w:rFonts w:hint="eastAsia" w:ascii="宋体" w:hAnsi="宋体"/>
                <w:szCs w:val="21"/>
                <w:highlight w:val="none"/>
              </w:rPr>
              <w:t>付款方式</w:t>
            </w:r>
          </w:p>
        </w:tc>
        <w:tc>
          <w:tcPr>
            <w:tcW w:w="4135" w:type="pct"/>
            <w:vAlign w:val="center"/>
          </w:tcPr>
          <w:p>
            <w:pPr>
              <w:spacing w:line="300" w:lineRule="exact"/>
              <w:rPr>
                <w:rFonts w:ascii="宋体" w:hAnsi="宋体"/>
                <w:szCs w:val="21"/>
                <w:highlight w:val="none"/>
              </w:rPr>
            </w:pPr>
            <w:r>
              <w:rPr>
                <w:rFonts w:hint="eastAsia" w:ascii="宋体" w:hAnsi="宋体" w:cs="宋体"/>
                <w:b/>
                <w:color w:val="auto"/>
                <w:kern w:val="0"/>
                <w:sz w:val="22"/>
                <w:highlight w:val="none"/>
              </w:rPr>
              <w:t>★</w:t>
            </w:r>
            <w:r>
              <w:rPr>
                <w:rFonts w:hint="eastAsia" w:ascii="宋体" w:hAnsi="宋体"/>
                <w:szCs w:val="21"/>
                <w:highlight w:val="none"/>
                <w:lang w:val="en-US" w:eastAsia="zh-CN"/>
              </w:rPr>
              <w:t>1</w:t>
            </w:r>
            <w:r>
              <w:rPr>
                <w:rFonts w:hint="eastAsia" w:ascii="宋体" w:hAnsi="宋体"/>
                <w:szCs w:val="21"/>
                <w:highlight w:val="none"/>
              </w:rPr>
              <w:t>项目整体供货安装、调试完成并验收合格后，一次性付清全部合同款（无预付款，无息）。付款前成交供应商开具等额增值税发票给采购人。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864" w:type="pct"/>
            <w:vAlign w:val="center"/>
          </w:tcPr>
          <w:p>
            <w:pPr>
              <w:spacing w:line="300" w:lineRule="exact"/>
              <w:jc w:val="center"/>
              <w:rPr>
                <w:rFonts w:ascii="宋体" w:hAnsi="宋体"/>
                <w:szCs w:val="21"/>
                <w:highlight w:val="none"/>
              </w:rPr>
            </w:pPr>
            <w:r>
              <w:rPr>
                <w:rFonts w:hint="eastAsia" w:ascii="宋体" w:hAnsi="宋体"/>
                <w:szCs w:val="21"/>
                <w:highlight w:val="none"/>
              </w:rPr>
              <w:t>履约保证金</w:t>
            </w:r>
          </w:p>
        </w:tc>
        <w:tc>
          <w:tcPr>
            <w:tcW w:w="4135" w:type="pct"/>
            <w:vAlign w:val="center"/>
          </w:tcPr>
          <w:p>
            <w:pPr>
              <w:spacing w:line="300" w:lineRule="exact"/>
              <w:rPr>
                <w:rFonts w:ascii="宋体" w:hAnsi="宋体"/>
                <w:szCs w:val="21"/>
                <w:highlight w:val="none"/>
              </w:rPr>
            </w:pPr>
            <w:r>
              <w:rPr>
                <w:rFonts w:hint="eastAsia" w:ascii="宋体" w:hAnsi="宋体" w:cs="宋体"/>
                <w:b/>
                <w:color w:val="auto"/>
                <w:kern w:val="0"/>
                <w:sz w:val="22"/>
                <w:highlight w:val="none"/>
              </w:rPr>
              <w:t>★</w:t>
            </w:r>
            <w:r>
              <w:rPr>
                <w:rFonts w:hint="eastAsia" w:ascii="宋体" w:hAnsi="宋体"/>
                <w:szCs w:val="21"/>
                <w:highlight w:val="none"/>
              </w:rPr>
              <w:t>1、履约保证金金额：</w:t>
            </w:r>
            <w:r>
              <w:rPr>
                <w:rFonts w:hint="eastAsia" w:ascii="宋体" w:hAnsi="宋体"/>
                <w:szCs w:val="21"/>
                <w:highlight w:val="none"/>
              </w:rPr>
              <w:t>履约保证金为合同金额的</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zCs w:val="21"/>
                <w:highlight w:val="none"/>
              </w:rPr>
              <w:t>，签订合同前须交至指定账户，否则不予签订合同。（履约保证金缴纳时须备注项目编号。）</w:t>
            </w:r>
          </w:p>
          <w:p>
            <w:pPr>
              <w:spacing w:line="300" w:lineRule="exact"/>
              <w:rPr>
                <w:rFonts w:ascii="宋体" w:hAnsi="宋体"/>
                <w:szCs w:val="21"/>
                <w:highlight w:val="none"/>
              </w:rPr>
            </w:pPr>
            <w:r>
              <w:rPr>
                <w:rFonts w:hint="eastAsia" w:ascii="宋体" w:hAnsi="宋体"/>
                <w:szCs w:val="21"/>
                <w:highlight w:val="none"/>
              </w:rPr>
              <w:t>2、履约保证金递交方式：银行转账或者银行出具的保函等非现金方式。</w:t>
            </w:r>
          </w:p>
          <w:p>
            <w:pPr>
              <w:spacing w:line="300" w:lineRule="exact"/>
              <w:rPr>
                <w:rFonts w:ascii="宋体" w:hAnsi="宋体"/>
                <w:szCs w:val="21"/>
                <w:highlight w:val="none"/>
              </w:rPr>
            </w:pPr>
            <w:r>
              <w:rPr>
                <w:rFonts w:hint="eastAsia" w:ascii="宋体" w:hAnsi="宋体"/>
                <w:szCs w:val="21"/>
                <w:highlight w:val="none"/>
              </w:rPr>
              <w:t>3、履约保证金退付方式、时间及条件：</w:t>
            </w:r>
          </w:p>
          <w:p>
            <w:pPr>
              <w:spacing w:line="300" w:lineRule="exact"/>
              <w:rPr>
                <w:rFonts w:ascii="宋体" w:hAnsi="宋体"/>
                <w:szCs w:val="21"/>
                <w:highlight w:val="none"/>
              </w:rPr>
            </w:pPr>
            <w:r>
              <w:rPr>
                <w:rFonts w:hint="eastAsia" w:ascii="宋体" w:hAnsi="宋体"/>
                <w:szCs w:val="21"/>
                <w:highlight w:val="none"/>
              </w:rPr>
              <w:t>（1）成交供应商若不能完全履行合同，履约保证金不返还；</w:t>
            </w:r>
          </w:p>
          <w:p>
            <w:pPr>
              <w:spacing w:line="300" w:lineRule="exact"/>
              <w:rPr>
                <w:rFonts w:ascii="宋体" w:hAnsi="宋体"/>
                <w:szCs w:val="21"/>
                <w:highlight w:val="none"/>
              </w:rPr>
            </w:pPr>
            <w:r>
              <w:rPr>
                <w:rFonts w:hint="eastAsia" w:ascii="宋体" w:hAnsi="宋体"/>
                <w:szCs w:val="21"/>
                <w:highlight w:val="none"/>
              </w:rPr>
              <w:t>（2）成交供应商若完全履行合同，在项目整体验收合格后，成交供应商凭履约保证金财务凭证到采购人财务部门办理无息退还手续。</w:t>
            </w:r>
          </w:p>
          <w:p>
            <w:pPr>
              <w:spacing w:line="300" w:lineRule="exact"/>
              <w:rPr>
                <w:rFonts w:ascii="宋体" w:hAnsi="宋体"/>
                <w:szCs w:val="21"/>
                <w:highlight w:val="none"/>
              </w:rPr>
            </w:pPr>
            <w:r>
              <w:rPr>
                <w:rFonts w:hint="eastAsia" w:ascii="宋体" w:hAnsi="宋体"/>
                <w:szCs w:val="21"/>
                <w:highlight w:val="none"/>
              </w:rPr>
              <w:t>4、备注：</w:t>
            </w:r>
          </w:p>
          <w:p>
            <w:pPr>
              <w:spacing w:line="300" w:lineRule="exact"/>
              <w:rPr>
                <w:rFonts w:ascii="宋体" w:hAnsi="宋体"/>
                <w:szCs w:val="21"/>
                <w:highlight w:val="none"/>
              </w:rPr>
            </w:pPr>
            <w:r>
              <w:rPr>
                <w:rFonts w:hint="eastAsia" w:ascii="宋体" w:hAnsi="宋体"/>
                <w:szCs w:val="21"/>
                <w:highlight w:val="none"/>
              </w:rPr>
              <w:t>（1）保函的覆盖时间原则上要覆盖质保期。</w:t>
            </w:r>
          </w:p>
          <w:p>
            <w:pPr>
              <w:spacing w:line="300" w:lineRule="exact"/>
              <w:rPr>
                <w:rFonts w:ascii="宋体" w:hAnsi="宋体"/>
                <w:szCs w:val="21"/>
                <w:highlight w:val="none"/>
              </w:rPr>
            </w:pPr>
            <w:r>
              <w:rPr>
                <w:rFonts w:hint="eastAsia" w:ascii="宋体" w:hAnsi="宋体"/>
                <w:szCs w:val="21"/>
                <w:highlight w:val="none"/>
              </w:rPr>
              <w:t>（2）履约保证金不足额缴纳的，或银行出具的保函额度不足的或者保函有效期不足的，不予签订合同。</w:t>
            </w:r>
          </w:p>
          <w:p>
            <w:pPr>
              <w:spacing w:line="300" w:lineRule="exact"/>
              <w:rPr>
                <w:rFonts w:ascii="宋体" w:hAnsi="宋体"/>
                <w:szCs w:val="21"/>
                <w:highlight w:val="none"/>
              </w:rPr>
            </w:pPr>
            <w:r>
              <w:rPr>
                <w:rFonts w:hint="eastAsia" w:ascii="宋体" w:hAnsi="宋体"/>
                <w:szCs w:val="21"/>
                <w:highlight w:val="none"/>
              </w:rPr>
              <w:t>（3）采用银行出具的保函的，必须为无条件保函，否则不予签订合同。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864" w:type="pct"/>
            <w:vAlign w:val="center"/>
          </w:tcPr>
          <w:p>
            <w:pPr>
              <w:spacing w:line="320" w:lineRule="exact"/>
              <w:jc w:val="center"/>
              <w:rPr>
                <w:rFonts w:ascii="宋体" w:hAnsi="宋体"/>
                <w:szCs w:val="21"/>
                <w:highlight w:val="none"/>
              </w:rPr>
            </w:pPr>
            <w:r>
              <w:rPr>
                <w:rFonts w:hint="eastAsia" w:ascii="宋体" w:hAnsi="宋体"/>
                <w:szCs w:val="21"/>
                <w:highlight w:val="none"/>
              </w:rPr>
              <w:t>其他要求</w:t>
            </w:r>
          </w:p>
        </w:tc>
        <w:tc>
          <w:tcPr>
            <w:tcW w:w="4135" w:type="pct"/>
            <w:vAlign w:val="center"/>
          </w:tcPr>
          <w:p>
            <w:pPr>
              <w:spacing w:line="300" w:lineRule="exact"/>
              <w:rPr>
                <w:rFonts w:hint="eastAsia" w:ascii="宋体" w:hAnsi="宋体"/>
                <w:szCs w:val="21"/>
                <w:highlight w:val="none"/>
              </w:rPr>
            </w:pPr>
            <w:r>
              <w:rPr>
                <w:rFonts w:hint="eastAsia" w:ascii="宋体" w:hAnsi="宋体"/>
                <w:szCs w:val="21"/>
                <w:highlight w:val="none"/>
              </w:rPr>
              <w:t>★1、本项目货物不接受进口产品（即通过中国海关报关验放进入中国境内且产自关境外的产品）参与投标。</w:t>
            </w:r>
          </w:p>
          <w:p>
            <w:pPr>
              <w:spacing w:line="300" w:lineRule="exact"/>
              <w:rPr>
                <w:rFonts w:hint="eastAsia" w:ascii="宋体" w:hAnsi="宋体" w:eastAsiaTheme="minorEastAsia"/>
                <w:szCs w:val="21"/>
                <w:highlight w:val="none"/>
                <w:lang w:eastAsia="zh-CN"/>
              </w:rPr>
            </w:pPr>
            <w:r>
              <w:rPr>
                <w:rFonts w:hint="eastAsia" w:ascii="宋体" w:hAnsi="宋体"/>
                <w:szCs w:val="21"/>
                <w:highlight w:val="none"/>
              </w:rPr>
              <w:t>2、本项目为总价包干（投标人自行考虑完成项目所需的辅材（含</w:t>
            </w:r>
            <w:r>
              <w:rPr>
                <w:rFonts w:hint="eastAsia" w:ascii="宋体" w:hAnsi="宋体"/>
                <w:szCs w:val="21"/>
                <w:highlight w:val="none"/>
                <w:lang w:eastAsia="zh-CN"/>
              </w:rPr>
              <w:t>镀锌钢</w:t>
            </w:r>
            <w:r>
              <w:rPr>
                <w:rFonts w:hint="eastAsia" w:ascii="宋体" w:hAnsi="宋体"/>
                <w:szCs w:val="21"/>
                <w:highlight w:val="none"/>
              </w:rPr>
              <w:t>管）、杂配件、墙壁打孔、安装、税金等费用，投标报价中应包含全部内容，中标后采购人不再另行支付额外费用），报价为采购人指定地点的现场交货价，总价包括</w:t>
            </w:r>
            <w:r>
              <w:rPr>
                <w:rFonts w:hint="eastAsia" w:ascii="宋体" w:hAnsi="宋体"/>
                <w:szCs w:val="21"/>
                <w:highlight w:val="none"/>
                <w:lang w:eastAsia="zh-CN"/>
              </w:rPr>
              <w:t>：</w:t>
            </w:r>
          </w:p>
          <w:p>
            <w:pPr>
              <w:spacing w:line="300" w:lineRule="exact"/>
              <w:rPr>
                <w:rFonts w:hint="eastAsia" w:ascii="宋体" w:hAnsi="宋体"/>
                <w:szCs w:val="21"/>
                <w:highlight w:val="none"/>
              </w:rPr>
            </w:pPr>
            <w:r>
              <w:rPr>
                <w:rFonts w:hint="eastAsia" w:ascii="宋体" w:hAnsi="宋体"/>
                <w:szCs w:val="21"/>
                <w:highlight w:val="none"/>
              </w:rPr>
              <w:t>（1）使用场地原有设备拆除，场地清理和恢复等；</w:t>
            </w:r>
          </w:p>
          <w:p>
            <w:pPr>
              <w:spacing w:line="300" w:lineRule="exact"/>
              <w:rPr>
                <w:rFonts w:hint="eastAsia" w:ascii="宋体" w:hAnsi="宋体"/>
                <w:szCs w:val="21"/>
                <w:highlight w:val="none"/>
              </w:rPr>
            </w:pPr>
            <w:r>
              <w:rPr>
                <w:rFonts w:hint="eastAsia" w:ascii="宋体" w:hAnsi="宋体"/>
                <w:szCs w:val="21"/>
                <w:highlight w:val="none"/>
              </w:rPr>
              <w:t>（2）运输、装卸、调试、培训、技术支持、售后服务等费用；</w:t>
            </w:r>
          </w:p>
          <w:p>
            <w:pPr>
              <w:spacing w:line="300" w:lineRule="exact"/>
              <w:rPr>
                <w:rFonts w:hint="eastAsia" w:ascii="宋体" w:hAnsi="宋体"/>
                <w:szCs w:val="21"/>
                <w:highlight w:val="none"/>
              </w:rPr>
            </w:pPr>
            <w:r>
              <w:rPr>
                <w:rFonts w:hint="eastAsia" w:ascii="宋体" w:hAnsi="宋体"/>
                <w:szCs w:val="21"/>
                <w:highlight w:val="none"/>
              </w:rPr>
              <w:t>（3）货物及标准附件、备品备件、专用工具的价格；必要的保险费用和各项税费；</w:t>
            </w:r>
          </w:p>
          <w:p>
            <w:pPr>
              <w:spacing w:line="300" w:lineRule="exact"/>
              <w:rPr>
                <w:rFonts w:hint="eastAsia" w:ascii="宋体" w:hAnsi="宋体"/>
                <w:szCs w:val="21"/>
                <w:highlight w:val="none"/>
              </w:rPr>
            </w:pPr>
            <w:r>
              <w:rPr>
                <w:rFonts w:hint="eastAsia" w:ascii="宋体" w:hAnsi="宋体"/>
                <w:szCs w:val="21"/>
                <w:highlight w:val="none"/>
              </w:rPr>
              <w:t>（4）包括安装费用（含安装时所需全部辅材和人工，含支架、水磨墙孔、耦合器底盒、铜管、保温套管、包扎带、电源线、排水管以及线路改造等等，保证所有空调的安装和使用）；</w:t>
            </w:r>
          </w:p>
          <w:p>
            <w:pPr>
              <w:spacing w:line="300" w:lineRule="exact"/>
              <w:rPr>
                <w:rFonts w:hint="eastAsia" w:ascii="宋体" w:hAnsi="宋体"/>
                <w:szCs w:val="21"/>
                <w:highlight w:val="none"/>
              </w:rPr>
            </w:pPr>
            <w:r>
              <w:rPr>
                <w:rFonts w:hint="eastAsia" w:ascii="宋体" w:hAnsi="宋体"/>
                <w:szCs w:val="21"/>
                <w:highlight w:val="none"/>
              </w:rPr>
              <w:t>（5）送货上门的费用；</w:t>
            </w:r>
          </w:p>
          <w:p>
            <w:pPr>
              <w:spacing w:line="300" w:lineRule="exact"/>
              <w:rPr>
                <w:rFonts w:hint="eastAsia" w:ascii="宋体" w:hAnsi="宋体"/>
                <w:szCs w:val="21"/>
                <w:highlight w:val="none"/>
              </w:rPr>
            </w:pPr>
            <w:r>
              <w:rPr>
                <w:rFonts w:hint="eastAsia" w:ascii="宋体" w:hAnsi="宋体"/>
                <w:szCs w:val="21"/>
                <w:highlight w:val="none"/>
              </w:rPr>
              <w:t>（6）到现场验收的费用；</w:t>
            </w:r>
          </w:p>
          <w:p>
            <w:pPr>
              <w:spacing w:line="300" w:lineRule="exact"/>
              <w:rPr>
                <w:rFonts w:hint="eastAsia" w:ascii="宋体" w:hAnsi="宋体"/>
                <w:szCs w:val="21"/>
                <w:highlight w:val="none"/>
              </w:rPr>
            </w:pPr>
            <w:r>
              <w:rPr>
                <w:rFonts w:hint="eastAsia" w:ascii="宋体" w:hAnsi="宋体"/>
                <w:szCs w:val="21"/>
                <w:highlight w:val="none"/>
              </w:rPr>
              <w:t>（7）邀请相关部门的有关专家参与现场验收，并出具有效的验收结论文书或证明的费用；</w:t>
            </w:r>
          </w:p>
          <w:p>
            <w:pPr>
              <w:spacing w:line="300" w:lineRule="exact"/>
              <w:rPr>
                <w:rFonts w:hint="eastAsia" w:ascii="宋体" w:hAnsi="宋体"/>
                <w:szCs w:val="21"/>
                <w:highlight w:val="none"/>
              </w:rPr>
            </w:pPr>
            <w:r>
              <w:rPr>
                <w:rFonts w:hint="eastAsia" w:ascii="宋体" w:hAnsi="宋体"/>
                <w:szCs w:val="21"/>
                <w:highlight w:val="none"/>
              </w:rPr>
              <w:t>（8）各类机型包含所有安装辅材及调试的费用。</w:t>
            </w:r>
          </w:p>
          <w:p>
            <w:pPr>
              <w:spacing w:line="300" w:lineRule="exact"/>
              <w:rPr>
                <w:rFonts w:hint="eastAsia" w:ascii="宋体" w:hAnsi="宋体"/>
                <w:szCs w:val="21"/>
                <w:highlight w:val="none"/>
              </w:rPr>
            </w:pPr>
            <w:r>
              <w:rPr>
                <w:rFonts w:hint="eastAsia" w:ascii="宋体" w:hAnsi="宋体"/>
                <w:szCs w:val="21"/>
                <w:highlight w:val="none"/>
              </w:rPr>
              <w:t>（９）主机基础材料及制作费用、主机和内机的吊装费用、主机控制系统和配电柜等。</w:t>
            </w:r>
          </w:p>
          <w:p>
            <w:pPr>
              <w:spacing w:line="320" w:lineRule="exact"/>
              <w:rPr>
                <w:rFonts w:ascii="宋体" w:hAnsi="宋体"/>
                <w:szCs w:val="21"/>
                <w:highlight w:val="none"/>
              </w:rPr>
            </w:pPr>
            <w:r>
              <w:rPr>
                <w:rFonts w:ascii="宋体" w:hAnsi="宋体"/>
                <w:bCs/>
                <w:color w:val="auto"/>
                <w:szCs w:val="21"/>
                <w:highlight w:val="none"/>
              </w:rPr>
              <w:t>3</w:t>
            </w:r>
            <w:r>
              <w:rPr>
                <w:rFonts w:hint="eastAsia" w:ascii="宋体" w:hAnsi="宋体"/>
                <w:bCs/>
                <w:color w:val="auto"/>
                <w:szCs w:val="21"/>
                <w:highlight w:val="none"/>
              </w:rPr>
              <w:t>、</w:t>
            </w:r>
            <w:r>
              <w:rPr>
                <w:rFonts w:hint="eastAsia"/>
                <w:color w:val="auto"/>
                <w:szCs w:val="21"/>
                <w:highlight w:val="none"/>
              </w:rPr>
              <w:t>本次采购货物中空调设备如属于财库</w:t>
            </w:r>
            <w:r>
              <w:rPr>
                <w:color w:val="auto"/>
                <w:szCs w:val="21"/>
                <w:highlight w:val="none"/>
              </w:rPr>
              <w:t>[2019]19</w:t>
            </w:r>
            <w:r>
              <w:rPr>
                <w:rFonts w:hint="eastAsia"/>
                <w:color w:val="auto"/>
                <w:szCs w:val="21"/>
                <w:highlight w:val="none"/>
              </w:rPr>
              <w:t>号文列明的政府强制采购节能产品品目清单范围的，供货时须提供国家确定的认证机构出具的、处于有效期之内的节能产品认证证书复印件。</w:t>
            </w:r>
          </w:p>
        </w:tc>
      </w:tr>
    </w:tbl>
    <w:p>
      <w:pPr>
        <w:rPr>
          <w:highlight w:val="none"/>
        </w:rPr>
      </w:pPr>
    </w:p>
    <w:p>
      <w:pPr>
        <w:jc w:val="center"/>
        <w:rPr>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F90C7"/>
    <w:multiLevelType w:val="singleLevel"/>
    <w:tmpl w:val="CD1F90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mYTVjOTM2OTVjOGQ0OGM5Y2I4MjdhMWQ5NjExN2QifQ=="/>
  </w:docVars>
  <w:rsids>
    <w:rsidRoot w:val="00C26C2E"/>
    <w:rsid w:val="000874CB"/>
    <w:rsid w:val="00115EC0"/>
    <w:rsid w:val="00181116"/>
    <w:rsid w:val="004E41D8"/>
    <w:rsid w:val="00521E31"/>
    <w:rsid w:val="005965A4"/>
    <w:rsid w:val="006759DC"/>
    <w:rsid w:val="006802F7"/>
    <w:rsid w:val="00703B01"/>
    <w:rsid w:val="007528DA"/>
    <w:rsid w:val="0078008F"/>
    <w:rsid w:val="00796EF6"/>
    <w:rsid w:val="0086044B"/>
    <w:rsid w:val="00990A4C"/>
    <w:rsid w:val="00A14B79"/>
    <w:rsid w:val="00B20DF2"/>
    <w:rsid w:val="00B77960"/>
    <w:rsid w:val="00C26C2E"/>
    <w:rsid w:val="00DC2AA7"/>
    <w:rsid w:val="00E14837"/>
    <w:rsid w:val="00E64348"/>
    <w:rsid w:val="00F4090D"/>
    <w:rsid w:val="039609ED"/>
    <w:rsid w:val="04243DB5"/>
    <w:rsid w:val="044B3E85"/>
    <w:rsid w:val="04B74C29"/>
    <w:rsid w:val="04FE26C7"/>
    <w:rsid w:val="05962A91"/>
    <w:rsid w:val="05C04FA9"/>
    <w:rsid w:val="06AD1A6A"/>
    <w:rsid w:val="081845DE"/>
    <w:rsid w:val="09EB1644"/>
    <w:rsid w:val="0AF838A6"/>
    <w:rsid w:val="0B366E73"/>
    <w:rsid w:val="0BE81B6C"/>
    <w:rsid w:val="0CE32FEC"/>
    <w:rsid w:val="0EB866A6"/>
    <w:rsid w:val="0F4C2EA3"/>
    <w:rsid w:val="0FE4089C"/>
    <w:rsid w:val="11710289"/>
    <w:rsid w:val="1216271F"/>
    <w:rsid w:val="125E0EE8"/>
    <w:rsid w:val="128B14A3"/>
    <w:rsid w:val="12DB6F6D"/>
    <w:rsid w:val="12E806A4"/>
    <w:rsid w:val="1478062D"/>
    <w:rsid w:val="14A5315E"/>
    <w:rsid w:val="1554409C"/>
    <w:rsid w:val="16A44B2E"/>
    <w:rsid w:val="17D05D44"/>
    <w:rsid w:val="1991739F"/>
    <w:rsid w:val="1A5D6A3F"/>
    <w:rsid w:val="1C006AB9"/>
    <w:rsid w:val="1D4B3D09"/>
    <w:rsid w:val="1DCB6BF8"/>
    <w:rsid w:val="1E5D0198"/>
    <w:rsid w:val="1FA17FAC"/>
    <w:rsid w:val="209C3810"/>
    <w:rsid w:val="21771570"/>
    <w:rsid w:val="21830772"/>
    <w:rsid w:val="223A09AB"/>
    <w:rsid w:val="2665408D"/>
    <w:rsid w:val="26D23A93"/>
    <w:rsid w:val="27772BA6"/>
    <w:rsid w:val="29DF7CB3"/>
    <w:rsid w:val="2A336250"/>
    <w:rsid w:val="2B336121"/>
    <w:rsid w:val="2C300C99"/>
    <w:rsid w:val="2CD458B0"/>
    <w:rsid w:val="2F3D0481"/>
    <w:rsid w:val="300B279F"/>
    <w:rsid w:val="3089066E"/>
    <w:rsid w:val="30AC28B9"/>
    <w:rsid w:val="314F1BC2"/>
    <w:rsid w:val="316D3DF6"/>
    <w:rsid w:val="316E7B6E"/>
    <w:rsid w:val="31C75D67"/>
    <w:rsid w:val="32C2110C"/>
    <w:rsid w:val="330759F7"/>
    <w:rsid w:val="33386686"/>
    <w:rsid w:val="342C4C62"/>
    <w:rsid w:val="36176A26"/>
    <w:rsid w:val="37773C20"/>
    <w:rsid w:val="38341A41"/>
    <w:rsid w:val="3A06468C"/>
    <w:rsid w:val="3A35391F"/>
    <w:rsid w:val="3AD8706D"/>
    <w:rsid w:val="3BB0325D"/>
    <w:rsid w:val="3DC6320C"/>
    <w:rsid w:val="3E784DF3"/>
    <w:rsid w:val="3E854C3E"/>
    <w:rsid w:val="3F087854"/>
    <w:rsid w:val="3F307E8F"/>
    <w:rsid w:val="3F724CCD"/>
    <w:rsid w:val="3F780536"/>
    <w:rsid w:val="40E246F2"/>
    <w:rsid w:val="40EF6BC5"/>
    <w:rsid w:val="41C7371B"/>
    <w:rsid w:val="42DA5063"/>
    <w:rsid w:val="438003D7"/>
    <w:rsid w:val="439D67BD"/>
    <w:rsid w:val="447D374F"/>
    <w:rsid w:val="45B74796"/>
    <w:rsid w:val="46A14816"/>
    <w:rsid w:val="474D234C"/>
    <w:rsid w:val="4A7D4C52"/>
    <w:rsid w:val="4C2A0BBF"/>
    <w:rsid w:val="4CCF19B1"/>
    <w:rsid w:val="4CDD7C2A"/>
    <w:rsid w:val="4F342C01"/>
    <w:rsid w:val="53E67D0C"/>
    <w:rsid w:val="545509EE"/>
    <w:rsid w:val="55064FAD"/>
    <w:rsid w:val="553C1FAB"/>
    <w:rsid w:val="55B1434A"/>
    <w:rsid w:val="56020701"/>
    <w:rsid w:val="56530C1F"/>
    <w:rsid w:val="570D1884"/>
    <w:rsid w:val="571751AB"/>
    <w:rsid w:val="57623B4D"/>
    <w:rsid w:val="57B9722D"/>
    <w:rsid w:val="58751058"/>
    <w:rsid w:val="58DE293D"/>
    <w:rsid w:val="59D84883"/>
    <w:rsid w:val="59ED6BDC"/>
    <w:rsid w:val="5AF80325"/>
    <w:rsid w:val="5BC67079"/>
    <w:rsid w:val="5BEC1C38"/>
    <w:rsid w:val="61D54F1C"/>
    <w:rsid w:val="628539FF"/>
    <w:rsid w:val="62AF4974"/>
    <w:rsid w:val="63692FEF"/>
    <w:rsid w:val="63F248C8"/>
    <w:rsid w:val="641F5EA8"/>
    <w:rsid w:val="64D23995"/>
    <w:rsid w:val="65047D04"/>
    <w:rsid w:val="6544663F"/>
    <w:rsid w:val="65883F22"/>
    <w:rsid w:val="664C61E1"/>
    <w:rsid w:val="671464E6"/>
    <w:rsid w:val="6EBF4F8A"/>
    <w:rsid w:val="6F1C1A81"/>
    <w:rsid w:val="70231149"/>
    <w:rsid w:val="71C805F9"/>
    <w:rsid w:val="71D025FE"/>
    <w:rsid w:val="7301621E"/>
    <w:rsid w:val="732D105C"/>
    <w:rsid w:val="734E051D"/>
    <w:rsid w:val="74640AAD"/>
    <w:rsid w:val="7484001E"/>
    <w:rsid w:val="752A0B92"/>
    <w:rsid w:val="754B3A1B"/>
    <w:rsid w:val="75A153E9"/>
    <w:rsid w:val="75D5396A"/>
    <w:rsid w:val="763F2180"/>
    <w:rsid w:val="774150D6"/>
    <w:rsid w:val="784C1F84"/>
    <w:rsid w:val="788E4D62"/>
    <w:rsid w:val="79382508"/>
    <w:rsid w:val="79F35BCD"/>
    <w:rsid w:val="7B4056A4"/>
    <w:rsid w:val="7C53128A"/>
    <w:rsid w:val="7C94711A"/>
    <w:rsid w:val="7E5E656D"/>
    <w:rsid w:val="7F3C6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3">
    <w:name w:val="heading 4"/>
    <w:basedOn w:val="1"/>
    <w:next w:val="1"/>
    <w:semiHidden/>
    <w:unhideWhenUsed/>
    <w:qFormat/>
    <w:uiPriority w:val="9"/>
    <w:pPr>
      <w:spacing w:before="280" w:after="290" w:line="376" w:lineRule="auto"/>
      <w:outlineLvl w:val="3"/>
    </w:pPr>
    <w:rPr>
      <w:rFonts w:ascii="等线 Light" w:hAnsi="等线 Light" w:eastAsia="等线 Light"/>
      <w:b/>
      <w:bCs/>
      <w:sz w:val="28"/>
      <w:szCs w:val="28"/>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sz w:val="18"/>
      <w:szCs w:val="18"/>
    </w:rPr>
  </w:style>
  <w:style w:type="paragraph" w:styleId="4">
    <w:name w:val="annotation text"/>
    <w:basedOn w:val="1"/>
    <w:link w:val="12"/>
    <w:qFormat/>
    <w:uiPriority w:val="0"/>
    <w:pPr>
      <w:jc w:val="left"/>
    </w:pPr>
  </w:style>
  <w:style w:type="paragraph" w:styleId="5">
    <w:name w:val="Balloon Text"/>
    <w:basedOn w:val="1"/>
    <w:link w:val="13"/>
    <w:qFormat/>
    <w:uiPriority w:val="0"/>
    <w:rPr>
      <w:sz w:val="18"/>
      <w:szCs w:val="18"/>
    </w:rPr>
  </w:style>
  <w:style w:type="paragraph" w:styleId="6">
    <w:name w:val="header"/>
    <w:basedOn w:val="1"/>
    <w:link w:val="15"/>
    <w:qFormat/>
    <w:uiPriority w:val="0"/>
    <w:pPr>
      <w:pBdr>
        <w:bottom w:val="single" w:color="000000" w:sz="6" w:space="1"/>
      </w:pBdr>
      <w:tabs>
        <w:tab w:val="center" w:pos="4153"/>
        <w:tab w:val="right" w:pos="8306"/>
      </w:tabs>
      <w:snapToGrid w:val="0"/>
      <w:jc w:val="center"/>
    </w:pPr>
    <w:rPr>
      <w:sz w:val="18"/>
      <w:szCs w:val="18"/>
    </w:rPr>
  </w:style>
  <w:style w:type="paragraph" w:styleId="7">
    <w:name w:val="toc 1"/>
    <w:basedOn w:val="1"/>
    <w:next w:val="1"/>
    <w:qFormat/>
    <w:uiPriority w:val="0"/>
    <w:pPr>
      <w:spacing w:line="360" w:lineRule="auto"/>
    </w:pPr>
    <w:rPr>
      <w:rFonts w:ascii="宋体" w:hAnsi="宋体" w:eastAsia="宋体"/>
      <w:b/>
      <w:kern w:val="2"/>
      <w:sz w:val="24"/>
    </w:rPr>
  </w:style>
  <w:style w:type="paragraph" w:styleId="8">
    <w:name w:val="annotation subject"/>
    <w:basedOn w:val="4"/>
    <w:next w:val="4"/>
    <w:link w:val="16"/>
    <w:qFormat/>
    <w:uiPriority w:val="0"/>
    <w:rPr>
      <w:b/>
      <w:bCs/>
    </w:rPr>
  </w:style>
  <w:style w:type="character" w:styleId="11">
    <w:name w:val="annotation reference"/>
    <w:qFormat/>
    <w:uiPriority w:val="0"/>
    <w:rPr>
      <w:sz w:val="21"/>
      <w:szCs w:val="21"/>
    </w:rPr>
  </w:style>
  <w:style w:type="character" w:customStyle="1" w:styleId="12">
    <w:name w:val="批注文字 字符"/>
    <w:link w:val="4"/>
    <w:semiHidden/>
    <w:qFormat/>
    <w:uiPriority w:val="0"/>
    <w:rPr>
      <w:rFonts w:ascii="Times New Roman" w:hAnsi="Times New Roman" w:eastAsia="宋体"/>
      <w:szCs w:val="24"/>
    </w:rPr>
  </w:style>
  <w:style w:type="character" w:customStyle="1" w:styleId="13">
    <w:name w:val="批注框文本 字符"/>
    <w:link w:val="5"/>
    <w:semiHidden/>
    <w:qFormat/>
    <w:uiPriority w:val="0"/>
    <w:rPr>
      <w:rFonts w:ascii="Times New Roman" w:hAnsi="Times New Roman" w:eastAsia="宋体"/>
      <w:sz w:val="18"/>
      <w:szCs w:val="18"/>
    </w:rPr>
  </w:style>
  <w:style w:type="character" w:customStyle="1" w:styleId="14">
    <w:name w:val="页脚 字符"/>
    <w:link w:val="2"/>
    <w:qFormat/>
    <w:uiPriority w:val="0"/>
    <w:rPr>
      <w:rFonts w:ascii="Times New Roman" w:hAnsi="Times New Roman" w:eastAsia="宋体"/>
      <w:sz w:val="18"/>
      <w:szCs w:val="18"/>
    </w:rPr>
  </w:style>
  <w:style w:type="character" w:customStyle="1" w:styleId="15">
    <w:name w:val="页眉 字符"/>
    <w:link w:val="6"/>
    <w:qFormat/>
    <w:uiPriority w:val="0"/>
    <w:rPr>
      <w:rFonts w:ascii="Times New Roman" w:hAnsi="Times New Roman" w:eastAsia="宋体"/>
      <w:sz w:val="18"/>
      <w:szCs w:val="18"/>
    </w:rPr>
  </w:style>
  <w:style w:type="character" w:customStyle="1" w:styleId="16">
    <w:name w:val="批注主题 字符"/>
    <w:link w:val="8"/>
    <w:semiHidden/>
    <w:qFormat/>
    <w:uiPriority w:val="0"/>
    <w:rPr>
      <w:rFonts w:ascii="Times New Roman" w:hAnsi="Times New Roman" w:eastAsia="宋体"/>
      <w:b/>
      <w:bCs/>
      <w:szCs w:val="24"/>
    </w:rPr>
  </w:style>
  <w:style w:type="paragraph" w:styleId="17">
    <w:name w:val="List Paragraph"/>
    <w:basedOn w:val="1"/>
    <w:qFormat/>
    <w:uiPriority w:val="0"/>
    <w:pPr>
      <w:ind w:firstLine="420" w:firstLineChars="200"/>
    </w:pPr>
  </w:style>
  <w:style w:type="character" w:customStyle="1" w:styleId="18">
    <w:name w:val="font31"/>
    <w:qFormat/>
    <w:uiPriority w:val="0"/>
    <w:rPr>
      <w:rFonts w:ascii="微软雅黑" w:hAnsi="微软雅黑" w:eastAsia="微软雅黑"/>
      <w:color w:val="000000"/>
      <w:sz w:val="28"/>
      <w:szCs w:val="28"/>
      <w:u w:val="none"/>
    </w:rPr>
  </w:style>
  <w:style w:type="character" w:customStyle="1" w:styleId="19">
    <w:name w:val="font21"/>
    <w:qFormat/>
    <w:uiPriority w:val="0"/>
    <w:rPr>
      <w:rFonts w:ascii="Arial" w:hAnsi="Arial"/>
      <w:color w:val="000000"/>
      <w:sz w:val="28"/>
      <w:szCs w:val="28"/>
      <w:u w:val="none"/>
    </w:rPr>
  </w:style>
  <w:style w:type="character" w:customStyle="1" w:styleId="20">
    <w:name w:val="font11"/>
    <w:qFormat/>
    <w:uiPriority w:val="0"/>
    <w:rPr>
      <w:rFonts w:hint="eastAsia" w:ascii="宋体" w:hAnsi="宋体" w:eastAsia="宋体"/>
      <w:color w:val="000000"/>
      <w:sz w:val="28"/>
      <w:szCs w:val="28"/>
      <w:u w:val="none"/>
    </w:rPr>
  </w:style>
  <w:style w:type="paragraph" w:customStyle="1" w:styleId="21">
    <w:name w:val="Char Char Char3"/>
    <w:basedOn w:val="1"/>
    <w:qFormat/>
    <w:uiPriority w:val="0"/>
    <w:pPr>
      <w:spacing w:after="160" w:line="240" w:lineRule="exact"/>
      <w:jc w:val="left"/>
    </w:pPr>
    <w:rPr>
      <w:rFonts w:ascii="Verdana" w:hAnsi="Verdana" w:eastAsia="宋体"/>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4200</Words>
  <Characters>4549</Characters>
  <Lines>85</Lines>
  <Paragraphs>24</Paragraphs>
  <TotalTime>13</TotalTime>
  <ScaleCrop>false</ScaleCrop>
  <LinksUpToDate>false</LinksUpToDate>
  <CharactersWithSpaces>4675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2022-12-07T03:19:00Z</dcterms:created>
  <dc:creator>谢振宁</dc:creator>
  <cp:lastModifiedBy>Li</cp:lastModifiedBy>
  <cp:lastPrinted>2022-12-08T02:59:00Z</cp:lastPrinted>
  <dcterms:modified xsi:type="dcterms:W3CDTF">2022-12-08T09:20:08Z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C769592A7F0C403E804D9932671DB839</vt:lpwstr>
  </property>
</Properties>
</file>