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宋体" w:hAnsi="宋体" w:eastAsia="宋体"/>
          <w:sz w:val="48"/>
          <w:szCs w:val="48"/>
        </w:rPr>
      </w:pPr>
      <w:r>
        <w:rPr>
          <w:rFonts w:hint="eastAsia" w:ascii="宋体" w:hAnsi="宋体" w:eastAsia="宋体"/>
          <w:sz w:val="48"/>
          <w:szCs w:val="48"/>
        </w:rPr>
        <w:t>采购需求</w:t>
      </w:r>
    </w:p>
    <w:p>
      <w:pPr>
        <w:spacing w:line="360" w:lineRule="auto"/>
        <w:rPr>
          <w:rFonts w:ascii="宋体" w:hAnsi="宋体" w:eastAsia="宋体"/>
          <w:b/>
          <w:bCs/>
          <w:sz w:val="24"/>
          <w:szCs w:val="28"/>
        </w:rPr>
      </w:pPr>
      <w:r>
        <w:rPr>
          <w:rFonts w:hint="eastAsia" w:ascii="宋体" w:hAnsi="宋体" w:eastAsia="宋体"/>
          <w:b/>
          <w:bCs/>
          <w:sz w:val="24"/>
          <w:szCs w:val="28"/>
        </w:rPr>
        <w:t>注：</w:t>
      </w:r>
    </w:p>
    <w:p>
      <w:pPr>
        <w:pStyle w:val="10"/>
        <w:numPr>
          <w:ilvl w:val="0"/>
          <w:numId w:val="1"/>
        </w:numPr>
        <w:spacing w:line="360" w:lineRule="auto"/>
        <w:ind w:firstLineChars="0"/>
        <w:rPr>
          <w:rFonts w:ascii="宋体" w:hAnsi="宋体" w:eastAsia="宋体"/>
          <w:b/>
          <w:bCs/>
          <w:sz w:val="24"/>
          <w:szCs w:val="28"/>
        </w:rPr>
      </w:pPr>
      <w:r>
        <w:rPr>
          <w:rFonts w:hint="eastAsia" w:ascii="宋体" w:hAnsi="宋体" w:eastAsia="宋体"/>
          <w:b/>
          <w:bCs/>
          <w:sz w:val="24"/>
          <w:szCs w:val="28"/>
        </w:rPr>
        <w:t>★参数为实质性需求，未响应即视为无效投标。</w:t>
      </w:r>
    </w:p>
    <w:tbl>
      <w:tblPr>
        <w:tblStyle w:val="8"/>
        <w:tblpPr w:leftFromText="180" w:rightFromText="180" w:vertAnchor="text" w:horzAnchor="page" w:tblpXSpec="center" w:tblpY="456"/>
        <w:tblOverlap w:val="never"/>
        <w:tblW w:w="5471" w:type="pct"/>
        <w:jc w:val="center"/>
        <w:tblLayout w:type="fixed"/>
        <w:tblCellMar>
          <w:top w:w="0" w:type="dxa"/>
          <w:left w:w="108" w:type="dxa"/>
          <w:bottom w:w="0" w:type="dxa"/>
          <w:right w:w="108" w:type="dxa"/>
        </w:tblCellMar>
      </w:tblPr>
      <w:tblGrid>
        <w:gridCol w:w="673"/>
        <w:gridCol w:w="659"/>
        <w:gridCol w:w="3409"/>
        <w:gridCol w:w="645"/>
        <w:gridCol w:w="899"/>
        <w:gridCol w:w="546"/>
        <w:gridCol w:w="540"/>
        <w:gridCol w:w="869"/>
        <w:gridCol w:w="1035"/>
        <w:gridCol w:w="1222"/>
      </w:tblGrid>
      <w:tr>
        <w:tblPrEx>
          <w:tblCellMar>
            <w:top w:w="0" w:type="dxa"/>
            <w:left w:w="108" w:type="dxa"/>
            <w:bottom w:w="0" w:type="dxa"/>
            <w:right w:w="108" w:type="dxa"/>
          </w:tblCellMar>
        </w:tblPrEx>
        <w:trPr>
          <w:jc w:val="center"/>
        </w:trPr>
        <w:tc>
          <w:tcPr>
            <w:tcW w:w="4417" w:type="pct"/>
            <w:gridSpan w:val="9"/>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kern w:val="0"/>
                <w:sz w:val="28"/>
                <w:szCs w:val="28"/>
                <w:lang w:bidi="ar"/>
              </w:rPr>
              <w:t>1、派出所智慧办案区</w:t>
            </w:r>
          </w:p>
        </w:tc>
        <w:tc>
          <w:tcPr>
            <w:tcW w:w="582" w:type="pct"/>
            <w:tcBorders>
              <w:top w:val="single" w:color="000000" w:sz="4" w:space="0"/>
              <w:left w:val="nil"/>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序号</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产品名称</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产品参数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品牌</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型号</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计量单位</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数量</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单价</w:t>
            </w: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备注</w:t>
            </w: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1623" w:type="pct"/>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kern w:val="0"/>
                <w:sz w:val="24"/>
                <w:szCs w:val="24"/>
                <w:lang w:bidi="ar"/>
              </w:rPr>
              <w:t>第一部分：人身检查、信息采集登记一体化功能区</w:t>
            </w:r>
          </w:p>
        </w:tc>
        <w:tc>
          <w:tcPr>
            <w:tcW w:w="307"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260"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多功能智能办案柜</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多功能智能办案柜是一站式解决派出所办案区信息化智能化管理的集成设备，创新性实现办案区办案事务、办案流程、物品存管于一体的集成化应用，可通过人像识别智能识别涉案人员身份，自动核查比对人员背景大数据，集成了派出所办案区全流程数字化办公的全部功能，支持电子签章捺印，内置多个随身物品存管空间。</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产品规格：</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1、全冷轧钢一体化机身，柜子尺寸(高×宽×深)：1900×950×450（mm），开箱即插即用</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2、定制高可靠工业级主板，工控级芯片组，2.0GHz或以上主频高性能CPU，8GB或以上内存， 240GB或以上SSD</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3、1677万色，1920×1080 32英寸（16:9）电容高清显示触控一体化智能屏幕，10点触摸</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4、内置6个随身物品存管单元，每个单元格采用高强度防撬独立锁控</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5、配置多柜体级联控制器</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6、配置多单元格通讯安全控制器</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7、高精度人体感应器，支持10-150cm自适应人体感知</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8、配置角度可调人像比对高清摄像头</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9、内置彩色打印模块、符合公安部标准二代居民身份证读取模块、符合公安部标准二代居民身份证指纹图像采集模块、执法视音频双刻录模块、RFID读取模块</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10、配置一体化可伸缩空间，集成手环存储和充电模组、光盘存储、文书和物品拍摄台、可折叠翻转高清拍摄模组，支持手环充电、大件随身物品拍摄</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11、内置高保真扬声器、功放</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智能算法：</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1、内置人像智能检测及多模态质量评估算法</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2、内置自适应人体感应算法</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主要功能：</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1. </w:t>
            </w:r>
            <w:r>
              <w:rPr>
                <w:rFonts w:hint="eastAsia" w:ascii="宋体" w:hAnsi="宋体" w:eastAsia="宋体"/>
                <w:b/>
                <w:bCs/>
                <w:sz w:val="18"/>
                <w:szCs w:val="18"/>
              </w:rPr>
              <w:t>★</w:t>
            </w:r>
            <w:r>
              <w:rPr>
                <w:rFonts w:hint="eastAsia" w:ascii="微软雅黑" w:hAnsi="微软雅黑" w:eastAsia="微软雅黑" w:cs="微软雅黑"/>
                <w:color w:val="000000"/>
                <w:kern w:val="0"/>
                <w:sz w:val="18"/>
                <w:szCs w:val="18"/>
                <w:lang w:bidi="ar"/>
              </w:rPr>
              <w:t>人员身份信息验证功能：支持通过多种方式（输入用户名和密码、读取电子标签、人脸识别、指纹识别）进行人员身份信息验证（供货时需提供由同时具备CMA、CNAS、CAL检测资质的检测机构出具的硬件设备检测报告复印件，检测报告封面应有以上三项检测资质标识）</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2. </w:t>
            </w:r>
            <w:r>
              <w:rPr>
                <w:rFonts w:hint="eastAsia" w:ascii="宋体" w:hAnsi="宋体" w:eastAsia="宋体"/>
                <w:b/>
                <w:bCs/>
                <w:sz w:val="18"/>
                <w:szCs w:val="18"/>
              </w:rPr>
              <w:t>★</w:t>
            </w:r>
            <w:r>
              <w:rPr>
                <w:rFonts w:hint="eastAsia" w:ascii="微软雅黑" w:hAnsi="微软雅黑" w:eastAsia="微软雅黑" w:cs="微软雅黑"/>
                <w:color w:val="000000"/>
                <w:kern w:val="0"/>
                <w:sz w:val="18"/>
                <w:szCs w:val="18"/>
                <w:lang w:bidi="ar"/>
              </w:rPr>
              <w:t>入区登记管理功能：可对检测到的人脸图像进行入区登记，1次同屏可进行6人同时入区登记，如识别为已注册的人脸用户时，可显示相应的用户名，入区登记的人员身份类型可选，可将登记人员关联相关警情和案件编号，并支持对人员发放电子标签，完成入区登记后可显示人员处于入区登记状态（供货时需提供由同时具备CMA、CNAS、CAL检测资质的检测机构出具的硬件设备检测报告复印件，检测报告封面应有以上三项检测资质标识）</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3. 身份信息核查显示功能：可支持输入公民身份号码，并可对调取到的人员身份信息在触控屏上进行显示</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4. 临时离区办理功能：支持触控屏上操作1次同屏中可对1-6位登记入区的人员办理临时离开登记，办理完成后可显示人员处于临时离开状态</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5. 返回登记办理功能：支持触控屏上操作1次同屏中选择1-6位已临时离开的人员办理返回登记，办理完成后可显示人员处于入区登记状态</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6. 离开登记办理功能：支持在触控屏上操作1次同屏中选择1-6位人员办理办结离区</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 办案信息关联功能：支持触控屏操作将涉案人员与案件、警情信息进行关联</w:t>
            </w:r>
          </w:p>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8. </w:t>
            </w:r>
            <w:r>
              <w:rPr>
                <w:rFonts w:hint="eastAsia" w:ascii="宋体" w:hAnsi="宋体" w:eastAsia="宋体"/>
                <w:b/>
                <w:bCs/>
                <w:sz w:val="18"/>
                <w:szCs w:val="18"/>
              </w:rPr>
              <w:t>★</w:t>
            </w:r>
            <w:r>
              <w:rPr>
                <w:rFonts w:hint="eastAsia" w:ascii="微软雅黑" w:hAnsi="微软雅黑" w:eastAsia="微软雅黑" w:cs="微软雅黑"/>
                <w:color w:val="000000"/>
                <w:kern w:val="0"/>
                <w:sz w:val="18"/>
                <w:szCs w:val="18"/>
                <w:lang w:bidi="ar"/>
              </w:rPr>
              <w:t>办案审核报告查看功能：触控屏上支持查看包含涉案人员是否在逃、是否有违法犯罪记录、是否有吸毒记录及是否有警综涉案记录等在内的办案审核报告（供货时需提供由同时具备CMA、CNAS、CAL检测资质的检测机构出具的硬件设备检测报告复印件，检测报告封面应有以上三项检测资质标识）</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9. </w:t>
            </w:r>
            <w:r>
              <w:rPr>
                <w:rFonts w:hint="eastAsia" w:ascii="宋体" w:hAnsi="宋体" w:eastAsia="宋体"/>
                <w:b/>
                <w:bCs/>
                <w:sz w:val="18"/>
                <w:szCs w:val="18"/>
              </w:rPr>
              <w:t>★</w:t>
            </w:r>
            <w:r>
              <w:rPr>
                <w:rFonts w:hint="eastAsia" w:ascii="微软雅黑" w:hAnsi="微软雅黑" w:eastAsia="微软雅黑" w:cs="微软雅黑"/>
                <w:color w:val="000000"/>
                <w:kern w:val="0"/>
                <w:sz w:val="18"/>
                <w:szCs w:val="18"/>
                <w:lang w:bidi="ar"/>
              </w:rPr>
              <w:t>随身物品存管功能：支持对涉案人员随身物品进行登记，可录入物品名称、数量等信息，并由高拍仪拍摄物品照片，以手动或自动方式完成柜格分配后，可自动开启响应的柜门（供货时需提供由同时具备CMA、CNAS、CAL检测资质的检测机构出具的硬件设备检测报告复印件，检测报告封面应有以上三项检测资质标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10.</w:t>
            </w:r>
            <w:r>
              <w:rPr>
                <w:rFonts w:hint="eastAsia" w:ascii="宋体" w:hAnsi="宋体" w:eastAsia="宋体"/>
                <w:b/>
                <w:bCs/>
                <w:sz w:val="24"/>
                <w:szCs w:val="28"/>
              </w:rPr>
              <w:t>★</w:t>
            </w:r>
            <w:r>
              <w:rPr>
                <w:rFonts w:hint="eastAsia" w:ascii="宋体" w:hAnsi="宋体" w:eastAsia="宋体" w:cs="宋体"/>
                <w:b/>
                <w:szCs w:val="21"/>
              </w:rPr>
              <w:t>对接防城港市公安局的“办案区管理信息系统”</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北科软件</w:t>
            </w:r>
          </w:p>
        </w:tc>
        <w:tc>
          <w:tcPr>
            <w:tcW w:w="428" w:type="pct"/>
            <w:tcBorders>
              <w:top w:val="single" w:color="808080" w:sz="4" w:space="0"/>
              <w:left w:val="single" w:color="808080" w:sz="4" w:space="0"/>
              <w:bottom w:val="single" w:color="808080" w:sz="4" w:space="0"/>
              <w:right w:val="single" w:color="80808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Smart X-Box2151</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18"/>
                <w:szCs w:val="18"/>
                <w:lang w:bidi="ar"/>
              </w:rPr>
              <w:t>主要功能：</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1、人像识别；</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2、背景核查；</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3、出入管控；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4、物品存管；</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5、办案管理；</w:t>
            </w: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全景监控</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200万1/2.8”CMOS ICR日夜型半球型网络摄像机，最高分辨率可达2M(1920 × 1080)@ 25fps，可输出Full HD 1080p实时图像、可支持PoE供电功能、支持3D数字降噪、支持双码流、防暴等级支持IK10，可靠性高、具有两轴调节功能。</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海康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DS-2CD6725EFWD-IS</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初查室、走廊</w:t>
            </w: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拾音器</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高保真拾音器，抗回声、抗啸叫，适用于审讯室、会议室等空旷房间安装</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思正</w:t>
            </w:r>
          </w:p>
        </w:tc>
        <w:tc>
          <w:tcPr>
            <w:tcW w:w="428" w:type="pct"/>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COTT-QD25</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初查室、走廊</w:t>
            </w: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1623" w:type="pct"/>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kern w:val="0"/>
                <w:sz w:val="24"/>
                <w:szCs w:val="24"/>
                <w:lang w:bidi="ar"/>
              </w:rPr>
              <w:t>第六部分：动态定位设备</w:t>
            </w:r>
          </w:p>
        </w:tc>
        <w:tc>
          <w:tcPr>
            <w:tcW w:w="307"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color w:val="00000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color w:val="000000"/>
                <w:sz w:val="18"/>
                <w:szCs w:val="18"/>
              </w:rPr>
            </w:pPr>
          </w:p>
        </w:tc>
        <w:tc>
          <w:tcPr>
            <w:tcW w:w="260"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室内高精度定位基站</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频段范：6.2GHz~6.7GHz/发射功率密度：≤-41.3dBm/Mhz/接收灵敏度：≤-90dBm/天线类型：内置全向天线/天线增益：2dBi/通信范围：15-20m/测距精度：10cm级/刷新率：0.1Hz-30Hz，可调/产品编号：全球唯一固化ID，不可更改/状态指示：LED闪烁/状态监测：防盗按键检测/电量检测</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尺寸：150mm×150mm×30mm/重量：300g/防护等级：IP43/安装方式：卡槽滑道/工作温度：-20-75℃/存储温度：-40-80℃/工作湿度：10%-90%无凝结/存储湿度：5%-95%无凝结/认证支持：CMIIT</w:t>
            </w:r>
          </w:p>
        </w:tc>
        <w:tc>
          <w:tcPr>
            <w:tcW w:w="307" w:type="pct"/>
            <w:tcBorders>
              <w:top w:val="single" w:color="808080" w:sz="4" w:space="0"/>
              <w:left w:val="single" w:color="808080" w:sz="4" w:space="0"/>
              <w:bottom w:val="single" w:color="808080" w:sz="4" w:space="0"/>
              <w:right w:val="single" w:color="80808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清研讯科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U1000-X</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民警定位办案卡</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警员专用办案卡，IP43防水，内置UWB定位芯片及RFID识读芯片、大容量电池及电池优化芯片；卡片式设计，用于办案民警携带，可精确定位警员位置。</w:t>
            </w:r>
          </w:p>
        </w:tc>
        <w:tc>
          <w:tcPr>
            <w:tcW w:w="307" w:type="pct"/>
            <w:tcBorders>
              <w:top w:val="single" w:color="808080" w:sz="4" w:space="0"/>
              <w:left w:val="single" w:color="808080" w:sz="4" w:space="0"/>
              <w:bottom w:val="single" w:color="808080" w:sz="4" w:space="0"/>
              <w:right w:val="single" w:color="80808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清研讯科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TB1000-G</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防拆卸定位手环</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防拆卸专用手环，IP68防水，内置UWB定位芯片及RFID识读芯片、大容量电池及电池优化芯片；专用防拆卸锁扣及特殊防剪切材质，用于涉案人员佩戴，可精确定位人员位置。</w:t>
            </w:r>
          </w:p>
        </w:tc>
        <w:tc>
          <w:tcPr>
            <w:tcW w:w="307" w:type="pct"/>
            <w:tcBorders>
              <w:top w:val="single" w:color="808080" w:sz="4" w:space="0"/>
              <w:left w:val="single" w:color="808080" w:sz="4" w:space="0"/>
              <w:bottom w:val="single" w:color="808080" w:sz="4" w:space="0"/>
              <w:right w:val="single" w:color="80808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清研讯科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TB4000-b</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拆卸工具</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电子腕带拆卸专用，用于在押人员腕带上锁及解锁使用。</w:t>
            </w:r>
          </w:p>
        </w:tc>
        <w:tc>
          <w:tcPr>
            <w:tcW w:w="307" w:type="pct"/>
            <w:tcBorders>
              <w:top w:val="single" w:color="808080" w:sz="4" w:space="0"/>
              <w:left w:val="single" w:color="808080" w:sz="4" w:space="0"/>
              <w:bottom w:val="single" w:color="808080" w:sz="4" w:space="0"/>
              <w:right w:val="single" w:color="80808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清研讯科</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TB4000-b-1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个</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交换设备</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POE24口千兆；连接定位基站</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华为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S1730S-L24P-MA</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室内高精度定位引擎服务器（少于20个基站的场所）</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一体化软硬件集成的专用服务器，支持通过超宽带高精度定位协议，接入执法办案场所的人员定位信息，并通过内置的区域位置计算算法、图形解析算法以及智能分析算法对区域内人员的活动轨迹进行精准跟踪。</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产品规格：</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1U机架式服务器/1颗高性能CPU，主频不低于2.0GHZ/不少于8GB内存/不少于2块600GB高速硬盘；实现硬RAID1结构/3网卡隔离设计/内置高精度室内定位嵌入式系统/可对接不超过20个室内定位基站的数据接入和集成数据处理；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智能算法：</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智能适配算法：兼容多种基于超宽带信号系统的定位数据接入与坐标智能解析（支持大区域、支持多层级）；</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生理特征分析算法；支持心率等生物特征传感采集设备数据的接入和智能分析；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智能位置算法：包括区域运算、信号监测、智能预警,内置多维位置计算、2D/3D地图解析、实时坐标映射翻译、事件计算引擎、活动轨迹拟合等算法；支持基于Websocket协议适用于Web展示的实时通讯数据；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主要功能：</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接收区域内定位标签和基站传输的实时精准位置数据；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通过内置算法将定位数据清洗运算后获得区域内人员的实时活动位置及轨迹；</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依托位置计算结合业务规则对执法办案管理中心可能出现的单人讯问、无人看管、逃脱、越界等● 多种风险事件实现智能预警；</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通过图形解析能力，为执法办案管理中心可视化展示的系统提供定位标签实时的坐标数据、区域● 数据或摄像头数据，通过“视随人动”的方式实现执法办案管理中心的可视化监管。</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全面留存位置数据、活动数据、区域分析数据，为全过程执法记录提供精准的时空数据支持；</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诊断服务：服务运行情况的监测和故障排除</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配置服务：服务器的参数设定及维护和管理</w:t>
            </w:r>
            <w:r>
              <w:rPr>
                <w:rFonts w:hint="eastAsia" w:ascii="微软雅黑" w:hAnsi="微软雅黑" w:eastAsia="微软雅黑" w:cs="微软雅黑"/>
                <w:color w:val="000000"/>
                <w:kern w:val="0"/>
                <w:sz w:val="18"/>
                <w:szCs w:val="18"/>
                <w:lang w:bidi="ar"/>
              </w:rPr>
              <w:br w:type="textWrapping"/>
            </w:r>
            <w:r>
              <w:rPr>
                <w:rFonts w:hint="eastAsia" w:ascii="宋体" w:hAnsi="宋体" w:eastAsia="宋体"/>
                <w:b/>
                <w:bCs/>
                <w:sz w:val="24"/>
                <w:szCs w:val="28"/>
              </w:rPr>
              <w:t>★</w:t>
            </w:r>
            <w:r>
              <w:rPr>
                <w:rFonts w:hint="eastAsia" w:ascii="宋体" w:hAnsi="宋体" w:eastAsia="宋体" w:cs="宋体"/>
                <w:b/>
                <w:szCs w:val="21"/>
              </w:rPr>
              <w:t>对接防城港市公安局的“办案区管理信息系统”</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北科软件</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InnoLCS2103_PCS</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动态定位设备安装辅材</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六类非屏蔽双绞线等</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313"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1623" w:type="pct"/>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kern w:val="0"/>
                <w:sz w:val="24"/>
                <w:szCs w:val="24"/>
                <w:lang w:bidi="ar"/>
              </w:rPr>
              <w:t>第八部分：软件及基础支撑</w:t>
            </w:r>
          </w:p>
        </w:tc>
        <w:tc>
          <w:tcPr>
            <w:tcW w:w="307"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260"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一体化视音频融合级联网关设备</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视音频处理专用服务器主机/专用CPU,单颗4核，主频2.0GHZ/2*8GB  DDR4内存；600GB硬盘/100M/1000M自适应 x 2网口/热插拔550w冗余电源（双电源）/双网隔离/内置视音频处理嵌入式软件与主流厂商视音频设备、标准协议和厂商私有协议的适配，通过二维、准三维图形访问视音频采集设备，接入满足国标或国际标准的执法办案管理中心全部实时视音频数据、历史视音频数据的接入、转码、播放。</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主要功能：</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电源热备份：支持电源模块冗余热备份，任一电源模块故障不会影响系统供电；</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散热系统：冗余散热系统设计，保证系统7×24小时稳定运行；</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接入执法办案管理中心的视音频设备的注册、登记和有效管理；接口自动感知、注册、管理全部视音频设备。</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多网段接入：通过多网段接入功能，可同时接入多个相互隔离的网段间的终端设备，在保证网络安全的情况下实现跨网部署；</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NAT防火墙穿越：提供基于HTTP的多媒体传输模式，任何网络通讯无障碍；</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将审讯电脑工作桌面以视频流方式整合推送，单独推送笔录实时窗口的应用。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免插件播放：基于HTML5网页播放器，浏览器免插件，兼容PC和移动WEB收看直播；</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主流NVR/DVR的设备通过国标协议进行历史文件检索与视频回放，通过时间节点筛选播放。</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支持点播、回放：可通过WEB浏览器登陆进行回放，回放时可进行开始、暂停、恢复、停止及播放点等操作；</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提供HTTP 接口：基于标准HTTP/JSON的API接口，符合REST设计风格，可与第三方系统集成；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上级部门平台发起的实时视音频通话请求，实现自上而下远程督导、远程指挥、远程监督的能力；</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监控服务：实时资源状态监控，可根据对资源的实时警告数据进行及时处理；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跨平台、多种浏览器访问，在移动警务终端上查看视音频的能力；和上级执法监督管理平台接入能力</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码流采集服务：支持RTSP/GB28181协议，将前端设备码流以rtp over udp、rtp over tcp等低延迟方式采集到服务器。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高性能转码服务：通过编解码引擎，将采集端的数据流视音频进行终端适配编码，使其可以兼容多种平台播放以实现画面秒开、极低延时。</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流媒体分发：支持UDP/TCP国标RTP推流，可以转换成RTSP/RT</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MP/HLS等流媒体协议，支持H264/H265/AAC/G711/OPUS编码。</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实时画面截图：支持REST API生成并返回接入设备的实时截图。</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PTZ云台控制：支持PTZ云台前端设备通过GB28181协议实现上、下、左、右、放大、缩小操作。</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数据流管理：支持基于GB28181协议的前端设备信息同步以及离在线监控。</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组播地址转变为单播地址：节点系统可实现将局域网直播流组播地址，转化为对外的单播地址，解决组播跨网段的问题，同时实现对其加密。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高并发稳定性：通过流媒体服务节点，可以解决人数高并发时期系统的稳定性。</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数据流智能监控：支持按需拉流，无人观看自动关断拉流以及支持先拉流后推流，提高及时推流画面打开率。</w:t>
            </w:r>
            <w:r>
              <w:rPr>
                <w:rFonts w:hint="eastAsia" w:ascii="微软雅黑" w:hAnsi="微软雅黑" w:eastAsia="微软雅黑" w:cs="微软雅黑"/>
                <w:color w:val="000000"/>
                <w:kern w:val="0"/>
                <w:sz w:val="18"/>
                <w:szCs w:val="18"/>
                <w:lang w:bidi="ar"/>
              </w:rPr>
              <w:br w:type="textWrapping"/>
            </w:r>
            <w:r>
              <w:rPr>
                <w:rFonts w:hint="eastAsia" w:ascii="宋体" w:hAnsi="宋体" w:eastAsia="宋体"/>
                <w:b/>
                <w:bCs/>
                <w:sz w:val="24"/>
                <w:szCs w:val="28"/>
              </w:rPr>
              <w:t>★</w:t>
            </w:r>
            <w:r>
              <w:rPr>
                <w:rFonts w:hint="eastAsia" w:ascii="宋体" w:hAnsi="宋体" w:eastAsia="宋体" w:cs="宋体"/>
                <w:b/>
                <w:szCs w:val="21"/>
              </w:rPr>
              <w:t>对接防城港市公安局的“执法监督管理平台”</w:t>
            </w:r>
            <w:r>
              <w:rPr>
                <w:rFonts w:hint="eastAsia" w:ascii="宋体" w:hAnsi="宋体" w:eastAsia="宋体" w:cs="宋体"/>
                <w:b/>
                <w:szCs w:val="21"/>
              </w:rPr>
              <w:br w:type="textWrapping"/>
            </w:r>
            <w:r>
              <w:rPr>
                <w:rFonts w:hint="eastAsia" w:ascii="宋体" w:hAnsi="宋体" w:eastAsia="宋体"/>
                <w:b/>
                <w:bCs/>
                <w:sz w:val="24"/>
                <w:szCs w:val="28"/>
              </w:rPr>
              <w:t>★</w:t>
            </w:r>
            <w:r>
              <w:rPr>
                <w:rFonts w:hint="eastAsia" w:ascii="宋体" w:hAnsi="宋体" w:eastAsia="宋体" w:cs="宋体"/>
                <w:b/>
                <w:szCs w:val="21"/>
              </w:rPr>
              <w:t>对接广西公安执法监督平台</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FF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全区域三维数字建模展示服务</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办案中心全区域测绘、三维模型建模、数字化可视展示服务</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北科软件</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系统集成</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系统集成：含人工、设备安装调试、软件系统部署调试及培训工作</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313" w:type="pct"/>
            <w:tcBorders>
              <w:top w:val="single" w:color="000000" w:sz="4" w:space="0"/>
              <w:left w:val="single" w:color="000000" w:sz="4" w:space="0"/>
              <w:bottom w:val="single" w:color="000000" w:sz="4" w:space="0"/>
              <w:right w:val="single" w:color="000000" w:sz="4" w:space="0"/>
            </w:tcBorders>
            <w:shd w:val="clear" w:color="auto" w:fill="9BC2E6"/>
            <w:vAlign w:val="center"/>
          </w:tcPr>
          <w:p>
            <w:pPr>
              <w:rPr>
                <w:rFonts w:ascii="微软雅黑" w:hAnsi="微软雅黑" w:eastAsia="微软雅黑" w:cs="微软雅黑"/>
                <w:b/>
                <w:bCs/>
                <w:color w:val="000000"/>
                <w:sz w:val="28"/>
                <w:szCs w:val="28"/>
              </w:rPr>
            </w:pPr>
          </w:p>
        </w:tc>
        <w:tc>
          <w:tcPr>
            <w:tcW w:w="1623" w:type="pct"/>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left"/>
              <w:textAlignment w:val="center"/>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kern w:val="0"/>
                <w:sz w:val="24"/>
                <w:szCs w:val="24"/>
                <w:lang w:bidi="ar"/>
              </w:rPr>
              <w:t>第九部分：弱电综合布线系统</w:t>
            </w:r>
          </w:p>
        </w:tc>
        <w:tc>
          <w:tcPr>
            <w:tcW w:w="307" w:type="pct"/>
            <w:tcBorders>
              <w:top w:val="single" w:color="000000" w:sz="4" w:space="0"/>
              <w:left w:val="single" w:color="000000" w:sz="4" w:space="0"/>
              <w:bottom w:val="single" w:color="000000" w:sz="4" w:space="0"/>
              <w:right w:val="single" w:color="000000" w:sz="4" w:space="0"/>
            </w:tcBorders>
            <w:shd w:val="clear" w:color="auto" w:fill="9BC2E6"/>
            <w:vAlign w:val="center"/>
          </w:tcPr>
          <w:p>
            <w:pPr>
              <w:rPr>
                <w:rFonts w:ascii="微软雅黑" w:hAnsi="微软雅黑" w:eastAsia="微软雅黑" w:cs="微软雅黑"/>
                <w:b/>
                <w:bCs/>
                <w:color w:val="000000"/>
                <w:sz w:val="28"/>
                <w:szCs w:val="28"/>
              </w:rPr>
            </w:pPr>
          </w:p>
        </w:tc>
        <w:tc>
          <w:tcPr>
            <w:tcW w:w="428"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b/>
                <w:bCs/>
                <w:color w:val="000000"/>
                <w:sz w:val="28"/>
                <w:szCs w:val="28"/>
              </w:rPr>
            </w:pPr>
          </w:p>
        </w:tc>
        <w:tc>
          <w:tcPr>
            <w:tcW w:w="260" w:type="pct"/>
            <w:tcBorders>
              <w:top w:val="single" w:color="000000" w:sz="4" w:space="0"/>
              <w:left w:val="single" w:color="000000" w:sz="4" w:space="0"/>
              <w:bottom w:val="single" w:color="000000" w:sz="4" w:space="0"/>
              <w:right w:val="single" w:color="000000" w:sz="4" w:space="0"/>
            </w:tcBorders>
            <w:shd w:val="clear" w:color="auto" w:fill="9BC2E6"/>
            <w:vAlign w:val="center"/>
          </w:tcPr>
          <w:p>
            <w:pPr>
              <w:rPr>
                <w:rFonts w:ascii="微软雅黑" w:hAnsi="微软雅黑" w:eastAsia="微软雅黑" w:cs="微软雅黑"/>
                <w:b/>
                <w:bCs/>
                <w:color w:val="000000"/>
                <w:sz w:val="28"/>
                <w:szCs w:val="28"/>
              </w:rPr>
            </w:pPr>
          </w:p>
        </w:tc>
        <w:tc>
          <w:tcPr>
            <w:tcW w:w="257" w:type="pct"/>
            <w:tcBorders>
              <w:top w:val="single" w:color="000000" w:sz="4" w:space="0"/>
              <w:left w:val="single" w:color="000000" w:sz="4" w:space="0"/>
              <w:bottom w:val="single" w:color="000000" w:sz="4" w:space="0"/>
              <w:right w:val="single" w:color="000000" w:sz="4" w:space="0"/>
            </w:tcBorders>
            <w:shd w:val="clear" w:color="auto" w:fill="9BC2E6"/>
            <w:vAlign w:val="center"/>
          </w:tcPr>
          <w:p>
            <w:pPr>
              <w:rPr>
                <w:rFonts w:ascii="微软雅黑" w:hAnsi="微软雅黑" w:eastAsia="微软雅黑" w:cs="微软雅黑"/>
                <w:b/>
                <w:bCs/>
                <w:color w:val="000000"/>
                <w:sz w:val="28"/>
                <w:szCs w:val="28"/>
              </w:rPr>
            </w:pPr>
          </w:p>
        </w:tc>
        <w:tc>
          <w:tcPr>
            <w:tcW w:w="413" w:type="pct"/>
            <w:tcBorders>
              <w:top w:val="single" w:color="000000" w:sz="4" w:space="0"/>
              <w:left w:val="single" w:color="000000" w:sz="4" w:space="0"/>
              <w:bottom w:val="single" w:color="000000" w:sz="4" w:space="0"/>
              <w:right w:val="single" w:color="000000" w:sz="4" w:space="0"/>
            </w:tcBorders>
            <w:shd w:val="clear" w:color="auto" w:fill="9BC2E6"/>
            <w:vAlign w:val="center"/>
          </w:tcPr>
          <w:p>
            <w:pPr>
              <w:rPr>
                <w:rFonts w:ascii="微软雅黑" w:hAnsi="微软雅黑" w:eastAsia="微软雅黑" w:cs="微软雅黑"/>
                <w:b/>
                <w:bCs/>
                <w:color w:val="000000"/>
                <w:sz w:val="28"/>
                <w:szCs w:val="28"/>
              </w:rPr>
            </w:pPr>
          </w:p>
        </w:tc>
        <w:tc>
          <w:tcPr>
            <w:tcW w:w="492" w:type="pct"/>
            <w:tcBorders>
              <w:top w:val="single" w:color="000000" w:sz="4" w:space="0"/>
              <w:left w:val="single" w:color="000000" w:sz="4" w:space="0"/>
              <w:bottom w:val="single" w:color="000000" w:sz="4" w:space="0"/>
              <w:right w:val="single" w:color="000000" w:sz="4" w:space="0"/>
            </w:tcBorders>
            <w:shd w:val="clear" w:color="auto" w:fill="9BC2E6"/>
            <w:vAlign w:val="center"/>
          </w:tcPr>
          <w:p>
            <w:pPr>
              <w:rPr>
                <w:rFonts w:ascii="微软雅黑" w:hAnsi="微软雅黑" w:eastAsia="微软雅黑" w:cs="微软雅黑"/>
                <w:b/>
                <w:bCs/>
                <w:color w:val="000000"/>
                <w:sz w:val="28"/>
                <w:szCs w:val="28"/>
              </w:rPr>
            </w:pPr>
          </w:p>
        </w:tc>
        <w:tc>
          <w:tcPr>
            <w:tcW w:w="582" w:type="pct"/>
            <w:tcBorders>
              <w:top w:val="single" w:color="000000" w:sz="4" w:space="0"/>
              <w:left w:val="single" w:color="000000" w:sz="4" w:space="0"/>
              <w:bottom w:val="single" w:color="000000" w:sz="4" w:space="0"/>
              <w:right w:val="single" w:color="000000" w:sz="4" w:space="0"/>
            </w:tcBorders>
            <w:shd w:val="clear" w:color="auto" w:fill="9BC2E6"/>
            <w:noWrap/>
            <w:vAlign w:val="center"/>
          </w:tcPr>
          <w:p>
            <w:pP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弱电综合布线系统</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综合布线与管道及线路辅材</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UPS主机</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1.本项目要求采用在线式双变换高频型UPS，单进单出，容量不低于6kVA/5.4kW。</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2.输出为额定阻性负载时，输入电压范围应不小于：176~264VAC。</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3.输入电压与频率为额定值时，输出为额定100%非线性负载时，输入功率因数应＞0.99。</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4.输入电压与频率为额定值，输出为额定100%非线性负载时，输入电流总谐波成份应 ≤1.5%。</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5.输出为空载和额定阻性负载，调节输入电压为UPS上、下限值时，其稳压精度应≤0.5%。</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6.输出额定电压应220/230/240VAC可调。</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7.额定输出功率因数应≥0.9。</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8.输入电压波形失真度≤5%，输出额定阻性负载与非线性负载，输出电压波形失真度应为：100%市电阻性负载：≤1.0%，100%市电非线性负载：≤2.4%。</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9.输入电压为额定值，输出为额定100%阻性负载时，系统效率应≥90.3%。</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10.过载能力：输入电压为额定值，输出为阻性负载，调节输出电流，使输出功率为额定值的125%，正常工作时间应≥1min。</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11.外接电池电压：不低于192VDC一组。</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12.应具备直流冷启动功能：UPS主机在没有接入市电时，可通过蓄电池组直接开机。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13.应具备并机功能，支持不少于3台并机运行。</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14.UPS主机人机界面应配置LCD显示屏，同时应配置LED故障、状态显示灯，方便现场运维。</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15.须标配RS232端口，免费提供通讯协议及监控软件，软件应支持大部分常用操作系统。可支持本地监控，或多台UPS主机集中监控。</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16.应支持选配MODBUS卡，支持两个RJ45端口，支持MODBUS-RTU协议，无需额外加配软硬件。</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17.应支持选配智能监控卡，可实现UPS远程监控，最大200台UPS集中监控；可远程关闭服务器、最大可实现控制200台服务器自动关机。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18.应支持选配干接点监控卡，实现UPS状态及故障告警采用干接点信号的方式输出。</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商宇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HP1106H</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电池</w:t>
            </w:r>
          </w:p>
        </w:tc>
        <w:tc>
          <w:tcPr>
            <w:tcW w:w="1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1.本项目应采用阀控式密封铅酸蓄电池，单节蓄电池标称电压12V，单节蓄电池容量：≥100Ah。</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2.为保证本项目现场联调方便，保证供货及时性及售后服务高效性，要求蓄电池与UPS主机同一品牌。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3.蓄电池正常浮充状态下，其浮充设计寿命可达10年以上。</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4.单节蓄电池净重量应不低于28KG。</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5.蓄电池外壳应采用符合UL94V-0标准的ABS防火材料。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6.蓄电池极板应采用板栅合金工艺，要求抗腐蚀性能及深循环性能良好，要求自放电小；接线板、终端接头应采用导电性能优良的材料，并具有防腐蚀措施。</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7.蓄电池外观无变形、漏液、裂纹及污迹，标识清晰；正、负极端子有明显标志，便于连接。</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8.蓄电池阻燃性能应符合YD/T799-2010中第6.4条的要求。</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9.蓄电池应能承受50kPa的正压或负压而不破裂、不开胶，压力释放后壳体无残余变形。</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10.蓄电池以30I10（A）放电3min，极柱不应熔断，内部汇流排不应熔断，其外观不得出现异常。</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11.蓄电池静置28天后容量保存率应≥97.9%。</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12.蓄电池密封反应效率应≥96.8%。</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13.蓄电池安全阀开阀压力应在10~35kPa范围内，闭阀压力应在3~30kPa范围内。</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14.完全充电后的蓄电池以0.3I10A连续充电160h，无变形、无漏液。</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15.蓄电池间连接电压降应≤5.3mV</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16.防爆性能：蓄电池充电过程中遇明火，内部应不引燃、不引爆。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17.蓄电池内阻应≤3.2mΩ，同组蓄电池内阻偏差应≤10.3%。</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18.低温敏感性：蓄电池10h率容量应≥0.93C10，外观应无破裂，过度膨胀及槽、盖分离现象。</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19.同组蓄电池10h率容量试验时，最大实际容量与最小实际容量差值应≤2.3%</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商宇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GW12100</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电池柜</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1.本项目每台电池柜（架）可安装1组蓄电池，每组蓄电池应配套独立的蓄电池开关。</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2.电池柜须满足GB/T 2423.17-2008《电工电子产品环境试验》标准要求，通过盐雾试验合格，投标时须提供同类电池柜盐雾检验报告复印件。</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本项目报价应包含蓄电池间的连接线缆，及电池组到UPS主机的连接线缆。</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C16</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线路改造</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原有监控、照明、门禁系统、电脑、同步录音录像等线路改造成由UPS供电、UPS输入为市电，含20米内的电源线、辅材、人工</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机柜</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标准服务器机柜 22U</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 22U</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UPS辅材</w:t>
            </w:r>
          </w:p>
        </w:tc>
        <w:tc>
          <w:tcPr>
            <w:tcW w:w="16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电池UPS连接线、电池连线、铜鼻子，热缩管，搬运等</w:t>
            </w:r>
          </w:p>
        </w:tc>
        <w:tc>
          <w:tcPr>
            <w:tcW w:w="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定制</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jc w:val="center"/>
        </w:trPr>
        <w:tc>
          <w:tcPr>
            <w:tcW w:w="3253" w:type="pct"/>
            <w:gridSpan w:val="6"/>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center"/>
              <w:textAlignment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kern w:val="0"/>
                <w:sz w:val="28"/>
                <w:szCs w:val="28"/>
                <w:lang w:bidi="ar"/>
              </w:rPr>
              <w:t>合计人民币（元）</w:t>
            </w:r>
          </w:p>
        </w:tc>
        <w:tc>
          <w:tcPr>
            <w:tcW w:w="1164" w:type="pct"/>
            <w:gridSpan w:val="3"/>
            <w:tcBorders>
              <w:top w:val="single" w:color="000000" w:sz="4" w:space="0"/>
              <w:left w:val="single" w:color="000000" w:sz="4" w:space="0"/>
              <w:bottom w:val="single" w:color="000000" w:sz="4" w:space="0"/>
              <w:right w:val="single" w:color="000000" w:sz="4" w:space="0"/>
            </w:tcBorders>
            <w:shd w:val="clear" w:color="auto" w:fill="9BC2E6"/>
            <w:vAlign w:val="center"/>
          </w:tcPr>
          <w:p>
            <w:pPr>
              <w:widowControl/>
              <w:jc w:val="center"/>
              <w:textAlignment w:val="center"/>
              <w:rPr>
                <w:rFonts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lang w:bidi="ar"/>
              </w:rPr>
              <w:t xml:space="preserve"> </w:t>
            </w:r>
          </w:p>
        </w:tc>
        <w:tc>
          <w:tcPr>
            <w:tcW w:w="582" w:type="pct"/>
            <w:tcBorders>
              <w:top w:val="single" w:color="000000" w:sz="4" w:space="0"/>
              <w:left w:val="single" w:color="000000" w:sz="4" w:space="0"/>
              <w:bottom w:val="single" w:color="000000" w:sz="4" w:space="0"/>
              <w:right w:val="single" w:color="000000" w:sz="4" w:space="0"/>
            </w:tcBorders>
            <w:shd w:val="clear" w:color="auto" w:fill="9BC2E6"/>
            <w:vAlign w:val="center"/>
          </w:tcPr>
          <w:p>
            <w:pPr>
              <w:jc w:val="center"/>
              <w:rPr>
                <w:rFonts w:ascii="微软雅黑" w:hAnsi="微软雅黑" w:eastAsia="微软雅黑" w:cs="微软雅黑"/>
                <w:color w:val="000000"/>
                <w:sz w:val="18"/>
                <w:szCs w:val="18"/>
              </w:rPr>
            </w:pPr>
          </w:p>
        </w:tc>
      </w:tr>
      <w:tr>
        <w:tblPrEx>
          <w:tblCellMar>
            <w:top w:w="0" w:type="dxa"/>
            <w:left w:w="108" w:type="dxa"/>
            <w:bottom w:w="0" w:type="dxa"/>
            <w:right w:w="108" w:type="dxa"/>
          </w:tblCellMar>
        </w:tblPrEx>
        <w:trPr>
          <w:trHeight w:val="3897"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pacing w:line="420" w:lineRule="atLeast"/>
              <w:jc w:val="left"/>
              <w:rPr>
                <w:rFonts w:hAnsi="宋体" w:eastAsia="宋体" w:cs="宋体"/>
                <w:sz w:val="21"/>
              </w:rPr>
            </w:pPr>
            <w:r>
              <w:rPr>
                <w:rFonts w:hint="eastAsia" w:hAnsi="宋体" w:eastAsia="宋体" w:cs="宋体"/>
                <w:b/>
                <w:sz w:val="21"/>
              </w:rPr>
              <w:t>一、合同签订期：</w:t>
            </w:r>
            <w:r>
              <w:rPr>
                <w:rFonts w:hint="eastAsia" w:hAnsi="宋体" w:eastAsia="宋体" w:cs="宋体"/>
                <w:sz w:val="21"/>
              </w:rPr>
              <w:t>自成交通知书发出之日起</w:t>
            </w:r>
            <w:r>
              <w:rPr>
                <w:rFonts w:hint="eastAsia" w:hAnsi="宋体" w:eastAsia="宋体" w:cs="宋体"/>
                <w:sz w:val="21"/>
                <w:lang w:val="en-US" w:eastAsia="zh-CN"/>
              </w:rPr>
              <w:t>7</w:t>
            </w:r>
            <w:r>
              <w:rPr>
                <w:rFonts w:hint="eastAsia" w:hAnsi="宋体" w:eastAsia="宋体" w:cs="宋体"/>
                <w:sz w:val="21"/>
              </w:rPr>
              <w:t>个工作日内签订合同。</w:t>
            </w:r>
          </w:p>
          <w:p>
            <w:pPr>
              <w:pStyle w:val="4"/>
              <w:spacing w:line="420" w:lineRule="atLeast"/>
              <w:jc w:val="left"/>
              <w:rPr>
                <w:rFonts w:hAnsi="宋体" w:eastAsia="宋体" w:cs="宋体"/>
                <w:sz w:val="21"/>
              </w:rPr>
            </w:pPr>
            <w:r>
              <w:rPr>
                <w:rFonts w:hint="eastAsia" w:hAnsi="宋体" w:eastAsia="宋体" w:cs="宋体"/>
                <w:b/>
                <w:sz w:val="21"/>
              </w:rPr>
              <w:t>二、交货期：</w:t>
            </w:r>
            <w:r>
              <w:rPr>
                <w:rFonts w:hint="eastAsia" w:hAnsi="宋体" w:eastAsia="宋体" w:cs="宋体"/>
                <w:sz w:val="21"/>
              </w:rPr>
              <w:t>自签订合同之日起</w:t>
            </w:r>
            <w:r>
              <w:rPr>
                <w:rFonts w:hint="eastAsia" w:hAnsi="宋体" w:eastAsia="宋体" w:cs="宋体"/>
                <w:sz w:val="21"/>
                <w:lang w:val="en-US" w:eastAsia="zh-CN"/>
              </w:rPr>
              <w:t>30</w:t>
            </w:r>
            <w:r>
              <w:rPr>
                <w:rFonts w:hint="eastAsia" w:hAnsi="宋体" w:eastAsia="宋体" w:cs="宋体"/>
                <w:sz w:val="21"/>
              </w:rPr>
              <w:t>个日历日内安装、调试完毕，交付使用</w:t>
            </w:r>
          </w:p>
          <w:p>
            <w:pPr>
              <w:pStyle w:val="4"/>
              <w:spacing w:line="420" w:lineRule="atLeast"/>
              <w:jc w:val="left"/>
              <w:rPr>
                <w:rFonts w:hAnsi="宋体" w:eastAsia="宋体" w:cs="宋体"/>
                <w:sz w:val="21"/>
              </w:rPr>
            </w:pPr>
            <w:r>
              <w:rPr>
                <w:rFonts w:hint="eastAsia" w:hAnsi="宋体" w:eastAsia="宋体" w:cs="宋体"/>
                <w:b/>
                <w:sz w:val="21"/>
              </w:rPr>
              <w:t>三、交货地点：</w:t>
            </w:r>
            <w:r>
              <w:rPr>
                <w:rFonts w:hint="eastAsia" w:hAnsi="宋体" w:eastAsia="宋体" w:cs="宋体"/>
                <w:sz w:val="21"/>
              </w:rPr>
              <w:t>采购人指定地点。</w:t>
            </w:r>
          </w:p>
          <w:p>
            <w:pPr>
              <w:pStyle w:val="4"/>
              <w:spacing w:line="420" w:lineRule="atLeast"/>
              <w:jc w:val="left"/>
              <w:rPr>
                <w:rFonts w:hAnsi="宋体" w:eastAsia="宋体" w:cs="宋体"/>
                <w:sz w:val="21"/>
              </w:rPr>
            </w:pPr>
            <w:r>
              <w:rPr>
                <w:rFonts w:hint="eastAsia" w:hAnsi="宋体" w:eastAsia="宋体" w:cs="宋体"/>
                <w:b/>
                <w:sz w:val="21"/>
              </w:rPr>
              <w:t>四、交货方式：</w:t>
            </w:r>
            <w:r>
              <w:rPr>
                <w:rFonts w:hint="eastAsia" w:hAnsi="宋体" w:eastAsia="宋体" w:cs="宋体"/>
                <w:sz w:val="21"/>
              </w:rPr>
              <w:t>现场交货</w:t>
            </w:r>
          </w:p>
          <w:p>
            <w:pPr>
              <w:pStyle w:val="4"/>
              <w:spacing w:line="420" w:lineRule="atLeast"/>
              <w:jc w:val="left"/>
              <w:rPr>
                <w:rFonts w:hAnsi="宋体" w:eastAsia="宋体" w:cs="宋体"/>
                <w:sz w:val="21"/>
              </w:rPr>
            </w:pPr>
            <w:r>
              <w:rPr>
                <w:rFonts w:hint="eastAsia" w:hAnsi="宋体" w:eastAsia="宋体" w:cs="宋体"/>
                <w:b/>
                <w:sz w:val="21"/>
              </w:rPr>
              <w:t>五、货物要求：</w:t>
            </w:r>
            <w:r>
              <w:rPr>
                <w:rFonts w:hint="eastAsia" w:hAnsi="宋体" w:eastAsia="宋体" w:cs="宋体"/>
                <w:sz w:val="21"/>
              </w:rPr>
              <w:t>竞标人所竞标的设备必须是全新、完整、未使用过的优质产品。设备必须为符合国家有关质量安全标准的合格产品。产品零部件、配件、包装及安装材料必须是未经使用的全新的并符合国家有关质量安全标准的合格产品。并确保能够通过全区公安执法办案管理中心检查验收和等级评定的检查验收合格。</w:t>
            </w:r>
          </w:p>
          <w:p>
            <w:pPr>
              <w:pStyle w:val="4"/>
              <w:spacing w:line="420" w:lineRule="atLeast"/>
              <w:jc w:val="left"/>
              <w:rPr>
                <w:rFonts w:hAnsi="宋体" w:eastAsia="宋体" w:cs="宋体"/>
                <w:sz w:val="21"/>
              </w:rPr>
            </w:pPr>
            <w:r>
              <w:rPr>
                <w:rFonts w:hint="eastAsia" w:hAnsi="宋体" w:eastAsia="宋体" w:cs="宋体"/>
                <w:b/>
                <w:sz w:val="21"/>
              </w:rPr>
              <w:t>六、质保期：</w:t>
            </w:r>
            <w:r>
              <w:rPr>
                <w:rFonts w:hint="eastAsia" w:hAnsi="宋体" w:eastAsia="宋体" w:cs="宋体"/>
                <w:sz w:val="21"/>
              </w:rPr>
              <w:t>按国家三包政策，自安装、验收合格并交付使用之日起壹年质保，质保期内免费维修、维护、定期回访。</w:t>
            </w:r>
          </w:p>
          <w:p>
            <w:pPr>
              <w:pStyle w:val="4"/>
              <w:spacing w:line="420" w:lineRule="atLeast"/>
              <w:jc w:val="left"/>
              <w:rPr>
                <w:rFonts w:hAnsi="宋体" w:eastAsia="宋体" w:cs="宋体"/>
                <w:b/>
                <w:sz w:val="21"/>
              </w:rPr>
            </w:pPr>
            <w:r>
              <w:rPr>
                <w:rFonts w:hint="eastAsia" w:hAnsi="宋体" w:eastAsia="宋体" w:cs="宋体"/>
                <w:b/>
                <w:sz w:val="21"/>
              </w:rPr>
              <w:t>七、售后服务：</w:t>
            </w:r>
          </w:p>
          <w:p>
            <w:pPr>
              <w:pStyle w:val="4"/>
              <w:spacing w:line="420" w:lineRule="atLeast"/>
              <w:jc w:val="left"/>
              <w:rPr>
                <w:rFonts w:hAnsi="宋体" w:eastAsia="宋体" w:cs="宋体"/>
                <w:sz w:val="21"/>
              </w:rPr>
            </w:pPr>
            <w:r>
              <w:rPr>
                <w:rFonts w:hint="eastAsia" w:hAnsi="宋体" w:eastAsia="宋体" w:cs="宋体"/>
                <w:sz w:val="21"/>
              </w:rPr>
              <w:t>1、服务响应时间：一般使用问题，接到使用单位要求后实时解决问题；系统发生故障，接到使用单位要求后2个小时内提供解决方案，24小时内解决问题；系统发生严重故障无法运行的，接到使用单位要求后2个小时内提供解决方案，48小时内解决问题。</w:t>
            </w:r>
          </w:p>
          <w:p>
            <w:pPr>
              <w:pStyle w:val="4"/>
              <w:spacing w:line="420" w:lineRule="atLeast"/>
              <w:jc w:val="left"/>
              <w:rPr>
                <w:rFonts w:hAnsi="宋体" w:eastAsia="宋体" w:cs="宋体"/>
                <w:sz w:val="21"/>
              </w:rPr>
            </w:pPr>
            <w:r>
              <w:rPr>
                <w:rFonts w:hint="eastAsia" w:hAnsi="宋体" w:eastAsia="宋体" w:cs="宋体"/>
                <w:sz w:val="21"/>
              </w:rPr>
              <w:t>2、服务响应方式：根据使用单位要求及系统故障情况提供电子邮件、电话、即时通信工具、远程维护以及现场维护等方式。</w:t>
            </w:r>
          </w:p>
          <w:p>
            <w:pPr>
              <w:pStyle w:val="4"/>
              <w:spacing w:line="420" w:lineRule="atLeast"/>
              <w:jc w:val="left"/>
              <w:rPr>
                <w:rFonts w:hAnsi="宋体" w:eastAsia="宋体" w:cs="宋体"/>
                <w:sz w:val="21"/>
              </w:rPr>
            </w:pPr>
            <w:r>
              <w:rPr>
                <w:rFonts w:hint="eastAsia" w:hAnsi="宋体" w:eastAsia="宋体" w:cs="宋体"/>
                <w:b/>
                <w:sz w:val="21"/>
              </w:rPr>
              <w:t>八、付款方式：</w:t>
            </w:r>
            <w:bookmarkStart w:id="0" w:name="_GoBack"/>
            <w:r>
              <w:rPr>
                <w:rFonts w:hint="eastAsia" w:hAnsi="宋体" w:eastAsia="宋体" w:cs="宋体"/>
                <w:sz w:val="21"/>
              </w:rPr>
              <w:t>甲乙双方签订合同</w:t>
            </w:r>
            <w:r>
              <w:rPr>
                <w:rFonts w:hint="eastAsia" w:hAnsi="宋体" w:eastAsia="宋体" w:cs="宋体"/>
                <w:sz w:val="21"/>
                <w:lang w:eastAsia="zh-CN"/>
              </w:rPr>
              <w:t>后</w:t>
            </w:r>
            <w:r>
              <w:rPr>
                <w:rFonts w:hint="eastAsia" w:hAnsi="宋体" w:eastAsia="宋体" w:cs="宋体"/>
                <w:sz w:val="21"/>
              </w:rPr>
              <w:t>，</w:t>
            </w:r>
            <w:r>
              <w:rPr>
                <w:rFonts w:hint="eastAsia" w:hAnsi="宋体" w:eastAsia="宋体" w:cs="宋体"/>
                <w:sz w:val="21"/>
                <w:lang w:eastAsia="zh-CN"/>
              </w:rPr>
              <w:t>甲方</w:t>
            </w:r>
            <w:r>
              <w:rPr>
                <w:rFonts w:hint="eastAsia" w:hAnsi="宋体" w:eastAsia="宋体" w:cs="宋体"/>
                <w:sz w:val="21"/>
              </w:rPr>
              <w:t>预付</w:t>
            </w:r>
            <w:r>
              <w:rPr>
                <w:rFonts w:hint="eastAsia" w:hAnsi="宋体" w:eastAsia="宋体" w:cs="宋体"/>
                <w:sz w:val="21"/>
                <w:lang w:eastAsia="zh-CN"/>
              </w:rPr>
              <w:t>乙方</w:t>
            </w:r>
            <w:r>
              <w:rPr>
                <w:rFonts w:hint="eastAsia" w:hAnsi="宋体" w:eastAsia="宋体" w:cs="宋体"/>
                <w:sz w:val="21"/>
                <w:lang w:val="en-US" w:eastAsia="zh-CN"/>
              </w:rPr>
              <w:t>50%</w:t>
            </w:r>
            <w:r>
              <w:rPr>
                <w:rFonts w:hint="eastAsia" w:hAnsi="宋体" w:eastAsia="宋体" w:cs="宋体"/>
                <w:sz w:val="21"/>
              </w:rPr>
              <w:t>合同款</w:t>
            </w:r>
            <w:r>
              <w:rPr>
                <w:rFonts w:hint="eastAsia" w:hAnsi="宋体" w:eastAsia="宋体" w:cs="宋体"/>
                <w:sz w:val="21"/>
                <w:lang w:eastAsia="zh-CN"/>
              </w:rPr>
              <w:t>，</w:t>
            </w:r>
            <w:r>
              <w:rPr>
                <w:rFonts w:hint="eastAsia" w:hAnsi="宋体" w:eastAsia="宋体" w:cs="宋体"/>
                <w:sz w:val="21"/>
              </w:rPr>
              <w:t>乙方按要求供货、安装、调试及验收合格后，甲方在5个工作日内向乙方支付</w:t>
            </w:r>
            <w:r>
              <w:rPr>
                <w:rFonts w:hint="eastAsia" w:hAnsi="宋体" w:eastAsia="宋体" w:cs="宋体"/>
                <w:sz w:val="21"/>
                <w:lang w:eastAsia="zh-CN"/>
              </w:rPr>
              <w:t>余下的</w:t>
            </w:r>
            <w:r>
              <w:rPr>
                <w:rFonts w:hint="eastAsia" w:hAnsi="宋体" w:eastAsia="宋体" w:cs="宋体"/>
                <w:sz w:val="21"/>
                <w:lang w:val="en-US" w:eastAsia="zh-CN"/>
              </w:rPr>
              <w:t>50</w:t>
            </w:r>
            <w:r>
              <w:rPr>
                <w:rFonts w:hint="eastAsia" w:hAnsi="宋体" w:eastAsia="宋体" w:cs="宋体"/>
                <w:sz w:val="21"/>
              </w:rPr>
              <w:t>%合同款。</w:t>
            </w:r>
          </w:p>
          <w:bookmarkEnd w:id="0"/>
          <w:p>
            <w:pPr>
              <w:pStyle w:val="4"/>
              <w:spacing w:line="360" w:lineRule="exact"/>
              <w:rPr>
                <w:rFonts w:hAnsi="宋体" w:eastAsia="宋体" w:cs="宋体"/>
                <w:b/>
                <w:sz w:val="21"/>
              </w:rPr>
            </w:pPr>
            <w:r>
              <w:rPr>
                <w:rFonts w:hint="eastAsia" w:hAnsi="宋体" w:eastAsia="宋体" w:cs="宋体"/>
                <w:b/>
                <w:sz w:val="21"/>
              </w:rPr>
              <w:t>九、对接要求：</w:t>
            </w:r>
          </w:p>
          <w:p>
            <w:pPr>
              <w:pStyle w:val="6"/>
              <w:wordWrap w:val="0"/>
              <w:spacing w:after="0" w:line="360" w:lineRule="auto"/>
              <w:ind w:left="0" w:leftChars="0" w:firstLine="422" w:firstLineChars="200"/>
              <w:rPr>
                <w:rFonts w:ascii="宋体" w:hAnsi="宋体" w:eastAsia="宋体" w:cs="宋体"/>
                <w:b/>
                <w:szCs w:val="21"/>
              </w:rPr>
            </w:pPr>
            <w:r>
              <w:rPr>
                <w:rFonts w:hint="eastAsia" w:hAnsi="宋体" w:eastAsia="宋体" w:cs="宋体"/>
                <w:b/>
              </w:rPr>
              <w:t>1、★依据《全区公安机关执法办案管理中心信息系统建设规范》（试行）中关于“一、总则：（六）自治区公安厅负责建设全区公安机关执法办案管理中心统一监管平台（以下简称“监管平台”），提供并指导各地应用。各市、县公安机关直接应用监管平台监督管理本辖区执法办案管理中心运行情况。同一地区建设多个执法办案管理中心的，应全部纳入监管平台管理，各市、县公安机关管理人员通过登陆监管平台对本辖区执法办案管理中心进行监督管理”的要求，</w:t>
            </w:r>
            <w:r>
              <w:rPr>
                <w:rFonts w:hint="eastAsia" w:ascii="宋体" w:hAnsi="宋体" w:eastAsia="宋体" w:cs="宋体"/>
                <w:b/>
                <w:szCs w:val="21"/>
              </w:rPr>
              <w:t>投标产品“一体化视音频融合级联网关设备”能够对接防城港市公安局的“执法监督管理平台”，</w:t>
            </w:r>
            <w:r>
              <w:rPr>
                <w:rFonts w:hint="eastAsia" w:hAnsi="宋体" w:eastAsia="宋体" w:cs="宋体"/>
                <w:b/>
              </w:rPr>
              <w:t>,承诺在签订合同后设备到场后7个工作日内完成对接工作，如不能满足以上对接要求的，则视为虚假应标，采购人有权追究其虚假应标的责任。</w:t>
            </w:r>
            <w:r>
              <w:rPr>
                <w:rFonts w:hint="eastAsia" w:ascii="宋体" w:hAnsi="宋体" w:eastAsia="宋体" w:cs="宋体"/>
                <w:b/>
                <w:szCs w:val="21"/>
              </w:rPr>
              <w:br w:type="textWrapping"/>
            </w:r>
            <w:r>
              <w:rPr>
                <w:rFonts w:hint="eastAsia" w:ascii="宋体" w:hAnsi="宋体" w:eastAsia="宋体" w:cs="宋体"/>
                <w:b/>
                <w:szCs w:val="21"/>
              </w:rPr>
              <w:t>2、★为加强执法办案管理中心的可视化管理，实现执法办案管理中心实时视音频、讯(询)问录音录像、历史监控视音频数据等接入广西公安执法监督平台，要求供应商承诺执法办案管理中心视频监控与广西区公安执法监督平台可以实现对接。办案区、办案中心视频监控对接后实现如下功能：</w:t>
            </w:r>
            <w:r>
              <w:rPr>
                <w:rFonts w:hint="eastAsia" w:ascii="宋体" w:hAnsi="宋体" w:eastAsia="宋体" w:cs="宋体"/>
                <w:b/>
                <w:szCs w:val="21"/>
              </w:rPr>
              <w:br w:type="textWrapping"/>
            </w:r>
            <w:r>
              <w:rPr>
                <w:rFonts w:hint="eastAsia" w:ascii="宋体" w:hAnsi="宋体" w:eastAsia="宋体" w:cs="宋体"/>
                <w:b/>
                <w:szCs w:val="21"/>
              </w:rPr>
              <w:t> （1）、接入执法办案管理中心的全部视音频设备；视音频设备的注册、登记和有效管理；通过国标规范接口自动感知、注册、管理全部视音频设备。</w:t>
            </w:r>
            <w:r>
              <w:rPr>
                <w:rFonts w:hint="eastAsia" w:ascii="宋体" w:hAnsi="宋体" w:eastAsia="宋体" w:cs="宋体"/>
                <w:b/>
                <w:szCs w:val="21"/>
              </w:rPr>
              <w:br w:type="textWrapping"/>
            </w:r>
            <w:r>
              <w:rPr>
                <w:rFonts w:hint="eastAsia" w:ascii="宋体" w:hAnsi="宋体" w:eastAsia="宋体" w:cs="宋体"/>
                <w:b/>
                <w:szCs w:val="21"/>
              </w:rPr>
              <w:t> （2）、实时视音频直播UDP/TCP国标RTP推流，可以转换成RTSP/RT</w:t>
            </w:r>
            <w:r>
              <w:rPr>
                <w:rFonts w:hint="eastAsia" w:ascii="宋体" w:hAnsi="宋体" w:eastAsia="宋体" w:cs="宋体"/>
                <w:b/>
                <w:szCs w:val="21"/>
              </w:rPr>
              <w:br w:type="textWrapping"/>
            </w:r>
            <w:r>
              <w:rPr>
                <w:rFonts w:hint="eastAsia" w:ascii="宋体" w:hAnsi="宋体" w:eastAsia="宋体" w:cs="宋体"/>
                <w:b/>
                <w:szCs w:val="21"/>
              </w:rPr>
              <w:t>MP/HLS等流媒体协议，H264/H265/AAC/G711/OPUS编码，执法办案管理中心实时视音频无延时直播。</w:t>
            </w:r>
            <w:r>
              <w:rPr>
                <w:rFonts w:hint="eastAsia" w:ascii="宋体" w:hAnsi="宋体" w:eastAsia="宋体" w:cs="宋体"/>
                <w:b/>
                <w:szCs w:val="21"/>
              </w:rPr>
              <w:br w:type="textWrapping"/>
            </w:r>
            <w:r>
              <w:rPr>
                <w:rFonts w:hint="eastAsia" w:ascii="宋体" w:hAnsi="宋体" w:eastAsia="宋体" w:cs="宋体"/>
                <w:b/>
                <w:szCs w:val="21"/>
              </w:rPr>
              <w:t> （3）、将审讯电脑工作桌面以视频流方式整合推送的能力，并支持单独推送笔录实时窗口的应用模式。</w:t>
            </w:r>
            <w:r>
              <w:rPr>
                <w:rFonts w:hint="eastAsia" w:ascii="宋体" w:hAnsi="宋体" w:eastAsia="宋体" w:cs="宋体"/>
                <w:b/>
                <w:szCs w:val="21"/>
              </w:rPr>
              <w:br w:type="textWrapping"/>
            </w:r>
            <w:r>
              <w:rPr>
                <w:rFonts w:hint="eastAsia" w:ascii="宋体" w:hAnsi="宋体" w:eastAsia="宋体" w:cs="宋体"/>
                <w:b/>
                <w:szCs w:val="21"/>
              </w:rPr>
              <w:t> （4）、主流NVR/DVR的设备通过最新国标协议进行历史文件检索与视频回放，通过时间节点筛选播放。</w:t>
            </w:r>
            <w:r>
              <w:rPr>
                <w:rFonts w:hint="eastAsia" w:ascii="宋体" w:hAnsi="宋体" w:eastAsia="宋体" w:cs="宋体"/>
                <w:b/>
                <w:szCs w:val="21"/>
              </w:rPr>
              <w:br w:type="textWrapping"/>
            </w:r>
            <w:r>
              <w:rPr>
                <w:rFonts w:hint="eastAsia" w:ascii="宋体" w:hAnsi="宋体" w:eastAsia="宋体" w:cs="宋体"/>
                <w:b/>
                <w:szCs w:val="21"/>
              </w:rPr>
              <w:t> （5）实时视音频通话：上级部门平台发起的实时视音频通话请求，实现自上而下远程督导、远程指挥、远程监督的能力；</w:t>
            </w:r>
            <w:r>
              <w:rPr>
                <w:rFonts w:hint="eastAsia" w:ascii="宋体" w:hAnsi="宋体" w:eastAsia="宋体" w:cs="宋体"/>
                <w:b/>
                <w:szCs w:val="21"/>
              </w:rPr>
              <w:br w:type="textWrapping"/>
            </w:r>
            <w:r>
              <w:rPr>
                <w:rFonts w:hint="eastAsia" w:ascii="宋体" w:hAnsi="宋体" w:eastAsia="宋体" w:cs="宋体"/>
                <w:b/>
                <w:szCs w:val="21"/>
              </w:rPr>
              <w:t> （6）可视化图形视频方位：通过二维、准三维图形访问任意视音频采集设备，实现可视化管理和应用。</w:t>
            </w:r>
            <w:r>
              <w:rPr>
                <w:rFonts w:hint="eastAsia" w:ascii="宋体" w:hAnsi="宋体" w:eastAsia="宋体" w:cs="宋体"/>
                <w:b/>
                <w:szCs w:val="21"/>
              </w:rPr>
              <w:br w:type="textWrapping"/>
            </w:r>
            <w:r>
              <w:rPr>
                <w:rFonts w:hint="eastAsia" w:ascii="宋体" w:hAnsi="宋体" w:eastAsia="宋体" w:cs="宋体"/>
                <w:b/>
                <w:szCs w:val="21"/>
              </w:rPr>
              <w:t>如不能满足以上对接要求的和不能实现以上功能的，采购人有权追究其虚假应标的责任。</w:t>
            </w:r>
            <w:r>
              <w:rPr>
                <w:rFonts w:hint="eastAsia" w:ascii="宋体" w:hAnsi="宋体" w:eastAsia="宋体" w:cs="宋体"/>
                <w:b/>
                <w:szCs w:val="21"/>
              </w:rPr>
              <w:br w:type="textWrapping"/>
            </w:r>
            <w:r>
              <w:rPr>
                <w:rFonts w:hint="eastAsia" w:ascii="宋体" w:hAnsi="宋体" w:eastAsia="宋体" w:cs="宋体"/>
                <w:b/>
                <w:szCs w:val="21"/>
              </w:rPr>
              <w:t>3、★投标产品“多功能智能办案柜、室内高精度定位引擎服务器（少于20个基站的场所）”等能够对接防城港市公安局的“办案区管理信息系统”，如不能满足以上对接要求的，采购人有权追究其虚假应标的责任。</w:t>
            </w:r>
            <w:r>
              <w:rPr>
                <w:rFonts w:hint="eastAsia" w:ascii="宋体" w:hAnsi="宋体" w:eastAsia="宋体" w:cs="宋体"/>
                <w:b/>
                <w:szCs w:val="21"/>
              </w:rPr>
              <w:br w:type="textWrapping"/>
            </w:r>
          </w:p>
          <w:p>
            <w:pPr>
              <w:jc w:val="center"/>
              <w:rPr>
                <w:rFonts w:ascii="微软雅黑" w:hAnsi="微软雅黑" w:eastAsia="微软雅黑" w:cs="微软雅黑"/>
                <w:color w:val="000000"/>
                <w:sz w:val="18"/>
                <w:szCs w:val="18"/>
              </w:rPr>
            </w:pPr>
          </w:p>
        </w:tc>
      </w:tr>
    </w:tbl>
    <w:p/>
    <w:sectPr>
      <w:pgSz w:w="11906" w:h="16838"/>
      <w:pgMar w:top="986" w:right="1236" w:bottom="986"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53071"/>
    <w:multiLevelType w:val="multilevel"/>
    <w:tmpl w:val="67C53071"/>
    <w:lvl w:ilvl="0" w:tentative="0">
      <w:start w:val="1"/>
      <w:numFmt w:val="decimal"/>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YTlmNjhhM2I0ZmMzYzA5MGY1ZGYxMDNlZThiMzMifQ=="/>
  </w:docVars>
  <w:rsids>
    <w:rsidRoot w:val="31410022"/>
    <w:rsid w:val="00542517"/>
    <w:rsid w:val="008B7553"/>
    <w:rsid w:val="00CD5772"/>
    <w:rsid w:val="17C05465"/>
    <w:rsid w:val="215F4227"/>
    <w:rsid w:val="23F70B3A"/>
    <w:rsid w:val="28815A12"/>
    <w:rsid w:val="31410022"/>
    <w:rsid w:val="32A3620E"/>
    <w:rsid w:val="3A6A181A"/>
    <w:rsid w:val="57BC4C92"/>
    <w:rsid w:val="5D972077"/>
    <w:rsid w:val="64BB0CFE"/>
    <w:rsid w:val="68904C7D"/>
    <w:rsid w:val="758B4346"/>
    <w:rsid w:val="7CE9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6"/>
    <w:basedOn w:val="1"/>
    <w:next w:val="1"/>
    <w:qFormat/>
    <w:uiPriority w:val="0"/>
    <w:pPr>
      <w:keepNext/>
      <w:keepLines/>
      <w:spacing w:before="240" w:after="64" w:line="317" w:lineRule="auto"/>
      <w:outlineLvl w:val="5"/>
    </w:pPr>
    <w:rPr>
      <w:rFonts w:ascii="Cambria" w:hAnsi="Cambria"/>
      <w:b/>
      <w:bCs/>
      <w:sz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4">
    <w:name w:val="Plain Text"/>
    <w:basedOn w:val="1"/>
    <w:next w:val="5"/>
    <w:qFormat/>
    <w:uiPriority w:val="0"/>
    <w:rPr>
      <w:rFonts w:ascii="宋体" w:hAnsi="Courier New"/>
      <w:sz w:val="20"/>
      <w:szCs w:val="21"/>
    </w:rPr>
  </w:style>
  <w:style w:type="paragraph" w:styleId="5">
    <w:name w:val="Date"/>
    <w:basedOn w:val="1"/>
    <w:next w:val="1"/>
    <w:unhideWhenUsed/>
    <w:qFormat/>
    <w:uiPriority w:val="99"/>
    <w:rPr>
      <w:kern w:val="0"/>
      <w:sz w:val="20"/>
      <w:szCs w:val="20"/>
    </w:rPr>
  </w:style>
  <w:style w:type="paragraph" w:styleId="6">
    <w:name w:val="Body Text Indent 2"/>
    <w:basedOn w:val="1"/>
    <w:qFormat/>
    <w:uiPriority w:val="0"/>
    <w:pPr>
      <w:spacing w:after="120" w:line="480" w:lineRule="auto"/>
      <w:ind w:left="420" w:leftChars="200"/>
    </w:p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7017</Words>
  <Characters>7959</Characters>
  <Lines>61</Lines>
  <Paragraphs>17</Paragraphs>
  <TotalTime>2</TotalTime>
  <ScaleCrop>false</ScaleCrop>
  <LinksUpToDate>false</LinksUpToDate>
  <CharactersWithSpaces>8046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2022-12-07T02:46:00Z</dcterms:created>
  <dc:creator>WPS_1619515749</dc:creator>
  <cp:lastModifiedBy>烟雨遥</cp:lastModifiedBy>
  <dcterms:modified xsi:type="dcterms:W3CDTF">2022-12-08T09:46:18Z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6638FB4B48BA416DBBB85C4E6E881C8A</vt:lpwstr>
  </property>
</Properties>
</file>