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03" w:rsidRPr="00755D9D" w:rsidRDefault="00734E08">
      <w:pPr>
        <w:pStyle w:val="a4"/>
        <w:rPr>
          <w:color w:val="000000" w:themeColor="text1"/>
          <w:sz w:val="28"/>
          <w:szCs w:val="28"/>
        </w:rPr>
      </w:pPr>
      <w:r w:rsidRPr="00755D9D">
        <w:rPr>
          <w:rFonts w:hint="eastAsia"/>
          <w:color w:val="000000" w:themeColor="text1"/>
          <w:sz w:val="28"/>
          <w:szCs w:val="28"/>
        </w:rPr>
        <w:t>1</w:t>
      </w:r>
      <w:r w:rsidRPr="00755D9D">
        <w:rPr>
          <w:rFonts w:hint="eastAsia"/>
          <w:color w:val="000000" w:themeColor="text1"/>
          <w:sz w:val="28"/>
          <w:szCs w:val="28"/>
        </w:rPr>
        <w:t>全塑型跑道</w:t>
      </w:r>
    </w:p>
    <w:p w:rsidR="00B97C03" w:rsidRPr="00755D9D" w:rsidRDefault="00734E08">
      <w:pPr>
        <w:pStyle w:val="a4"/>
        <w:rPr>
          <w:color w:val="000000" w:themeColor="text1"/>
          <w:sz w:val="28"/>
          <w:szCs w:val="28"/>
        </w:rPr>
      </w:pPr>
      <w:r w:rsidRPr="00755D9D">
        <w:rPr>
          <w:rFonts w:hint="eastAsia"/>
          <w:color w:val="000000" w:themeColor="text1"/>
          <w:sz w:val="28"/>
          <w:szCs w:val="28"/>
        </w:rPr>
        <w:t>表</w:t>
      </w:r>
      <w:r w:rsidRPr="00755D9D">
        <w:rPr>
          <w:color w:val="000000" w:themeColor="text1"/>
          <w:sz w:val="28"/>
          <w:szCs w:val="28"/>
        </w:rPr>
        <w:t>1</w:t>
      </w:r>
      <w:r w:rsidRPr="00755D9D">
        <w:rPr>
          <w:rFonts w:hint="eastAsia"/>
          <w:color w:val="000000" w:themeColor="text1"/>
          <w:sz w:val="28"/>
          <w:szCs w:val="28"/>
        </w:rPr>
        <w:t>：全塑型塑胶跑道成品符合</w:t>
      </w:r>
      <w:r w:rsidRPr="00755D9D">
        <w:rPr>
          <w:color w:val="000000" w:themeColor="text1"/>
          <w:sz w:val="28"/>
          <w:szCs w:val="28"/>
        </w:rPr>
        <w:t xml:space="preserve"> GB36246-2018</w:t>
      </w:r>
      <w:r w:rsidRPr="00755D9D">
        <w:rPr>
          <w:rFonts w:hint="eastAsia"/>
          <w:color w:val="000000" w:themeColor="text1"/>
          <w:sz w:val="28"/>
          <w:szCs w:val="28"/>
        </w:rPr>
        <w:t>《中小学合成材料面层运动场地》标准，符合以下</w:t>
      </w:r>
      <w:r w:rsidRPr="00755D9D">
        <w:rPr>
          <w:rFonts w:cs="微软雅黑" w:hint="eastAsia"/>
          <w:bCs/>
          <w:color w:val="000000" w:themeColor="text1"/>
          <w:sz w:val="28"/>
          <w:szCs w:val="28"/>
        </w:rPr>
        <w:t>环保及物理性能：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6766"/>
        <w:gridCol w:w="1857"/>
      </w:tblGrid>
      <w:tr w:rsidR="00B97C03" w:rsidRPr="00755D9D">
        <w:trPr>
          <w:trHeight w:hRule="exact" w:val="534"/>
          <w:jc w:val="center"/>
        </w:trPr>
        <w:tc>
          <w:tcPr>
            <w:tcW w:w="754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检测内容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技术参数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有害物质含量</w:t>
            </w: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种邻苯二甲酸酯类（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DBP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BBP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DEHP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种邻苯二甲酸酯类（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DNOP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DINP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DIDP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种多环芳烃总和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苯并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[a]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芘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短链氯化石蜡（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C10-C13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4,4'-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二氨基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-3,3'-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二氯二苯甲烷（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MOCA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游离甲苯二异氰酸酯（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TDI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）和游离六亚甲基二异氰酸酯（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HDI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游离二苯基甲烷二异氰酸酯（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MDI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可溶性铅（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可溶性镉（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可溶性铬（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可溶性汞（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mg/kg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552"/>
          <w:jc w:val="center"/>
        </w:trPr>
        <w:tc>
          <w:tcPr>
            <w:tcW w:w="77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有害物质释放量</w:t>
            </w: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总挥发性有机化合物（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TVOC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mg/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（㎡</w:t>
            </w:r>
            <w:r w:rsidRPr="00755D9D">
              <w:rPr>
                <w:rFonts w:ascii="宋体" w:hAnsi="宋体" w:cs="RWCMEL+ËÎÌå"/>
                <w:color w:val="000000" w:themeColor="text1"/>
                <w:sz w:val="24"/>
                <w:szCs w:val="24"/>
              </w:rPr>
              <w:t>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3.5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B97C03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甲醛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mg/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（㎡</w:t>
            </w:r>
            <w:r w:rsidRPr="00755D9D">
              <w:rPr>
                <w:rFonts w:ascii="宋体" w:hAnsi="宋体" w:cs="RWCMEL+ËÎÌå"/>
                <w:color w:val="000000" w:themeColor="text1"/>
                <w:sz w:val="24"/>
                <w:szCs w:val="24"/>
              </w:rPr>
              <w:t>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苯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mg/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（㎡</w:t>
            </w:r>
            <w:r w:rsidRPr="00755D9D">
              <w:rPr>
                <w:rFonts w:ascii="宋体" w:hAnsi="宋体" w:cs="RWCMEL+ËÎÌå"/>
                <w:color w:val="000000" w:themeColor="text1"/>
                <w:sz w:val="24"/>
                <w:szCs w:val="24"/>
              </w:rPr>
              <w:t>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甲苯、二甲苯和乙苯总和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mg/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（㎡</w:t>
            </w:r>
            <w:r w:rsidRPr="00755D9D">
              <w:rPr>
                <w:rFonts w:ascii="宋体" w:hAnsi="宋体" w:cs="RWCMEL+ËÎÌå"/>
                <w:color w:val="000000" w:themeColor="text1"/>
                <w:sz w:val="24"/>
                <w:szCs w:val="24"/>
              </w:rPr>
              <w:t>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二硫化碳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mg/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（㎡</w:t>
            </w:r>
            <w:r w:rsidRPr="00755D9D">
              <w:rPr>
                <w:rFonts w:ascii="宋体" w:hAnsi="宋体" w:cs="RWCMEL+ËÎÌå"/>
                <w:color w:val="000000" w:themeColor="text1"/>
                <w:sz w:val="24"/>
                <w:szCs w:val="24"/>
              </w:rPr>
              <w:t>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））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气味等级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级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 w:val="restart"/>
            <w:vAlign w:val="center"/>
          </w:tcPr>
          <w:p w:rsidR="00B97C03" w:rsidRPr="00755D9D" w:rsidRDefault="00734E08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物理机械性能要求</w:t>
            </w: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冲击吸收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％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35-50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垂直变形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/mm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 w:rsidP="00734E08">
            <w:pPr>
              <w:shd w:val="solid" w:color="FFFFFF" w:fill="auto"/>
              <w:spacing w:line="240" w:lineRule="exact"/>
              <w:ind w:left="17" w:hangingChars="7" w:hanging="17"/>
              <w:jc w:val="center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0.6-3.0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抗滑值（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20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℃）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/BPN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</w:rPr>
              <w:t>≥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62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拉伸强度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</w:rPr>
              <w:t>≥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0.76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拉断伸长率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</w:rPr>
              <w:t>≥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63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阻燃性能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7C03" w:rsidRPr="00755D9D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B97C03" w:rsidRPr="00755D9D" w:rsidRDefault="00B97C03">
            <w:pPr>
              <w:spacing w:line="240" w:lineRule="exact"/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无机填料</w:t>
            </w: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/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185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53</w:t>
            </w:r>
          </w:p>
        </w:tc>
      </w:tr>
    </w:tbl>
    <w:p w:rsidR="00B97C03" w:rsidRPr="00755D9D" w:rsidRDefault="00734E08">
      <w:pPr>
        <w:pStyle w:val="a4"/>
        <w:numPr>
          <w:ilvl w:val="0"/>
          <w:numId w:val="1"/>
        </w:numPr>
        <w:rPr>
          <w:rFonts w:cs="微软雅黑"/>
          <w:bCs/>
          <w:color w:val="000000" w:themeColor="text1"/>
          <w:sz w:val="28"/>
          <w:szCs w:val="28"/>
        </w:rPr>
      </w:pPr>
      <w:r w:rsidRPr="00755D9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全塑型跑道面层所使用的EPDM颗粒</w:t>
      </w:r>
      <w:r w:rsidRPr="00755D9D">
        <w:rPr>
          <w:rFonts w:hint="eastAsia"/>
          <w:color w:val="000000" w:themeColor="text1"/>
          <w:sz w:val="28"/>
          <w:szCs w:val="28"/>
        </w:rPr>
        <w:t>符合</w:t>
      </w:r>
      <w:r w:rsidRPr="00755D9D">
        <w:rPr>
          <w:color w:val="000000" w:themeColor="text1"/>
          <w:sz w:val="28"/>
          <w:szCs w:val="28"/>
        </w:rPr>
        <w:t xml:space="preserve"> GB36246-2018</w:t>
      </w:r>
      <w:r w:rsidRPr="00755D9D">
        <w:rPr>
          <w:rFonts w:hint="eastAsia"/>
          <w:color w:val="000000" w:themeColor="text1"/>
          <w:sz w:val="28"/>
          <w:szCs w:val="28"/>
        </w:rPr>
        <w:t>《中小学合成材料面层运动场地》标准，符合以下</w:t>
      </w:r>
      <w:r w:rsidRPr="00755D9D">
        <w:rPr>
          <w:rFonts w:cs="微软雅黑" w:hint="eastAsia"/>
          <w:bCs/>
          <w:color w:val="000000" w:themeColor="text1"/>
          <w:sz w:val="28"/>
          <w:szCs w:val="28"/>
        </w:rPr>
        <w:t>环保及物理性能：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1571"/>
        <w:gridCol w:w="2667"/>
      </w:tblGrid>
      <w:tr w:rsidR="00B97C03" w:rsidRPr="00755D9D" w:rsidTr="0080387F">
        <w:trPr>
          <w:tblHeader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检验检测项目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单位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b/>
                <w:bCs/>
                <w:color w:val="000000" w:themeColor="text1"/>
              </w:rPr>
              <w:t>标准指标</w:t>
            </w:r>
          </w:p>
        </w:tc>
      </w:tr>
      <w:tr w:rsidR="00B97C03" w:rsidRPr="00755D9D" w:rsidTr="0080387F">
        <w:trPr>
          <w:trHeight w:val="956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种多环芳烃总和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未检出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苯并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[a]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芘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未检出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可溶性铅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/>
                <w:color w:val="000000" w:themeColor="text1"/>
                <w:sz w:val="24"/>
                <w:szCs w:val="24"/>
              </w:rPr>
              <w:t>≤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1.8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可溶性镉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未检出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可溶性铬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未检出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可溶性汞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mg/kg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未检出</w:t>
            </w:r>
          </w:p>
        </w:tc>
      </w:tr>
      <w:tr w:rsidR="00B97C03" w:rsidRPr="00755D9D" w:rsidTr="0080387F"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cs="宋体" w:hint="eastAsia"/>
                <w:color w:val="000000" w:themeColor="text1"/>
              </w:rPr>
              <w:t>高聚物总量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</w:rPr>
              <w:t>%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03" w:rsidRPr="00755D9D" w:rsidRDefault="00734E08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5D9D">
              <w:rPr>
                <w:rFonts w:ascii="宋体" w:hAnsi="宋体" w:hint="eastAsia"/>
                <w:color w:val="000000" w:themeColor="text1"/>
              </w:rPr>
              <w:t>≥</w:t>
            </w:r>
            <w:r w:rsidRPr="00755D9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20.4</w:t>
            </w:r>
          </w:p>
        </w:tc>
      </w:tr>
    </w:tbl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Default="0080387F" w:rsidP="0080387F">
      <w:pPr>
        <w:spacing w:line="300" w:lineRule="exact"/>
        <w:rPr>
          <w:rFonts w:ascii="宋体" w:hAnsi="宋体"/>
          <w:szCs w:val="21"/>
        </w:rPr>
      </w:pP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lastRenderedPageBreak/>
        <w:t>商务要求：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★</w:t>
      </w:r>
      <w:r w:rsidRPr="0080387F">
        <w:rPr>
          <w:rFonts w:hint="eastAsia"/>
          <w:color w:val="000000" w:themeColor="text1"/>
          <w:sz w:val="28"/>
          <w:szCs w:val="28"/>
        </w:rPr>
        <w:t>1</w:t>
      </w:r>
      <w:r w:rsidRPr="0080387F">
        <w:rPr>
          <w:rFonts w:hint="eastAsia"/>
          <w:color w:val="000000" w:themeColor="text1"/>
          <w:sz w:val="28"/>
          <w:szCs w:val="28"/>
        </w:rPr>
        <w:t>、考虑到项目紧迫及售后服务方便，本项目只接受北海市本级供应商作为成交供应商，且成交供应商售后服务点距离采购单位不得超过</w:t>
      </w:r>
      <w:r w:rsidRPr="0080387F">
        <w:rPr>
          <w:rFonts w:hint="eastAsia"/>
          <w:color w:val="000000" w:themeColor="text1"/>
          <w:sz w:val="28"/>
          <w:szCs w:val="28"/>
        </w:rPr>
        <w:t>5</w:t>
      </w:r>
      <w:r w:rsidRPr="0080387F">
        <w:rPr>
          <w:rFonts w:hint="eastAsia"/>
          <w:color w:val="000000" w:themeColor="text1"/>
          <w:sz w:val="28"/>
          <w:szCs w:val="28"/>
        </w:rPr>
        <w:t>公里，非本地供应商一律不接受、不验收、不签合同。为保证原厂正品，必须提供原厂授权、供货证明及售后服务承诺函原件。签订合同时需提供样品，如达不到要求不予签合同，对不能满足参数要求虚假响应，或者无法正常交货影响采购人办公使用的采购人可作为废标处理，并按规定对竞价公司予以处罚，和进行网上通报处理。并追究相关责任。付款方式：分期付款</w:t>
      </w:r>
      <w:r w:rsidRPr="0080387F">
        <w:rPr>
          <w:rFonts w:hint="eastAsia"/>
          <w:color w:val="000000" w:themeColor="text1"/>
          <w:sz w:val="28"/>
          <w:szCs w:val="28"/>
        </w:rPr>
        <w:t>1-5</w:t>
      </w:r>
      <w:r w:rsidRPr="0080387F">
        <w:rPr>
          <w:rFonts w:hint="eastAsia"/>
          <w:color w:val="000000" w:themeColor="text1"/>
          <w:sz w:val="28"/>
          <w:szCs w:val="28"/>
        </w:rPr>
        <w:t>年内支付。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★</w:t>
      </w:r>
      <w:r w:rsidRPr="0080387F">
        <w:rPr>
          <w:rFonts w:hint="eastAsia"/>
          <w:color w:val="000000" w:themeColor="text1"/>
          <w:sz w:val="28"/>
          <w:szCs w:val="28"/>
        </w:rPr>
        <w:t>2</w:t>
      </w:r>
      <w:r w:rsidRPr="0080387F">
        <w:rPr>
          <w:rFonts w:hint="eastAsia"/>
          <w:color w:val="000000" w:themeColor="text1"/>
          <w:sz w:val="28"/>
          <w:szCs w:val="28"/>
        </w:rPr>
        <w:t>、报价含以下部分：（</w:t>
      </w:r>
      <w:r w:rsidRPr="0080387F">
        <w:rPr>
          <w:rFonts w:hint="eastAsia"/>
          <w:color w:val="000000" w:themeColor="text1"/>
          <w:sz w:val="28"/>
          <w:szCs w:val="28"/>
        </w:rPr>
        <w:t>1</w:t>
      </w:r>
      <w:r w:rsidRPr="0080387F">
        <w:rPr>
          <w:rFonts w:hint="eastAsia"/>
          <w:color w:val="000000" w:themeColor="text1"/>
          <w:sz w:val="28"/>
          <w:szCs w:val="28"/>
        </w:rPr>
        <w:t>）货物的价格；（</w:t>
      </w:r>
      <w:r w:rsidRPr="0080387F">
        <w:rPr>
          <w:rFonts w:hint="eastAsia"/>
          <w:color w:val="000000" w:themeColor="text1"/>
          <w:sz w:val="28"/>
          <w:szCs w:val="28"/>
        </w:rPr>
        <w:t>2</w:t>
      </w:r>
      <w:r w:rsidRPr="0080387F">
        <w:rPr>
          <w:rFonts w:hint="eastAsia"/>
          <w:color w:val="000000" w:themeColor="text1"/>
          <w:sz w:val="28"/>
          <w:szCs w:val="28"/>
        </w:rPr>
        <w:t>）货物的标准附件、备品备件、专用工具的价格；（</w:t>
      </w:r>
      <w:r w:rsidRPr="0080387F">
        <w:rPr>
          <w:rFonts w:hint="eastAsia"/>
          <w:color w:val="000000" w:themeColor="text1"/>
          <w:sz w:val="28"/>
          <w:szCs w:val="28"/>
        </w:rPr>
        <w:t>3</w:t>
      </w:r>
      <w:r w:rsidRPr="0080387F">
        <w:rPr>
          <w:rFonts w:hint="eastAsia"/>
          <w:color w:val="000000" w:themeColor="text1"/>
          <w:sz w:val="28"/>
          <w:szCs w:val="28"/>
        </w:rPr>
        <w:t>）运</w:t>
      </w:r>
      <w:r w:rsidRPr="0080387F">
        <w:rPr>
          <w:rFonts w:hint="eastAsia"/>
          <w:color w:val="000000" w:themeColor="text1"/>
          <w:sz w:val="28"/>
          <w:szCs w:val="28"/>
        </w:rPr>
        <w:t xml:space="preserve"> </w:t>
      </w:r>
      <w:r w:rsidRPr="0080387F">
        <w:rPr>
          <w:rFonts w:hint="eastAsia"/>
          <w:color w:val="000000" w:themeColor="text1"/>
          <w:sz w:val="28"/>
          <w:szCs w:val="28"/>
        </w:rPr>
        <w:t>输、装卸、培训、技术支持、售后服务等费用；（</w:t>
      </w:r>
      <w:r w:rsidRPr="0080387F">
        <w:rPr>
          <w:rFonts w:hint="eastAsia"/>
          <w:color w:val="000000" w:themeColor="text1"/>
          <w:sz w:val="28"/>
          <w:szCs w:val="28"/>
        </w:rPr>
        <w:t>4</w:t>
      </w:r>
      <w:r w:rsidRPr="0080387F">
        <w:rPr>
          <w:rFonts w:hint="eastAsia"/>
          <w:color w:val="000000" w:themeColor="text1"/>
          <w:sz w:val="28"/>
          <w:szCs w:val="28"/>
        </w:rPr>
        <w:t>）必要的保险费用和各项税费；（</w:t>
      </w:r>
      <w:r w:rsidRPr="0080387F">
        <w:rPr>
          <w:rFonts w:hint="eastAsia"/>
          <w:color w:val="000000" w:themeColor="text1"/>
          <w:sz w:val="28"/>
          <w:szCs w:val="28"/>
        </w:rPr>
        <w:t>5</w:t>
      </w:r>
      <w:r w:rsidRPr="0080387F">
        <w:rPr>
          <w:rFonts w:hint="eastAsia"/>
          <w:color w:val="000000" w:themeColor="text1"/>
          <w:sz w:val="28"/>
          <w:szCs w:val="28"/>
        </w:rPr>
        <w:t>）施工安装以及检测等费用；（</w:t>
      </w:r>
      <w:r w:rsidRPr="0080387F">
        <w:rPr>
          <w:rFonts w:hint="eastAsia"/>
          <w:color w:val="000000" w:themeColor="text1"/>
          <w:sz w:val="28"/>
          <w:szCs w:val="28"/>
        </w:rPr>
        <w:t>6</w:t>
      </w:r>
      <w:r w:rsidRPr="0080387F">
        <w:rPr>
          <w:rFonts w:hint="eastAsia"/>
          <w:color w:val="000000" w:themeColor="text1"/>
          <w:sz w:val="28"/>
          <w:szCs w:val="28"/>
        </w:rPr>
        <w:t>）培训费用（包括但不限于场地费、教材、技术认证费用等）；（</w:t>
      </w:r>
      <w:r w:rsidRPr="0080387F">
        <w:rPr>
          <w:rFonts w:hint="eastAsia"/>
          <w:color w:val="000000" w:themeColor="text1"/>
          <w:sz w:val="28"/>
          <w:szCs w:val="28"/>
        </w:rPr>
        <w:t>7</w:t>
      </w:r>
      <w:r w:rsidRPr="0080387F">
        <w:rPr>
          <w:rFonts w:hint="eastAsia"/>
          <w:color w:val="000000" w:themeColor="text1"/>
          <w:sz w:val="28"/>
          <w:szCs w:val="28"/>
        </w:rPr>
        <w:t>）项目整体验收各项费用；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★</w:t>
      </w:r>
      <w:r w:rsidRPr="0080387F">
        <w:rPr>
          <w:rFonts w:hint="eastAsia"/>
          <w:color w:val="000000" w:themeColor="text1"/>
          <w:sz w:val="28"/>
          <w:szCs w:val="28"/>
        </w:rPr>
        <w:t>3</w:t>
      </w:r>
      <w:r w:rsidRPr="0080387F">
        <w:rPr>
          <w:rFonts w:hint="eastAsia"/>
          <w:color w:val="000000" w:themeColor="text1"/>
          <w:sz w:val="28"/>
          <w:szCs w:val="28"/>
        </w:rPr>
        <w:t>、售后服务要求：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（</w:t>
      </w:r>
      <w:r w:rsidRPr="0080387F">
        <w:rPr>
          <w:rFonts w:hint="eastAsia"/>
          <w:color w:val="000000" w:themeColor="text1"/>
          <w:sz w:val="28"/>
          <w:szCs w:val="28"/>
        </w:rPr>
        <w:t>1</w:t>
      </w:r>
      <w:r w:rsidRPr="0080387F">
        <w:rPr>
          <w:rFonts w:hint="eastAsia"/>
          <w:color w:val="000000" w:themeColor="text1"/>
          <w:sz w:val="28"/>
          <w:szCs w:val="28"/>
        </w:rPr>
        <w:t>）按国家标准有关规定实行“三包”，质保期三年，自交货并验收合格之日起三年内所有</w:t>
      </w:r>
      <w:r w:rsidR="00EA62F6">
        <w:rPr>
          <w:rFonts w:hint="eastAsia"/>
          <w:color w:val="000000" w:themeColor="text1"/>
          <w:sz w:val="28"/>
          <w:szCs w:val="28"/>
        </w:rPr>
        <w:t>货物</w:t>
      </w:r>
      <w:r w:rsidRPr="0080387F">
        <w:rPr>
          <w:rFonts w:hint="eastAsia"/>
          <w:color w:val="000000" w:themeColor="text1"/>
          <w:sz w:val="28"/>
          <w:szCs w:val="28"/>
        </w:rPr>
        <w:t>免费维护。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（</w:t>
      </w:r>
      <w:r w:rsidRPr="0080387F">
        <w:rPr>
          <w:rFonts w:hint="eastAsia"/>
          <w:color w:val="000000" w:themeColor="text1"/>
          <w:sz w:val="28"/>
          <w:szCs w:val="28"/>
        </w:rPr>
        <w:t>2</w:t>
      </w:r>
      <w:r w:rsidRPr="0080387F">
        <w:rPr>
          <w:rFonts w:hint="eastAsia"/>
          <w:color w:val="000000" w:themeColor="text1"/>
          <w:sz w:val="28"/>
          <w:szCs w:val="28"/>
        </w:rPr>
        <w:t>）免费送货上门。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（</w:t>
      </w:r>
      <w:r w:rsidRPr="0080387F">
        <w:rPr>
          <w:rFonts w:hint="eastAsia"/>
          <w:color w:val="000000" w:themeColor="text1"/>
          <w:sz w:val="28"/>
          <w:szCs w:val="28"/>
        </w:rPr>
        <w:t>3</w:t>
      </w:r>
      <w:r w:rsidRPr="0080387F">
        <w:rPr>
          <w:rFonts w:hint="eastAsia"/>
          <w:color w:val="000000" w:themeColor="text1"/>
          <w:sz w:val="28"/>
          <w:szCs w:val="28"/>
        </w:rPr>
        <w:t>）所有货物必须保证全新原装，否则，采购方有权拒收。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★</w:t>
      </w:r>
      <w:r w:rsidRPr="0080387F">
        <w:rPr>
          <w:rFonts w:hint="eastAsia"/>
          <w:color w:val="000000" w:themeColor="text1"/>
          <w:sz w:val="28"/>
          <w:szCs w:val="28"/>
        </w:rPr>
        <w:t>4</w:t>
      </w:r>
      <w:r w:rsidRPr="0080387F">
        <w:rPr>
          <w:rFonts w:hint="eastAsia"/>
          <w:color w:val="000000" w:themeColor="text1"/>
          <w:sz w:val="28"/>
          <w:szCs w:val="28"/>
        </w:rPr>
        <w:t>、交付使用期：成交公告发布后</w:t>
      </w:r>
      <w:r w:rsidRPr="0080387F">
        <w:rPr>
          <w:rFonts w:hint="eastAsia"/>
          <w:color w:val="000000" w:themeColor="text1"/>
          <w:sz w:val="28"/>
          <w:szCs w:val="28"/>
        </w:rPr>
        <w:t>1</w:t>
      </w:r>
      <w:r w:rsidRPr="0080387F">
        <w:rPr>
          <w:rFonts w:hint="eastAsia"/>
          <w:color w:val="000000" w:themeColor="text1"/>
          <w:sz w:val="28"/>
          <w:szCs w:val="28"/>
        </w:rPr>
        <w:t>个工作日内签订合同，签订合同后</w:t>
      </w:r>
      <w:r w:rsidRPr="0080387F">
        <w:rPr>
          <w:rFonts w:hint="eastAsia"/>
          <w:color w:val="000000" w:themeColor="text1"/>
          <w:sz w:val="28"/>
          <w:szCs w:val="28"/>
        </w:rPr>
        <w:t>1</w:t>
      </w:r>
      <w:r w:rsidRPr="0080387F">
        <w:rPr>
          <w:rFonts w:hint="eastAsia"/>
          <w:color w:val="000000" w:themeColor="text1"/>
          <w:sz w:val="28"/>
          <w:szCs w:val="28"/>
        </w:rPr>
        <w:t>个工作日内完成交货。必须严格按照所列明的品牌型号规格来报价供货，成交后无法供货的按照电子卖场管理办法进行处罚。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5</w:t>
      </w:r>
      <w:r w:rsidRPr="0080387F">
        <w:rPr>
          <w:rFonts w:hint="eastAsia"/>
          <w:color w:val="000000" w:themeColor="text1"/>
          <w:sz w:val="28"/>
          <w:szCs w:val="28"/>
        </w:rPr>
        <w:t>、交货地点：采购单位指定地点。</w:t>
      </w:r>
    </w:p>
    <w:p w:rsidR="0080387F" w:rsidRPr="0080387F" w:rsidRDefault="0080387F" w:rsidP="0080387F">
      <w:pPr>
        <w:pStyle w:val="a4"/>
        <w:rPr>
          <w:color w:val="000000" w:themeColor="text1"/>
          <w:sz w:val="28"/>
          <w:szCs w:val="28"/>
        </w:rPr>
      </w:pPr>
      <w:r w:rsidRPr="0080387F">
        <w:rPr>
          <w:rFonts w:hint="eastAsia"/>
          <w:color w:val="000000" w:themeColor="text1"/>
          <w:sz w:val="28"/>
          <w:szCs w:val="28"/>
        </w:rPr>
        <w:t>6</w:t>
      </w:r>
      <w:r w:rsidRPr="0080387F">
        <w:rPr>
          <w:rFonts w:hint="eastAsia"/>
          <w:color w:val="000000" w:themeColor="text1"/>
          <w:sz w:val="28"/>
          <w:szCs w:val="28"/>
        </w:rPr>
        <w:t>、其它要求：为保证项目质量，反向竞价报价明显低于成本价的，采购人有权拒绝该报价。</w:t>
      </w:r>
    </w:p>
    <w:p w:rsidR="00B97C03" w:rsidRPr="0080387F" w:rsidRDefault="00B97C03">
      <w:pPr>
        <w:rPr>
          <w:rFonts w:ascii="宋体" w:hAnsi="宋体"/>
          <w:color w:val="000000" w:themeColor="text1"/>
          <w:szCs w:val="24"/>
        </w:rPr>
      </w:pPr>
    </w:p>
    <w:sectPr w:rsidR="00B97C03" w:rsidRPr="0080387F" w:rsidSect="00B97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08" w:rsidRDefault="00734E08" w:rsidP="00734E08">
      <w:pPr>
        <w:spacing w:after="0"/>
      </w:pPr>
      <w:r>
        <w:separator/>
      </w:r>
    </w:p>
  </w:endnote>
  <w:endnote w:type="continuationSeparator" w:id="1">
    <w:p w:rsidR="00734E08" w:rsidRDefault="00734E08" w:rsidP="00734E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RWCMEL+ËÎÌå">
    <w:altName w:val="微软雅黑"/>
    <w:charset w:val="01"/>
    <w:family w:val="auto"/>
    <w:pitch w:val="default"/>
    <w:sig w:usb0="00000000" w:usb1="00000000" w:usb2="0000000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08" w:rsidRDefault="00734E08" w:rsidP="00734E08">
      <w:pPr>
        <w:spacing w:after="0"/>
      </w:pPr>
      <w:r>
        <w:separator/>
      </w:r>
    </w:p>
  </w:footnote>
  <w:footnote w:type="continuationSeparator" w:id="1">
    <w:p w:rsidR="00734E08" w:rsidRDefault="00734E08" w:rsidP="00734E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037F8"/>
    <w:multiLevelType w:val="singleLevel"/>
    <w:tmpl w:val="FEC037F8"/>
    <w:lvl w:ilvl="0">
      <w:start w:val="2"/>
      <w:numFmt w:val="decimal"/>
      <w:suff w:val="nothing"/>
      <w:lvlText w:val="%1、"/>
      <w:lvlJc w:val="left"/>
    </w:lvl>
  </w:abstractNum>
  <w:abstractNum w:abstractNumId="1">
    <w:nsid w:val="383EAB18"/>
    <w:multiLevelType w:val="singleLevel"/>
    <w:tmpl w:val="383EAB18"/>
    <w:lvl w:ilvl="0">
      <w:start w:val="9"/>
      <w:numFmt w:val="decimal"/>
      <w:suff w:val="space"/>
      <w:lvlText w:val="%1、"/>
      <w:lvlJc w:val="left"/>
      <w:pPr>
        <w:ind w:left="68" w:firstLine="0"/>
      </w:pPr>
    </w:lvl>
  </w:abstractNum>
  <w:abstractNum w:abstractNumId="2">
    <w:nsid w:val="4B1F1C3A"/>
    <w:multiLevelType w:val="multilevel"/>
    <w:tmpl w:val="4B1F1C3A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26D13"/>
    <w:rsid w:val="00323B43"/>
    <w:rsid w:val="003D37D8"/>
    <w:rsid w:val="00426133"/>
    <w:rsid w:val="004358AB"/>
    <w:rsid w:val="00602D12"/>
    <w:rsid w:val="00686344"/>
    <w:rsid w:val="00704E7C"/>
    <w:rsid w:val="00734E08"/>
    <w:rsid w:val="00755D9D"/>
    <w:rsid w:val="0080387F"/>
    <w:rsid w:val="008B7726"/>
    <w:rsid w:val="00A00FC4"/>
    <w:rsid w:val="00B97C03"/>
    <w:rsid w:val="00BF687E"/>
    <w:rsid w:val="00CD3B5B"/>
    <w:rsid w:val="00D31D50"/>
    <w:rsid w:val="00D83E4C"/>
    <w:rsid w:val="00EA62F6"/>
    <w:rsid w:val="07ED2DC5"/>
    <w:rsid w:val="131F4512"/>
    <w:rsid w:val="14127285"/>
    <w:rsid w:val="142A134C"/>
    <w:rsid w:val="17C1383E"/>
    <w:rsid w:val="1A025E97"/>
    <w:rsid w:val="1D74464B"/>
    <w:rsid w:val="1E4D7E0C"/>
    <w:rsid w:val="1E834584"/>
    <w:rsid w:val="241D7A20"/>
    <w:rsid w:val="2A15444C"/>
    <w:rsid w:val="2FA019D5"/>
    <w:rsid w:val="32F13D05"/>
    <w:rsid w:val="33270A84"/>
    <w:rsid w:val="36767F20"/>
    <w:rsid w:val="371D0542"/>
    <w:rsid w:val="39A712F6"/>
    <w:rsid w:val="3ACC15DE"/>
    <w:rsid w:val="3D6834F6"/>
    <w:rsid w:val="40101B6A"/>
    <w:rsid w:val="409E0F0F"/>
    <w:rsid w:val="492C6074"/>
    <w:rsid w:val="5248293D"/>
    <w:rsid w:val="52FE1656"/>
    <w:rsid w:val="549E07CB"/>
    <w:rsid w:val="564A0345"/>
    <w:rsid w:val="56721F6D"/>
    <w:rsid w:val="5BAE76CB"/>
    <w:rsid w:val="63FE6A5A"/>
    <w:rsid w:val="6E7B501D"/>
    <w:rsid w:val="6EE40BC5"/>
    <w:rsid w:val="74F1630C"/>
    <w:rsid w:val="782F3EA4"/>
    <w:rsid w:val="7A346811"/>
    <w:rsid w:val="7B3A32D3"/>
    <w:rsid w:val="7C4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7C0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B97C03"/>
    <w:pPr>
      <w:keepNext/>
      <w:keepLines/>
      <w:adjustRightInd/>
      <w:snapToGrid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7C03"/>
    <w:pPr>
      <w:keepNext/>
      <w:keepLines/>
      <w:widowControl w:val="0"/>
      <w:adjustRightInd/>
      <w:snapToGrid/>
      <w:spacing w:before="260" w:after="260" w:line="415" w:lineRule="auto"/>
      <w:jc w:val="both"/>
      <w:outlineLvl w:val="1"/>
    </w:pPr>
    <w:rPr>
      <w:rFonts w:ascii="Cambria" w:eastAsia="宋体" w:hAnsi="Cambria" w:cs="宋体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7C03"/>
    <w:pPr>
      <w:keepNext/>
      <w:keepLines/>
      <w:widowControl w:val="0"/>
      <w:adjustRightInd/>
      <w:snapToGrid/>
      <w:spacing w:before="280" w:after="290" w:line="374" w:lineRule="auto"/>
      <w:jc w:val="both"/>
      <w:outlineLvl w:val="4"/>
    </w:pPr>
    <w:rPr>
      <w:rFonts w:ascii="Calibri" w:eastAsia="宋体" w:hAnsi="Calibri" w:cs="Times New Roman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B97C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Body Text"/>
    <w:basedOn w:val="a"/>
    <w:link w:val="Char"/>
    <w:uiPriority w:val="99"/>
    <w:semiHidden/>
    <w:unhideWhenUsed/>
    <w:qFormat/>
    <w:rsid w:val="00B97C03"/>
    <w:pPr>
      <w:widowControl w:val="0"/>
      <w:adjustRightInd/>
      <w:snapToGrid/>
      <w:spacing w:after="120"/>
      <w:jc w:val="both"/>
    </w:pPr>
    <w:rPr>
      <w:rFonts w:ascii="Times New Roman" w:eastAsia="宋体" w:hAnsi="Calibri" w:cs="Times New Roman"/>
      <w:kern w:val="2"/>
      <w:sz w:val="21"/>
      <w:szCs w:val="24"/>
    </w:rPr>
  </w:style>
  <w:style w:type="paragraph" w:styleId="a5">
    <w:name w:val="Body Text Indent"/>
    <w:basedOn w:val="a"/>
    <w:qFormat/>
    <w:rsid w:val="00B97C03"/>
    <w:pPr>
      <w:spacing w:after="120"/>
      <w:ind w:leftChars="200" w:left="420"/>
    </w:pPr>
  </w:style>
  <w:style w:type="paragraph" w:styleId="20">
    <w:name w:val="Body Text First Indent 2"/>
    <w:basedOn w:val="a5"/>
    <w:unhideWhenUsed/>
    <w:qFormat/>
    <w:rsid w:val="00B97C03"/>
    <w:pPr>
      <w:ind w:firstLineChars="200" w:firstLine="420"/>
    </w:pPr>
  </w:style>
  <w:style w:type="table" w:styleId="a6">
    <w:name w:val="Table Grid"/>
    <w:basedOn w:val="a2"/>
    <w:qFormat/>
    <w:rsid w:val="00B97C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qFormat/>
    <w:rsid w:val="00B97C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sid w:val="00B97C03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5Char">
    <w:name w:val="标题 5 Char"/>
    <w:basedOn w:val="a1"/>
    <w:link w:val="5"/>
    <w:uiPriority w:val="9"/>
    <w:semiHidden/>
    <w:qFormat/>
    <w:rsid w:val="00B97C03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Char">
    <w:name w:val="正文文本 Char"/>
    <w:basedOn w:val="a1"/>
    <w:link w:val="a4"/>
    <w:uiPriority w:val="99"/>
    <w:semiHidden/>
    <w:qFormat/>
    <w:rsid w:val="00B97C03"/>
    <w:rPr>
      <w:rFonts w:ascii="Times New Roman" w:eastAsia="宋体" w:hAnsi="Calibri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97C0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0">
    <w:name w:val="列出段落1"/>
    <w:basedOn w:val="a"/>
    <w:qFormat/>
    <w:rsid w:val="00B97C03"/>
    <w:pPr>
      <w:adjustRightInd/>
      <w:snapToGrid/>
      <w:spacing w:after="0"/>
      <w:ind w:firstLineChars="200" w:firstLine="420"/>
    </w:pPr>
    <w:rPr>
      <w:rFonts w:ascii="Calibri" w:eastAsia="宋体" w:hAnsi="Calibri" w:cs="黑体"/>
      <w:sz w:val="24"/>
    </w:rPr>
  </w:style>
  <w:style w:type="paragraph" w:customStyle="1" w:styleId="Style5">
    <w:name w:val="_Style 5"/>
    <w:basedOn w:val="a"/>
    <w:uiPriority w:val="99"/>
    <w:qFormat/>
    <w:rsid w:val="00B97C03"/>
    <w:pPr>
      <w:adjustRightInd/>
      <w:snapToGrid/>
      <w:spacing w:after="0"/>
      <w:ind w:firstLineChars="200" w:firstLine="420"/>
    </w:pPr>
    <w:rPr>
      <w:rFonts w:ascii="??" w:eastAsia="Calibri" w:hAnsi="??" w:cs="Times New Roman"/>
      <w:sz w:val="24"/>
    </w:rPr>
  </w:style>
  <w:style w:type="character" w:customStyle="1" w:styleId="NormalCharacter">
    <w:name w:val="NormalCharacter"/>
    <w:qFormat/>
    <w:rsid w:val="00B97C03"/>
  </w:style>
  <w:style w:type="paragraph" w:styleId="a8">
    <w:name w:val="header"/>
    <w:basedOn w:val="a"/>
    <w:link w:val="Char0"/>
    <w:uiPriority w:val="99"/>
    <w:semiHidden/>
    <w:unhideWhenUsed/>
    <w:rsid w:val="00734E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734E0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1147</Words>
  <Characters>419</Characters>
  <Application>Microsoft Office Word</Application>
  <DocSecurity>0</DocSecurity>
  <Lines>3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24429</dc:creator>
  <cp:lastModifiedBy>PC</cp:lastModifiedBy>
  <cp:revision>8</cp:revision>
  <dcterms:created xsi:type="dcterms:W3CDTF">2008-09-11T17:20:00Z</dcterms:created>
  <dcterms:modified xsi:type="dcterms:W3CDTF">2022-01-24T10:12:00Z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