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等线" w:cs="Times New Roman"/>
          <w:b/>
          <w:sz w:val="32"/>
          <w:szCs w:val="32"/>
        </w:rPr>
      </w:pPr>
      <w:r>
        <w:rPr>
          <w:rFonts w:hint="eastAsia" w:ascii="宋体" w:hAnsi="宋体" w:eastAsia="等线" w:cs="Times New Roman"/>
          <w:b/>
          <w:sz w:val="32"/>
          <w:szCs w:val="32"/>
          <w:lang w:val="en-US" w:eastAsia="zh-CN"/>
        </w:rPr>
        <w:t>服务</w:t>
      </w:r>
      <w:r>
        <w:rPr>
          <w:rFonts w:hint="eastAsia" w:ascii="宋体" w:hAnsi="宋体" w:eastAsia="等线" w:cs="Times New Roman"/>
          <w:b/>
          <w:sz w:val="32"/>
          <w:szCs w:val="32"/>
        </w:rPr>
        <w:t>采购需求</w:t>
      </w:r>
    </w:p>
    <w:tbl>
      <w:tblPr>
        <w:tblStyle w:val="8"/>
        <w:tblpPr w:leftFromText="180" w:rightFromText="180" w:vertAnchor="text" w:tblpX="-452" w:tblpY="1"/>
        <w:tblOverlap w:val="never"/>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681"/>
        <w:gridCol w:w="5942"/>
        <w:gridCol w:w="658"/>
        <w:gridCol w:w="62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noWrap w:val="0"/>
            <w:vAlign w:val="center"/>
          </w:tcPr>
          <w:p>
            <w:pPr>
              <w:keepNext w:val="0"/>
              <w:keepLines w:val="0"/>
              <w:widowControl/>
              <w:suppressLineNumbers w:val="0"/>
              <w:spacing w:line="360" w:lineRule="auto"/>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序号</w:t>
            </w:r>
          </w:p>
        </w:tc>
        <w:tc>
          <w:tcPr>
            <w:tcW w:w="681" w:type="dxa"/>
            <w:noWrap w:val="0"/>
            <w:vAlign w:val="center"/>
          </w:tcPr>
          <w:p>
            <w:pPr>
              <w:keepNext w:val="0"/>
              <w:keepLines w:val="0"/>
              <w:widowControl/>
              <w:suppressLineNumbers w:val="0"/>
              <w:spacing w:line="360" w:lineRule="auto"/>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服务名称</w:t>
            </w:r>
          </w:p>
        </w:tc>
        <w:tc>
          <w:tcPr>
            <w:tcW w:w="5942" w:type="dxa"/>
            <w:noWrap w:val="0"/>
            <w:vAlign w:val="center"/>
          </w:tcPr>
          <w:p>
            <w:pPr>
              <w:keepNext w:val="0"/>
              <w:keepLines w:val="0"/>
              <w:widowControl/>
              <w:suppressLineNumbers w:val="0"/>
              <w:spacing w:line="360" w:lineRule="auto"/>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技术参数要求</w:t>
            </w:r>
          </w:p>
        </w:tc>
        <w:tc>
          <w:tcPr>
            <w:tcW w:w="6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数量</w:t>
            </w:r>
          </w:p>
        </w:tc>
        <w:tc>
          <w:tcPr>
            <w:tcW w:w="62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单位</w:t>
            </w:r>
          </w:p>
        </w:tc>
        <w:tc>
          <w:tcPr>
            <w:tcW w:w="96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9" w:type="dxa"/>
            <w:vMerge w:val="restart"/>
            <w:noWrap w:val="0"/>
            <w:vAlign w:val="center"/>
          </w:tcPr>
          <w:p>
            <w:pPr>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81"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数据上报平台</w:t>
            </w:r>
          </w:p>
          <w:p>
            <w:pPr>
              <w:widowControl/>
              <w:spacing w:line="360" w:lineRule="auto"/>
              <w:jc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服务</w:t>
            </w: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一、数据资产管理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基于2023年教育部职业院校数据中台高职数据标准规范，自动化构建满足教育部数据标准规范要求的共享数据库，并根据后续教育部职业院校数据中台高职数据标准规范的变化系统实现动态添加和调整。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1、数据目录管理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教育部全国职业教育智慧大脑院校中台中/高职数据标准及接口规范(试行)数据集为指引，支持数据资产目录列表展示，并根据教育部数据子集目录更新版本，定期进行同步，确保数据目录和教育部数据标准保持一致。主要功能包括目录名称、目录编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2、资产对象管理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对象列表：以教育部全国职业教育智慧大脑院校中台中/高职数据标准及接口规范(试行)数据集为指引，支持数据对象列表展示，支持根据教育部数据对象更新版本，定期进行同步，确保数据对象和教育部数据标准保持一致。主要功能包括数据对象所属数据目录、数据对象名称、数据对象中文名称、数据对象分类、数据记录数、字段数、同步状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对象字段配置：以教育部全国职业教育智慧大脑院校中台中/高职数据标准及接口规范(试行)数据项为指引，支持数据对象字段可视化构建，定期进行同步，确保数据对象字段和教育部数据标准保持一致。主要功能包括字段名称、中文名称、字段类型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对象字段维护：以教育部全国职业教育智慧大脑院校中台中/高职数据标准及接口规范(试行)数据项为指引，支持数据对象字段维护，通过此功能可实现数据项字段快速维护。主要功能包括字段名称、是否主键、中文名称、字段类型、字段描述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对象字段构建与预览：以教育部全国职业教育智慧大脑院校中台中/高职数据标准及接口规范(试行)数据项为指引，支持数据对象字段快速构建，通过此功能平台内置数据库生生成脚本，通过脚本实现数据对象快速生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（5）数据明细查询：实现数据资产明细信息的快速查询，元数据管理，根据选择的数据表不同，支持查询具体的数据明细情况，主要功能包括：按汇聚日期查询、数据删除等功能。</w:t>
            </w:r>
          </w:p>
        </w:tc>
        <w:tc>
          <w:tcPr>
            <w:tcW w:w="658" w:type="dxa"/>
            <w:vMerge w:val="restart"/>
            <w:noWrap w:val="0"/>
            <w:vAlign w:val="center"/>
          </w:tcPr>
          <w:p>
            <w:pPr>
              <w:keepNext w:val="0"/>
              <w:keepLines w:val="0"/>
              <w:widowControl/>
              <w:suppressLineNumbers w:val="0"/>
              <w:spacing w:line="360" w:lineRule="auto"/>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623"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Merge w:val="restart"/>
            <w:noWrap w:val="0"/>
            <w:vAlign w:val="center"/>
          </w:tcPr>
          <w:p>
            <w:pPr>
              <w:keepNext w:val="0"/>
              <w:keepLines w:val="0"/>
              <w:widowControl/>
              <w:suppressLineNumbers w:val="0"/>
              <w:spacing w:line="360" w:lineRule="auto"/>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39" w:type="dxa"/>
            <w:vMerge w:val="continue"/>
            <w:noWrap w:val="0"/>
            <w:vAlign w:val="center"/>
          </w:tcPr>
          <w:p>
            <w:pPr>
              <w:spacing w:line="360" w:lineRule="auto"/>
              <w:jc w:val="center"/>
              <w:rPr>
                <w:rFonts w:ascii="宋体" w:hAnsi="宋体" w:eastAsia="宋体" w:cs="宋体"/>
                <w:color w:val="000000"/>
                <w:kern w:val="0"/>
                <w:sz w:val="21"/>
                <w:szCs w:val="21"/>
              </w:rPr>
            </w:pPr>
          </w:p>
        </w:tc>
        <w:tc>
          <w:tcPr>
            <w:tcW w:w="681" w:type="dxa"/>
            <w:vMerge w:val="continue"/>
            <w:noWrap w:val="0"/>
            <w:vAlign w:val="center"/>
          </w:tcPr>
          <w:p>
            <w:pPr>
              <w:spacing w:line="360" w:lineRule="auto"/>
              <w:jc w:val="center"/>
              <w:rPr>
                <w:rFonts w:ascii="宋体" w:hAnsi="宋体" w:eastAsia="宋体" w:cs="宋体"/>
                <w:color w:val="000000"/>
                <w:kern w:val="0"/>
                <w:sz w:val="21"/>
                <w:szCs w:val="21"/>
              </w:rPr>
            </w:pP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二、数据标准管理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1、标准目录管理：支持数据标准代码集可视化管理，主要功能包括：目录名称、目录编码，排序等功能。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2、标准配置管理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（1）数据标准统计：以教育部全国职业教育智慧大脑院校中台中/高职数据标准及接口规范(试行)代码集为指引，支持数据标准代码集全量建设。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（2）数据标准配置：以教育部全国职业教育智慧大脑院校中台中/高职数据标准及接口规范(试行)代码集为指引，支持数据标准代码集配置，主要功能包括：数据标准代码名称、数据标准编码、是否启用等功能。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3、标准映射管理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教育部全国职业教育智慧大脑院校中台中/高职数据标准及接口规范(试行)代码集为指引，支持数据对象与引用标准代码之间的关联关系建设，将建立的映射关系应用到实际的数据转换和集成过程中，确保数据的一致性和准确性。，将建立的映射关系应用到实际的数据转换和集成过程中，确保数据的一致性和准确性。</w:t>
            </w:r>
          </w:p>
        </w:tc>
        <w:tc>
          <w:tcPr>
            <w:tcW w:w="658" w:type="dxa"/>
            <w:vMerge w:val="continue"/>
            <w:noWrap w:val="0"/>
            <w:vAlign w:val="center"/>
          </w:tcPr>
          <w:p>
            <w:pPr>
              <w:widowControl/>
              <w:spacing w:line="360" w:lineRule="auto"/>
              <w:jc w:val="left"/>
              <w:rPr>
                <w:rFonts w:ascii="宋体" w:hAnsi="宋体" w:eastAsia="宋体" w:cs="宋体"/>
                <w:color w:val="000000"/>
                <w:kern w:val="0"/>
                <w:sz w:val="21"/>
                <w:szCs w:val="21"/>
              </w:rPr>
            </w:pPr>
          </w:p>
        </w:tc>
        <w:tc>
          <w:tcPr>
            <w:tcW w:w="623" w:type="dxa"/>
            <w:vMerge w:val="continue"/>
            <w:noWrap w:val="0"/>
            <w:vAlign w:val="center"/>
          </w:tcPr>
          <w:p>
            <w:pPr>
              <w:widowControl/>
              <w:spacing w:line="360" w:lineRule="auto"/>
              <w:jc w:val="left"/>
              <w:rPr>
                <w:rFonts w:ascii="宋体" w:hAnsi="宋体" w:eastAsia="宋体" w:cs="宋体"/>
                <w:color w:val="000000"/>
                <w:kern w:val="0"/>
                <w:sz w:val="21"/>
                <w:szCs w:val="21"/>
              </w:rPr>
            </w:pPr>
          </w:p>
        </w:tc>
        <w:tc>
          <w:tcPr>
            <w:tcW w:w="969" w:type="dxa"/>
            <w:vMerge w:val="continue"/>
            <w:noWrap w:val="0"/>
            <w:vAlign w:val="center"/>
          </w:tcPr>
          <w:p>
            <w:pPr>
              <w:widowControl/>
              <w:spacing w:line="360" w:lineRule="auto"/>
              <w:jc w:val="left"/>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9" w:type="dxa"/>
            <w:vMerge w:val="continue"/>
            <w:noWrap w:val="0"/>
            <w:vAlign w:val="center"/>
          </w:tcPr>
          <w:p>
            <w:pPr>
              <w:spacing w:line="360" w:lineRule="auto"/>
              <w:jc w:val="center"/>
              <w:rPr>
                <w:rFonts w:ascii="宋体" w:hAnsi="宋体" w:eastAsia="宋体" w:cs="宋体"/>
                <w:color w:val="000000"/>
                <w:kern w:val="0"/>
                <w:sz w:val="21"/>
                <w:szCs w:val="21"/>
              </w:rPr>
            </w:pPr>
          </w:p>
        </w:tc>
        <w:tc>
          <w:tcPr>
            <w:tcW w:w="681" w:type="dxa"/>
            <w:vMerge w:val="continue"/>
            <w:noWrap w:val="0"/>
            <w:vAlign w:val="center"/>
          </w:tcPr>
          <w:p>
            <w:pPr>
              <w:spacing w:line="360" w:lineRule="auto"/>
              <w:jc w:val="center"/>
              <w:rPr>
                <w:rFonts w:ascii="宋体" w:hAnsi="宋体" w:eastAsia="宋体" w:cs="宋体"/>
                <w:color w:val="000000"/>
                <w:kern w:val="0"/>
                <w:sz w:val="21"/>
                <w:szCs w:val="21"/>
              </w:rPr>
            </w:pP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三、有源数据采集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针对有源数据采集，依托学校大数据中心将治理好的数据，存储到中间库，平台通过数据源管理，实现中间库链接信息的可视化配置，支持数据库及时联通，并提供连接测试，主要功能包括：数据源类型、数据源名称、关联客户端、数据库用户名、数据库密码、数据库名称数据库连接地址、数据库驱动等功能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2、库表采集任务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库表采集任务列表：针对有源数据采集，支持库表同步离线任务列表展示，支持快速查询库表同步任务信息。主要功能包括：采集任务列表展示，采集任务执行，执行记录查询、采集任务维护、采集任务删除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库表采集任务构建原始库数据字段配置:针对有源数据采集，支持库表同步离线任务创建，支持通过构建任务基础信息，拉取数据表字段信息，快速实现和原始库数据表字段绑定和对应，主要功能包括：任务名称、关联数据源、数据库名称、原始数据库表名称、原始数据库表字段信息、原始库表字段信息选择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库表采集任务构建目标库数据字段配置:针对有源数据采集，支持库表同步离线任务创建，通过构建任务基础信息，配置数据入库目标表信息，实现数据同步，主要功能包括：目标数据源类型、目标数据对象、原始数据对象字段、目标表数据表字段、目标表数据字段选择及字段信息预览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库表采集任务创建：针对有源数据采集，实现库表同步离线任务创建，支持构建任务基础信息，配置数据采集任务速率，采集任务频率等定时任务信息，实现原始数据按照业务规则要求的频率进行数据同步，同时根据数据大小可在线配置JVM性能参数指标，主要功能包括：JVM参数配置、采集速率、字节大小、定时任务Cron表达式构建、任务超时时间、失败重试次数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3、库表采集任务执行记录查询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针对有源数据采集，实现库表采集任务执行记录列表查询，支持通过列表可直观体现当期库表采集任务构建情况，并提供任务停止和详情查看功能。主要功能模块包括：任务执行地址、任务执行方法、触发时间、触发状态、执行时间、执行状态等功能。</w:t>
            </w:r>
          </w:p>
        </w:tc>
        <w:tc>
          <w:tcPr>
            <w:tcW w:w="658"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623"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969"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vMerge w:val="continue"/>
            <w:noWrap w:val="0"/>
            <w:vAlign w:val="center"/>
          </w:tcPr>
          <w:p>
            <w:pPr>
              <w:spacing w:line="360" w:lineRule="auto"/>
              <w:jc w:val="center"/>
              <w:rPr>
                <w:rFonts w:ascii="宋体" w:hAnsi="宋体" w:eastAsia="宋体" w:cs="宋体"/>
                <w:color w:val="000000"/>
                <w:kern w:val="0"/>
                <w:sz w:val="21"/>
                <w:szCs w:val="21"/>
              </w:rPr>
            </w:pPr>
          </w:p>
        </w:tc>
        <w:tc>
          <w:tcPr>
            <w:tcW w:w="681" w:type="dxa"/>
            <w:vMerge w:val="continue"/>
            <w:noWrap w:val="0"/>
            <w:vAlign w:val="center"/>
          </w:tcPr>
          <w:p>
            <w:pPr>
              <w:spacing w:line="360" w:lineRule="auto"/>
              <w:jc w:val="center"/>
              <w:rPr>
                <w:rFonts w:ascii="宋体" w:hAnsi="宋体" w:eastAsia="宋体" w:cs="宋体"/>
                <w:color w:val="000000"/>
                <w:kern w:val="0"/>
                <w:sz w:val="21"/>
                <w:szCs w:val="21"/>
              </w:rPr>
            </w:pP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四、无源数据采集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1、文件模板配置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文件模板配置列表：针对无源数据采集，以教育部全国职业教育智慧大脑院校中台中/高职数据标准及接口规范(试行)数据集为指引，实现文件导入模板生成，支持通过列表的方式展示已生成的数据表格模板，方便学校使用人员日常添加和维护文件采集模板，主要功能包括：模板名称、目标数据对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件模板配置自动构建:针对无源数据采集，以教育部全国职业教育智慧大脑院校中台中/高职数据标准及接口规范(试行)数据集为指引，支持文件导入模板生成，内嵌excel表格，可直观查看已生成的数据采集模板字段信息，同时动态制定数据写入行数，和数据入库对象，主要功能包括：文件模板名称、所属数据对象、数据写入起始行、中文字段行、英文字段行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2、文件上传管理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文件上传列表展示:通过文件上传列表展示功能可查看文件导入情况，支持已导入文件下载功能，通过下载后的文件可在原有数据基础上实现数据的新增和修改，方便学校查询文件导入情况和数据采集、入库情况，主要功能包括：文件名称、文件大小、上传时间、上传目标数据对象、文件解析时间、采集数据量、入库数据量、文件状态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件上传：支持通过文件上传功能实现数据快速导入，在导入的过程中系统会自动检测数据，如不满足模板要求，则无法导入并给出异常信息，方便操作人员修改后重新上传。主要功能包括：目标数据对象、文件上传超时时间、对应文件模板，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3、文件在线填报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文件在线填报列表展示：针对数据量较小的业务数据，支持文件在线填报功能，通过列表展示，可直观查看当前文件在线填报情况，主要功能包括：模板名称、目标数据对象名称、创建时间、在线填报、填报记录查询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（2）文件填报记录查询：支持展示当前数据填报基本信息，主要功能包括：目标数据对象、模板名称、填报时间、填报人、数据状态、审核状态等功能。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（3）填报记录详情查询：填报记录详情查询支持当前数据填报详情及记录，数据填报人员可查询目前填报的数据情况。</w:t>
            </w:r>
          </w:p>
        </w:tc>
        <w:tc>
          <w:tcPr>
            <w:tcW w:w="658"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623"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969"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vMerge w:val="continue"/>
            <w:noWrap w:val="0"/>
            <w:vAlign w:val="center"/>
          </w:tcPr>
          <w:p>
            <w:pPr>
              <w:spacing w:line="360" w:lineRule="auto"/>
              <w:jc w:val="center"/>
              <w:rPr>
                <w:rFonts w:ascii="宋体" w:hAnsi="宋体" w:eastAsia="宋体" w:cs="宋体"/>
                <w:color w:val="000000"/>
                <w:kern w:val="0"/>
                <w:sz w:val="21"/>
                <w:szCs w:val="21"/>
              </w:rPr>
            </w:pPr>
          </w:p>
        </w:tc>
        <w:tc>
          <w:tcPr>
            <w:tcW w:w="681" w:type="dxa"/>
            <w:vMerge w:val="continue"/>
            <w:noWrap w:val="0"/>
            <w:vAlign w:val="center"/>
          </w:tcPr>
          <w:p>
            <w:pPr>
              <w:spacing w:line="360" w:lineRule="auto"/>
              <w:jc w:val="center"/>
              <w:rPr>
                <w:rFonts w:ascii="宋体" w:hAnsi="宋体" w:eastAsia="宋体" w:cs="宋体"/>
                <w:color w:val="000000"/>
                <w:kern w:val="0"/>
                <w:sz w:val="21"/>
                <w:szCs w:val="21"/>
              </w:rPr>
            </w:pP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五、数据审核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数据合规，平台针对文件上传的数据需提供数据审核功能，审核人员可在数据审核界面查看当前填报的数据信息，如填报有误可驳回修改后再次上报，只有审核通过的数据才能上报部级中台，主要功能包括：表名、填报人、填报时间、审核人、审核时间等功能。</w:t>
            </w:r>
          </w:p>
        </w:tc>
        <w:tc>
          <w:tcPr>
            <w:tcW w:w="658"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623"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969"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vMerge w:val="continue"/>
            <w:noWrap w:val="0"/>
            <w:vAlign w:val="center"/>
          </w:tcPr>
          <w:p>
            <w:pPr>
              <w:spacing w:line="360" w:lineRule="auto"/>
              <w:jc w:val="center"/>
              <w:rPr>
                <w:rFonts w:ascii="宋体" w:hAnsi="宋体" w:eastAsia="宋体" w:cs="宋体"/>
                <w:color w:val="000000"/>
                <w:kern w:val="0"/>
                <w:sz w:val="21"/>
                <w:szCs w:val="21"/>
              </w:rPr>
            </w:pPr>
          </w:p>
        </w:tc>
        <w:tc>
          <w:tcPr>
            <w:tcW w:w="681" w:type="dxa"/>
            <w:vMerge w:val="continue"/>
            <w:noWrap w:val="0"/>
            <w:vAlign w:val="center"/>
          </w:tcPr>
          <w:p>
            <w:pPr>
              <w:spacing w:line="360" w:lineRule="auto"/>
              <w:jc w:val="center"/>
              <w:rPr>
                <w:rFonts w:ascii="宋体" w:hAnsi="宋体" w:eastAsia="宋体" w:cs="宋体"/>
                <w:color w:val="000000"/>
                <w:kern w:val="0"/>
                <w:sz w:val="21"/>
                <w:szCs w:val="21"/>
              </w:rPr>
            </w:pP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六、数据上报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1、上报任务管理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上报任务列表展示：以教育部全国职业教育智慧大脑院校中台中/高职数据标准及接口规范(试行)数据上报频率为指引，支持数据上报任务构建，通过数据上报任务列表，可查询当期数据上报任务执行情况，主要功能包括：上报任务名称、数据上报表英文名称、数据上报表中文名称、定时任务表达式、最后一次执行时间、定时状态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报任务创建：以教育部全国职业教育智慧大脑院校中台中/高职数据标准及接口规范(试行)数据上报频率为指引，支持数据上报任务构建，通过新建数据上报任务，结合数据上报频率，配置定时任务执行表达式，实现数据上报任务自动构建和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（3）数据上报日志查询：平台需支持数据上报任务日志查询功能，通过可视化日志查询功能，方便运维人员快速定位数据上报过程中所产生的问题。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上报推送记录查询：平台需支持数据上报推送记录查询功能和部级中台接口调用无缝衔接，在数据推送过程中，可实时查询部级中台返回的错误信息，方便学校数据上报人员及时了解数据入库信息和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2、上报用户管理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上报用户管理通过配置部级中台下发数据对接账号信息，自动连接数据上报接口。主要功能包括：用户名、密码、AppKey配置。</w:t>
            </w:r>
          </w:p>
        </w:tc>
        <w:tc>
          <w:tcPr>
            <w:tcW w:w="658"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623"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969"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vMerge w:val="continue"/>
            <w:noWrap w:val="0"/>
            <w:vAlign w:val="center"/>
          </w:tcPr>
          <w:p>
            <w:pPr>
              <w:spacing w:line="360" w:lineRule="auto"/>
              <w:jc w:val="center"/>
              <w:rPr>
                <w:rFonts w:ascii="宋体" w:hAnsi="宋体" w:eastAsia="宋体" w:cs="宋体"/>
                <w:color w:val="000000"/>
                <w:kern w:val="0"/>
                <w:sz w:val="21"/>
                <w:szCs w:val="21"/>
              </w:rPr>
            </w:pPr>
          </w:p>
        </w:tc>
        <w:tc>
          <w:tcPr>
            <w:tcW w:w="681" w:type="dxa"/>
            <w:vMerge w:val="continue"/>
            <w:noWrap w:val="0"/>
            <w:vAlign w:val="center"/>
          </w:tcPr>
          <w:p>
            <w:pPr>
              <w:spacing w:line="360" w:lineRule="auto"/>
              <w:jc w:val="center"/>
              <w:rPr>
                <w:rFonts w:ascii="宋体" w:hAnsi="宋体" w:eastAsia="宋体" w:cs="宋体"/>
                <w:color w:val="000000"/>
                <w:kern w:val="0"/>
                <w:sz w:val="21"/>
                <w:szCs w:val="21"/>
              </w:rPr>
            </w:pP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七、大屏数据展示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1、数据上报总体概况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通过和全国职教中台接口同步，显示数据上报总体概况，包括：总上报记录数、上报合规数量、上报接口调用次数、上报数据对象总数、总体完成率等指标。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2、数据上报统计结果查询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教育部全国职业教育智慧大脑院校中台高职数据标准及接口规范(试行)为规范标准，动态展示高职85张表数据上报情况，主要功能包括：数据表名称、上报频次、当期周期数据上报量、推送量、详细记录查询等功能，方便院校及时掌握每张表数据推送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3、校级数据对接情况综合展示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校级数据上报进度大屏通过对数据上报各维度进行动态分析，包括:数据上报进度统计、未上传数据表情况、数据表上报情况统计等维度统计，助力院校实时掌握数据上报进度和未上报数据表情况。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4、职教大屏展示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通过教育部已发布的职教大屏数据指标维度，本地复制院校数据指标大屏展示效果，通过大屏可视化的方式展示院校数据上报的成效。</w:t>
            </w:r>
          </w:p>
        </w:tc>
        <w:tc>
          <w:tcPr>
            <w:tcW w:w="658"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623"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969"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Merge w:val="continue"/>
            <w:noWrap w:val="0"/>
            <w:vAlign w:val="center"/>
          </w:tcPr>
          <w:p>
            <w:pPr>
              <w:spacing w:line="360" w:lineRule="auto"/>
              <w:jc w:val="center"/>
              <w:rPr>
                <w:rFonts w:ascii="宋体" w:hAnsi="宋体" w:eastAsia="宋体" w:cs="宋体"/>
                <w:color w:val="000000"/>
                <w:kern w:val="0"/>
                <w:sz w:val="21"/>
                <w:szCs w:val="21"/>
              </w:rPr>
            </w:pPr>
          </w:p>
        </w:tc>
        <w:tc>
          <w:tcPr>
            <w:tcW w:w="681" w:type="dxa"/>
            <w:vMerge w:val="continue"/>
            <w:noWrap w:val="0"/>
            <w:vAlign w:val="center"/>
          </w:tcPr>
          <w:p>
            <w:pPr>
              <w:spacing w:line="360" w:lineRule="auto"/>
              <w:jc w:val="center"/>
              <w:rPr>
                <w:rFonts w:ascii="宋体" w:hAnsi="宋体" w:eastAsia="宋体" w:cs="宋体"/>
                <w:color w:val="000000"/>
                <w:kern w:val="0"/>
                <w:sz w:val="21"/>
                <w:szCs w:val="21"/>
              </w:rPr>
            </w:pPr>
          </w:p>
        </w:tc>
        <w:tc>
          <w:tcPr>
            <w:tcW w:w="5942" w:type="dxa"/>
            <w:noWrap w:val="0"/>
            <w:vAlign w:val="center"/>
          </w:tcPr>
          <w:p>
            <w:pPr>
              <w:keepNext w:val="0"/>
              <w:keepLines w:val="0"/>
              <w:widowControl/>
              <w:suppressLineNumbers w:val="0"/>
              <w:spacing w:line="360" w:lineRule="auto"/>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八、后台管理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支持用户登录账号信息维护，角色分配、密码修改。主要功能包含：用户分组展示、用户列表展示、密码修改、用户账号新建、角色分配等功能。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2、角色管理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（1）角色列表：支持角色权限信息列表展示，主要功能包括：角色名称、角色编码、角色描述、角色状态、角色权限（查询、新增、更新、删除、执行）等功能。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（2）角色维护：支持角色权限信息维护展示，主要功能包括：角色名称、角色权限（查询、新增、更新、删除、执行）、所属菜单选择等功能。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3、菜单管理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支持全量菜单可视化管理，可根据业务场景需要动态添加和删除菜菜单。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（1）菜单列表：支持菜单层级关系展示，主要功能包括：菜单名称、菜单路径、图标、排序等功能，一般由系统初始化时自动生成。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（2）菜单维护：支持菜单信息在线修改，主要功能包括：菜单名称、图标名称、所属父级菜单、排序值、路由跳转路径等。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4、用户分组管理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用户分组管理为学校各业务部门提供细粒度的权限控制，可按业务部门建立用户信息，并提供数据权限过滤，实现业务部门权限层级区分。主要功能包括用户分组列表展示、用户分组创建。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分组列表：支持用户分组列表呈现当前学校内部组织机构设置分配情况，主要功能包括：用户分组名称、用户分组编码、数据权限（全部数据权限、本部门数据权限、本部门及以下数据权限、本人数据权限）、用户分组描述、用户分组状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分组创建：用户分组创建功能可根据，支持根据不同学校内部组织机构情况，进行灵活设置，主要功能包括：用户分组名称、所属父级、数据权限（全部数据权限、本部门数据权限、本部门及以下数据权限、本人数据权限）、分组描述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（1）登录日志：登录日志模块记录支持所有登录会话信息，包括用户名、登录时间、登录IP、登录状态、日志等信息，方便学校开展日志审计，有效保障平台登录安全。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操作日志：操作日志模块支持所有账号信息操作过程留痕，包括用户名、操作时间、操作模块、操作类型（新建、更新、删除、执行）、具体操作描述、操作IP、操作状态、错误日志记录等信息，方便学校进行操作日志审计、有效保障平台使用安全。</w:t>
            </w:r>
          </w:p>
        </w:tc>
        <w:tc>
          <w:tcPr>
            <w:tcW w:w="658"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623"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c>
          <w:tcPr>
            <w:tcW w:w="969" w:type="dxa"/>
            <w:vMerge w:val="continue"/>
            <w:noWrap w:val="0"/>
            <w:vAlign w:val="center"/>
          </w:tcPr>
          <w:p>
            <w:pPr>
              <w:widowControl/>
              <w:spacing w:line="360" w:lineRule="auto"/>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9" w:type="dxa"/>
            <w:noWrap w:val="0"/>
            <w:vAlign w:val="center"/>
          </w:tcPr>
          <w:p>
            <w:pPr>
              <w:spacing w:line="36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681" w:type="dxa"/>
            <w:noWrap w:val="0"/>
            <w:vAlign w:val="center"/>
          </w:tcPr>
          <w:p>
            <w:pPr>
              <w:spacing w:line="36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实施及售后服务</w:t>
            </w:r>
          </w:p>
        </w:tc>
        <w:tc>
          <w:tcPr>
            <w:tcW w:w="5942" w:type="dxa"/>
            <w:noWrap w:val="0"/>
            <w:vAlign w:val="center"/>
          </w:tcPr>
          <w:p>
            <w:pPr>
              <w:keepNext w:val="0"/>
              <w:keepLines w:val="0"/>
              <w:widowControl/>
              <w:numPr>
                <w:ilvl w:val="0"/>
                <w:numId w:val="0"/>
              </w:numPr>
              <w:suppressLineNumbers w:val="0"/>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一、实施服务要求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w:t>
            </w:r>
            <w:r>
              <w:rPr>
                <w:rFonts w:hint="eastAsia" w:ascii="宋体" w:hAnsi="宋体" w:eastAsia="宋体" w:cs="宋体"/>
                <w:i w:val="0"/>
                <w:iCs w:val="0"/>
                <w:color w:val="000000"/>
                <w:kern w:val="0"/>
                <w:sz w:val="21"/>
                <w:szCs w:val="21"/>
                <w:highlight w:val="none"/>
                <w:u w:val="none"/>
                <w:lang w:val="en-US" w:eastAsia="zh-CN" w:bidi="ar"/>
              </w:rPr>
              <w:t>供1条用于数据上报的700M互联网光纤专线1年。（学校已采购移动、电信、</w:t>
            </w:r>
            <w:r>
              <w:rPr>
                <w:rFonts w:hint="eastAsia" w:ascii="宋体" w:hAnsi="宋体" w:eastAsia="宋体" w:cs="宋体"/>
                <w:i w:val="0"/>
                <w:iCs w:val="0"/>
                <w:color w:val="000000"/>
                <w:kern w:val="0"/>
                <w:sz w:val="21"/>
                <w:szCs w:val="21"/>
                <w:u w:val="none"/>
                <w:lang w:val="en-US" w:eastAsia="zh-CN" w:bidi="ar"/>
              </w:rPr>
              <w:t>联通三家运营商互联网光纤专线服务，原有基础上提速700M 1年也满足该项服务要求）</w:t>
            </w:r>
          </w:p>
          <w:p>
            <w:pPr>
              <w:pStyle w:val="10"/>
              <w:numPr>
                <w:ilvl w:val="0"/>
                <w:numId w:val="0"/>
              </w:num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2、依照国家职业教育数据中台对接要求完成数据对接。</w:t>
            </w:r>
          </w:p>
          <w:p>
            <w:pPr>
              <w:pStyle w:val="10"/>
              <w:numPr>
                <w:ilvl w:val="0"/>
                <w:numId w:val="0"/>
              </w:num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3、系统交付后</w:t>
            </w:r>
            <w:r>
              <w:rPr>
                <w:rFonts w:hint="eastAsia" w:ascii="宋体" w:hAnsi="宋体" w:eastAsia="宋体" w:cs="宋体"/>
                <w:i w:val="0"/>
                <w:iCs w:val="0"/>
                <w:color w:val="000000"/>
                <w:kern w:val="0"/>
                <w:sz w:val="21"/>
                <w:szCs w:val="21"/>
                <w:highlight w:val="yellow"/>
                <w:u w:val="none"/>
                <w:lang w:val="en-US" w:eastAsia="zh-CN" w:bidi="ar"/>
              </w:rPr>
              <w:t>3个工作日</w:t>
            </w:r>
            <w:r>
              <w:rPr>
                <w:rFonts w:hint="eastAsia" w:ascii="宋体" w:hAnsi="宋体" w:eastAsia="宋体" w:cs="宋体"/>
                <w:i w:val="0"/>
                <w:iCs w:val="0"/>
                <w:color w:val="000000"/>
                <w:kern w:val="0"/>
                <w:sz w:val="21"/>
                <w:szCs w:val="21"/>
                <w:u w:val="none"/>
                <w:lang w:val="en-US" w:eastAsia="zh-CN" w:bidi="ar"/>
              </w:rPr>
              <w:t>内配合学校完成100%数据上报进度要求。</w:t>
            </w:r>
          </w:p>
          <w:p>
            <w:pPr>
              <w:spacing w:line="360" w:lineRule="auto"/>
              <w:rPr>
                <w:rFonts w:hint="eastAsia" w:ascii="宋体" w:hAnsi="宋体" w:eastAsia="宋体" w:cs="宋体"/>
                <w:i w:val="0"/>
                <w:iCs w:val="0"/>
                <w:color w:val="000000"/>
                <w:kern w:val="0"/>
                <w:sz w:val="21"/>
                <w:szCs w:val="21"/>
                <w:highlight w:val="none"/>
                <w:u w:val="none"/>
                <w:lang w:val="en-US" w:eastAsia="zh-Hans"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Hans" w:bidi="ar"/>
              </w:rPr>
              <w:t>、基于学校现有的易表通平台提供信息收集应用构建服务，按照上报数据的要求，设计收集表单和相关流程</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Hans" w:bidi="ar"/>
              </w:rPr>
              <w:t>表单设计过程中严格按照对接中台要求的数据标准进行设计，确保采集过来的数据能够直接同步上报。</w:t>
            </w:r>
          </w:p>
          <w:p>
            <w:pPr>
              <w:spacing w:line="360" w:lineRule="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二、</w:t>
            </w:r>
            <w:r>
              <w:rPr>
                <w:rFonts w:hint="eastAsia" w:ascii="宋体" w:hAnsi="宋体" w:eastAsia="宋体" w:cs="宋体"/>
                <w:i w:val="0"/>
                <w:iCs w:val="0"/>
                <w:color w:val="000000"/>
                <w:kern w:val="0"/>
                <w:sz w:val="21"/>
                <w:szCs w:val="21"/>
                <w:highlight w:val="none"/>
                <w:u w:val="none"/>
                <w:lang w:val="en-US" w:eastAsia="zh-CN" w:bidi="ar"/>
              </w:rPr>
              <w:t>售后服务要求</w:t>
            </w:r>
          </w:p>
          <w:p>
            <w:pPr>
              <w:pStyle w:val="10"/>
              <w:numPr>
                <w:ilvl w:val="0"/>
                <w:numId w:val="0"/>
              </w:numPr>
              <w:spacing w:line="360" w:lineRule="auto"/>
              <w:rPr>
                <w:rFonts w:hint="default"/>
                <w:lang w:val="en-US" w:eastAsia="zh-CN"/>
              </w:rPr>
            </w:pPr>
            <w:r>
              <w:rPr>
                <w:rFonts w:hint="eastAsia" w:ascii="宋体" w:hAnsi="宋体" w:eastAsia="宋体" w:cs="宋体"/>
                <w:i w:val="0"/>
                <w:iCs w:val="0"/>
                <w:color w:val="000000"/>
                <w:kern w:val="0"/>
                <w:sz w:val="21"/>
                <w:szCs w:val="21"/>
                <w:highlight w:val="none"/>
                <w:u w:val="none"/>
                <w:lang w:val="en-US" w:eastAsia="zh-CN" w:bidi="ar"/>
              </w:rPr>
              <w:t>1、整体项目包含2年质保服务，质保期内免费升级系统。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2、开放接口：永久免费开放本系统数据，并配合学校做数据对接调试。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3、漏洞修复：对漏洞扫描报告、安全应急事件中的数据库漏洞进行分析，对其中数据库高危漏洞进行修复。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4、现场培训：平台上线后提供不少于3场的现场集中培训。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5、远程支撑：日常提供5*8小时售后服务支撑，数据上报期间提供7*12小时售后服务支撑，通过电话、QQ群、微信群解决问题。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6、现场支撑：对远程无法解决的问题在2小时内提供现场服务支撑。</w:t>
            </w:r>
          </w:p>
        </w:tc>
        <w:tc>
          <w:tcPr>
            <w:tcW w:w="658" w:type="dxa"/>
            <w:noWrap w:val="0"/>
            <w:vAlign w:val="center"/>
          </w:tcPr>
          <w:p>
            <w:pPr>
              <w:widowControl/>
              <w:spacing w:line="360" w:lineRule="auto"/>
              <w:jc w:val="left"/>
              <w:rPr>
                <w:rFonts w:hint="eastAsia" w:ascii="宋体" w:hAnsi="宋体" w:eastAsia="宋体" w:cs="宋体"/>
                <w:color w:val="000000"/>
                <w:kern w:val="0"/>
                <w:sz w:val="21"/>
                <w:szCs w:val="21"/>
              </w:rPr>
            </w:pPr>
          </w:p>
        </w:tc>
        <w:tc>
          <w:tcPr>
            <w:tcW w:w="623" w:type="dxa"/>
            <w:noWrap w:val="0"/>
            <w:vAlign w:val="center"/>
          </w:tcPr>
          <w:p>
            <w:pPr>
              <w:widowControl/>
              <w:spacing w:line="360" w:lineRule="auto"/>
              <w:jc w:val="left"/>
              <w:rPr>
                <w:rFonts w:hint="eastAsia" w:ascii="宋体" w:hAnsi="宋体" w:eastAsia="宋体" w:cs="宋体"/>
                <w:color w:val="000000"/>
                <w:kern w:val="0"/>
                <w:sz w:val="21"/>
                <w:szCs w:val="21"/>
              </w:rPr>
            </w:pPr>
          </w:p>
        </w:tc>
        <w:tc>
          <w:tcPr>
            <w:tcW w:w="969" w:type="dxa"/>
            <w:noWrap w:val="0"/>
            <w:vAlign w:val="center"/>
          </w:tcPr>
          <w:p>
            <w:pPr>
              <w:widowControl/>
              <w:spacing w:line="360" w:lineRule="auto"/>
              <w:jc w:val="left"/>
              <w:rPr>
                <w:rFonts w:hint="eastAsia" w:ascii="宋体" w:hAnsi="宋体" w:eastAsia="宋体" w:cs="宋体"/>
                <w:color w:val="000000"/>
                <w:kern w:val="0"/>
                <w:sz w:val="21"/>
                <w:szCs w:val="21"/>
              </w:rPr>
            </w:pPr>
          </w:p>
        </w:tc>
      </w:tr>
    </w:tbl>
    <w:p>
      <w:pPr>
        <w:pStyle w:val="10"/>
        <w:rPr>
          <w:rFonts w:hint="eastAsia" w:ascii="Calibri" w:hAnsi="Calibri" w:eastAsia="宋体"/>
          <w:b/>
          <w:bCs/>
          <w:sz w:val="32"/>
          <w:szCs w:val="32"/>
          <w:lang w:eastAsia="zh-CN"/>
        </w:rPr>
      </w:pPr>
    </w:p>
    <w:p>
      <w:pPr>
        <w:pStyle w:val="10"/>
        <w:rPr>
          <w:rFonts w:ascii="Calibri" w:hAnsi="Calibri" w:eastAsia="宋体"/>
          <w:b/>
          <w:bCs/>
          <w:sz w:val="32"/>
          <w:szCs w:val="32"/>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eastAsia" w:ascii="Calibri" w:hAnsi="Calibri" w:eastAsia="宋体"/>
          <w:b/>
          <w:bCs/>
          <w:sz w:val="32"/>
          <w:szCs w:val="32"/>
          <w:lang w:val="en-US" w:eastAsia="zh-CN"/>
        </w:rPr>
      </w:pPr>
    </w:p>
    <w:p>
      <w:pPr>
        <w:pStyle w:val="10"/>
        <w:jc w:val="center"/>
        <w:rPr>
          <w:rFonts w:hint="default" w:ascii="Calibri" w:hAnsi="Calibri" w:eastAsia="宋体"/>
          <w:b/>
          <w:bCs/>
          <w:sz w:val="32"/>
          <w:szCs w:val="32"/>
          <w:lang w:val="en-US" w:eastAsia="zh-CN"/>
        </w:rPr>
      </w:pPr>
      <w:r>
        <w:rPr>
          <w:rFonts w:hint="eastAsia" w:ascii="Calibri" w:hAnsi="Calibri" w:eastAsia="宋体"/>
          <w:b/>
          <w:bCs/>
          <w:sz w:val="32"/>
          <w:szCs w:val="32"/>
          <w:lang w:val="en-US" w:eastAsia="zh-CN"/>
        </w:rPr>
        <w:t>商务要求</w:t>
      </w:r>
    </w:p>
    <w:p>
      <w:pPr>
        <w:rPr>
          <w:rFonts w:hint="eastAsia" w:ascii="Calibri" w:hAnsi="Calibri" w:eastAsia="宋体"/>
        </w:rPr>
      </w:pPr>
    </w:p>
    <w:tbl>
      <w:tblPr>
        <w:tblStyle w:val="8"/>
        <w:tblW w:w="975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15" w:type="dxa"/>
            <w:noWrap w:val="0"/>
            <w:vAlign w:val="center"/>
          </w:tcPr>
          <w:p>
            <w:pPr>
              <w:spacing w:line="360" w:lineRule="auto"/>
              <w:jc w:val="center"/>
              <w:rPr>
                <w:rFonts w:ascii="Times New Roman" w:hAnsi="Times New Roman" w:eastAsia="宋体"/>
                <w:szCs w:val="21"/>
              </w:rPr>
            </w:pPr>
            <w:r>
              <w:rPr>
                <w:rFonts w:ascii="Times New Roman" w:hAnsi="Times New Roman" w:eastAsia="宋体"/>
                <w:szCs w:val="21"/>
                <w:highlight w:val="yellow"/>
              </w:rPr>
              <w:t>交付时间及地点</w:t>
            </w:r>
          </w:p>
        </w:tc>
        <w:tc>
          <w:tcPr>
            <w:tcW w:w="7938" w:type="dxa"/>
            <w:noWrap w:val="0"/>
            <w:vAlign w:val="center"/>
          </w:tcPr>
          <w:p>
            <w:pPr>
              <w:spacing w:line="360" w:lineRule="auto"/>
              <w:rPr>
                <w:rFonts w:ascii="Times New Roman" w:hAnsi="Times New Roman" w:eastAsia="宋体"/>
                <w:szCs w:val="21"/>
              </w:rPr>
            </w:pPr>
            <w:r>
              <w:rPr>
                <w:rFonts w:ascii="Times New Roman" w:hAnsi="Times New Roman" w:eastAsia="宋体"/>
                <w:szCs w:val="21"/>
              </w:rPr>
              <w:t>1</w:t>
            </w:r>
            <w:r>
              <w:rPr>
                <w:rFonts w:hint="eastAsia" w:ascii="宋体" w:hAnsi="宋体" w:eastAsia="宋体" w:cs="Arial"/>
                <w:highlight w:val="none"/>
                <w:lang w:val="en-US" w:eastAsia="zh-CN"/>
              </w:rPr>
              <w:t>、</w:t>
            </w:r>
            <w:r>
              <w:rPr>
                <w:rFonts w:ascii="Times New Roman" w:hAnsi="Times New Roman" w:eastAsia="宋体"/>
                <w:szCs w:val="21"/>
              </w:rPr>
              <w:t>交付时间：自签订合同之日起</w:t>
            </w:r>
            <w:r>
              <w:rPr>
                <w:rFonts w:ascii="Times New Roman" w:hAnsi="Times New Roman" w:eastAsia="宋体"/>
                <w:szCs w:val="21"/>
                <w:highlight w:val="yellow"/>
                <w:u w:val="single"/>
              </w:rPr>
              <w:t xml:space="preserve"> </w:t>
            </w:r>
            <w:r>
              <w:rPr>
                <w:rFonts w:hint="eastAsia" w:ascii="Times New Roman" w:hAnsi="Times New Roman" w:eastAsia="宋体"/>
                <w:szCs w:val="21"/>
                <w:highlight w:val="yellow"/>
                <w:u w:val="single"/>
                <w:lang w:val="en-US" w:eastAsia="zh-CN"/>
              </w:rPr>
              <w:t>10</w:t>
            </w:r>
            <w:r>
              <w:rPr>
                <w:rFonts w:ascii="Times New Roman" w:hAnsi="Times New Roman" w:eastAsia="宋体"/>
                <w:szCs w:val="21"/>
                <w:highlight w:val="yellow"/>
                <w:u w:val="single"/>
              </w:rPr>
              <w:t xml:space="preserve"> </w:t>
            </w:r>
            <w:r>
              <w:rPr>
                <w:rFonts w:ascii="Times New Roman" w:hAnsi="Times New Roman" w:eastAsia="宋体"/>
                <w:szCs w:val="21"/>
                <w:highlight w:val="yellow"/>
              </w:rPr>
              <w:t>个</w:t>
            </w:r>
            <w:r>
              <w:rPr>
                <w:rFonts w:hint="eastAsia" w:ascii="Times New Roman" w:hAnsi="Times New Roman" w:eastAsia="宋体"/>
                <w:szCs w:val="21"/>
                <w:highlight w:val="yellow"/>
                <w:lang w:val="en-US" w:eastAsia="zh-CN"/>
              </w:rPr>
              <w:t>自然日</w:t>
            </w:r>
            <w:r>
              <w:rPr>
                <w:rFonts w:ascii="Times New Roman" w:hAnsi="Times New Roman" w:eastAsia="宋体"/>
                <w:szCs w:val="21"/>
              </w:rPr>
              <w:t>内交付使用。</w:t>
            </w:r>
          </w:p>
          <w:p>
            <w:pPr>
              <w:spacing w:line="360" w:lineRule="auto"/>
              <w:rPr>
                <w:rFonts w:ascii="Times New Roman" w:hAnsi="Times New Roman" w:eastAsia="宋体"/>
                <w:szCs w:val="21"/>
              </w:rPr>
            </w:pPr>
            <w:r>
              <w:rPr>
                <w:rFonts w:ascii="Times New Roman" w:hAnsi="Times New Roman" w:eastAsia="宋体"/>
                <w:szCs w:val="21"/>
              </w:rPr>
              <w:t>2</w:t>
            </w:r>
            <w:r>
              <w:rPr>
                <w:rFonts w:hint="eastAsia" w:ascii="宋体" w:hAnsi="宋体" w:eastAsia="宋体" w:cs="Arial"/>
                <w:highlight w:val="none"/>
                <w:lang w:val="en-US" w:eastAsia="zh-CN"/>
              </w:rPr>
              <w:t>、</w:t>
            </w:r>
            <w:r>
              <w:rPr>
                <w:rFonts w:ascii="Times New Roman" w:hAnsi="Times New Roman" w:eastAsia="宋体"/>
                <w:szCs w:val="21"/>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15" w:type="dxa"/>
            <w:noWrap w:val="0"/>
            <w:vAlign w:val="center"/>
          </w:tcPr>
          <w:p>
            <w:pPr>
              <w:spacing w:line="360" w:lineRule="auto"/>
              <w:jc w:val="center"/>
              <w:rPr>
                <w:rFonts w:ascii="Times New Roman" w:hAnsi="Times New Roman" w:eastAsia="宋体"/>
                <w:szCs w:val="21"/>
              </w:rPr>
            </w:pPr>
            <w:r>
              <w:rPr>
                <w:rFonts w:ascii="Times New Roman" w:hAnsi="Times New Roman" w:eastAsia="宋体"/>
                <w:szCs w:val="21"/>
                <w:highlight w:val="none"/>
              </w:rPr>
              <w:t>付款方式</w:t>
            </w:r>
          </w:p>
        </w:tc>
        <w:tc>
          <w:tcPr>
            <w:tcW w:w="7938" w:type="dxa"/>
            <w:noWrap w:val="0"/>
            <w:vAlign w:val="center"/>
          </w:tcPr>
          <w:p>
            <w:pPr>
              <w:adjustRightInd w:val="0"/>
              <w:snapToGrid w:val="0"/>
              <w:spacing w:line="360" w:lineRule="exact"/>
              <w:rPr>
                <w:rFonts w:hint="eastAsia" w:ascii="Times New Roman" w:hAnsi="Times New Roman" w:eastAsia="宋体"/>
                <w:color w:val="000000"/>
                <w:szCs w:val="21"/>
              </w:rPr>
            </w:pPr>
            <w:r>
              <w:rPr>
                <w:rFonts w:hint="eastAsia" w:ascii="Times New Roman" w:hAnsi="Times New Roman" w:eastAsia="宋体"/>
                <w:color w:val="000000"/>
                <w:szCs w:val="21"/>
              </w:rPr>
              <w:t>平台安装调试完毕、数据上报达到100%进度要求并验收合格后，成交供应商提供增值税专用发票，采购人按照财政国库集中支付管理相关规定支付相应合同款项的95%，剩余合同款项的5%待履行完合同约定的权利义务事项后【成交供应商承诺免费保修期（免费升级、维护期）满】且不存在争议的，成交供应商凭合同和《政府采购项目验收单》向采购人申请办理付款手续,采购人按照财政国库集中支付管理相关规定一次性付清尾款(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815" w:type="dxa"/>
            <w:noWrap w:val="0"/>
            <w:vAlign w:val="center"/>
          </w:tcPr>
          <w:p>
            <w:pPr>
              <w:spacing w:line="360" w:lineRule="auto"/>
              <w:jc w:val="center"/>
              <w:rPr>
                <w:rFonts w:hint="default" w:ascii="Times New Roman" w:hAnsi="Times New Roman" w:eastAsia="宋体"/>
                <w:szCs w:val="21"/>
                <w:highlight w:val="yellow"/>
                <w:lang w:val="en-US" w:eastAsia="zh-CN"/>
              </w:rPr>
            </w:pPr>
            <w:r>
              <w:rPr>
                <w:rFonts w:hint="eastAsia" w:ascii="Times New Roman" w:hAnsi="Times New Roman" w:eastAsia="宋体"/>
                <w:szCs w:val="21"/>
                <w:highlight w:val="yellow"/>
                <w:lang w:val="en-US" w:eastAsia="zh-CN"/>
              </w:rPr>
              <w:t>其他要求</w:t>
            </w:r>
          </w:p>
        </w:tc>
        <w:tc>
          <w:tcPr>
            <w:tcW w:w="7938" w:type="dxa"/>
            <w:noWrap w:val="0"/>
            <w:vAlign w:val="center"/>
          </w:tcPr>
          <w:p>
            <w:pPr>
              <w:adjustRightInd w:val="0"/>
              <w:snapToGrid w:val="0"/>
              <w:spacing w:line="360" w:lineRule="exact"/>
              <w:rPr>
                <w:rFonts w:hint="eastAsia" w:ascii="宋体" w:hAnsi="宋体" w:eastAsia="宋体" w:cs="Arial"/>
                <w:highlight w:val="yellow"/>
                <w:lang w:val="en-US" w:eastAsia="zh-CN"/>
              </w:rPr>
            </w:pPr>
            <w:r>
              <w:rPr>
                <w:rFonts w:hint="eastAsia" w:ascii="宋体" w:hAnsi="宋体" w:eastAsia="宋体" w:cs="Arial"/>
                <w:highlight w:val="yellow"/>
                <w:lang w:val="en-US" w:eastAsia="zh-CN"/>
              </w:rPr>
              <w:t>成交方需在合同签订之日起10个自然日内在实际环境中完成部署和评测，必须满足技术性能参数要求。如产生故障问题未通过验收，且超过5个工作日仍无法解决的，我校有权解除合同。</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53" w:type="dxa"/>
            <w:gridSpan w:val="2"/>
            <w:noWrap w:val="0"/>
            <w:vAlign w:val="center"/>
          </w:tcPr>
          <w:p>
            <w:pPr>
              <w:spacing w:line="360" w:lineRule="auto"/>
              <w:rPr>
                <w:rFonts w:hint="eastAsia" w:ascii="Times New Roman" w:hAnsi="Times New Roman" w:eastAsia="宋体"/>
                <w:szCs w:val="21"/>
              </w:rPr>
            </w:pPr>
            <w:r>
              <w:rPr>
                <w:rFonts w:hint="eastAsia" w:ascii="Times New Roman" w:hAnsi="Times New Roman" w:eastAsia="宋体"/>
                <w:szCs w:val="21"/>
              </w:rPr>
              <w:t>注：</w:t>
            </w:r>
            <w:r>
              <w:rPr>
                <w:rFonts w:ascii="Times New Roman" w:hAnsi="Times New Roman" w:eastAsia="宋体"/>
                <w:szCs w:val="21"/>
              </w:rPr>
              <w:t>1、本项目采购预算金额（人民币）</w:t>
            </w:r>
            <w:r>
              <w:rPr>
                <w:rFonts w:ascii="Times New Roman" w:hAnsi="Times New Roman" w:eastAsia="宋体"/>
                <w:szCs w:val="21"/>
                <w:highlight w:val="none"/>
              </w:rPr>
              <w:t>：（大写）</w:t>
            </w:r>
            <w:r>
              <w:rPr>
                <w:rFonts w:hint="eastAsia" w:ascii="Times New Roman" w:hAnsi="Times New Roman" w:eastAsia="宋体"/>
                <w:szCs w:val="21"/>
                <w:highlight w:val="none"/>
              </w:rPr>
              <w:t>肆拾捌万伍仟元整</w:t>
            </w:r>
            <w:r>
              <w:rPr>
                <w:rFonts w:ascii="Times New Roman" w:hAnsi="Times New Roman" w:eastAsia="宋体"/>
                <w:szCs w:val="21"/>
                <w:highlight w:val="none"/>
              </w:rPr>
              <w:t>（小写）¥</w:t>
            </w:r>
            <w:r>
              <w:rPr>
                <w:rFonts w:hint="eastAsia" w:ascii="Times New Roman" w:hAnsi="Times New Roman" w:eastAsia="宋体"/>
                <w:szCs w:val="21"/>
                <w:highlight w:val="none"/>
                <w:lang w:val="en-US" w:eastAsia="zh-CN"/>
              </w:rPr>
              <w:t>485000</w:t>
            </w:r>
            <w:r>
              <w:rPr>
                <w:rFonts w:ascii="Times New Roman" w:hAnsi="Times New Roman" w:eastAsia="宋体"/>
                <w:szCs w:val="21"/>
                <w:highlight w:val="none"/>
              </w:rPr>
              <w:t>.</w:t>
            </w:r>
            <w:r>
              <w:rPr>
                <w:rFonts w:hint="eastAsia" w:ascii="Times New Roman" w:hAnsi="Times New Roman" w:eastAsia="宋体"/>
                <w:szCs w:val="21"/>
                <w:highlight w:val="none"/>
                <w:lang w:val="en-US" w:eastAsia="zh-CN"/>
              </w:rPr>
              <w:t>00</w:t>
            </w:r>
            <w:r>
              <w:rPr>
                <w:rFonts w:hint="eastAsia" w:ascii="Times New Roman" w:hAnsi="Times New Roman" w:eastAsia="宋体"/>
                <w:szCs w:val="21"/>
                <w:highlight w:val="none"/>
              </w:rPr>
              <w:t>）</w:t>
            </w:r>
            <w:r>
              <w:rPr>
                <w:rFonts w:ascii="Times New Roman" w:hAnsi="Times New Roman" w:eastAsia="宋体"/>
                <w:szCs w:val="21"/>
                <w:highlight w:val="none"/>
              </w:rPr>
              <w:t>，竞标</w:t>
            </w:r>
            <w:r>
              <w:rPr>
                <w:rFonts w:ascii="Times New Roman" w:hAnsi="Times New Roman" w:eastAsia="宋体"/>
                <w:szCs w:val="21"/>
              </w:rPr>
              <w:t>供应商的总报价不得超出采购预算，否则该竞标供应商竞标报价作无效处理。</w:t>
            </w:r>
            <w:r>
              <w:rPr>
                <w:rFonts w:hint="eastAsia" w:ascii="Times New Roman" w:hAnsi="Times New Roman" w:eastAsia="宋体"/>
                <w:szCs w:val="21"/>
              </w:rPr>
              <w:t>本项目所有条款均为实质性条款，必须满足，否则竞标无效。</w:t>
            </w:r>
          </w:p>
        </w:tc>
      </w:tr>
    </w:tbl>
    <w:p>
      <w:pPr>
        <w:rPr>
          <w:rFonts w:hint="eastAsia" w:ascii="Calibri" w:hAnsi="Calibri" w:eastAsia="宋体"/>
        </w:rPr>
      </w:pPr>
    </w:p>
    <w:p>
      <w:pPr>
        <w:spacing w:line="360" w:lineRule="auto"/>
        <w:rPr>
          <w:rFonts w:hint="eastAsia" w:ascii="宋体" w:hAnsi="宋体" w:eastAsia="宋体" w:cs="宋体"/>
          <w:sz w:val="21"/>
          <w:szCs w:val="21"/>
        </w:rPr>
      </w:pPr>
    </w:p>
    <w:p>
      <w:pPr>
        <w:pStyle w:val="6"/>
        <w:numPr>
          <w:ilvl w:val="0"/>
          <w:numId w:val="0"/>
        </w:numPr>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GU3MjMzZGNkMzEzZTlmN2Y4Zjk1ZGZkMWQ4MWIifQ=="/>
  </w:docVars>
  <w:rsids>
    <w:rsidRoot w:val="00183105"/>
    <w:rsid w:val="00010F90"/>
    <w:rsid w:val="00141F67"/>
    <w:rsid w:val="00170E93"/>
    <w:rsid w:val="0017363D"/>
    <w:rsid w:val="00183105"/>
    <w:rsid w:val="00190E12"/>
    <w:rsid w:val="001E43BE"/>
    <w:rsid w:val="00284CF1"/>
    <w:rsid w:val="002A0A87"/>
    <w:rsid w:val="002F42DB"/>
    <w:rsid w:val="00340216"/>
    <w:rsid w:val="00351933"/>
    <w:rsid w:val="0050358C"/>
    <w:rsid w:val="0059311F"/>
    <w:rsid w:val="0067249F"/>
    <w:rsid w:val="006C5C3D"/>
    <w:rsid w:val="007171A6"/>
    <w:rsid w:val="0073497D"/>
    <w:rsid w:val="007E3996"/>
    <w:rsid w:val="0089009F"/>
    <w:rsid w:val="008923C7"/>
    <w:rsid w:val="008D1EDC"/>
    <w:rsid w:val="008D5734"/>
    <w:rsid w:val="00900299"/>
    <w:rsid w:val="009B22F1"/>
    <w:rsid w:val="00A27085"/>
    <w:rsid w:val="00A53B36"/>
    <w:rsid w:val="00A72702"/>
    <w:rsid w:val="00AF5B6E"/>
    <w:rsid w:val="00B33A09"/>
    <w:rsid w:val="00B87D7D"/>
    <w:rsid w:val="00C92DAC"/>
    <w:rsid w:val="00CA4D00"/>
    <w:rsid w:val="00CC30AD"/>
    <w:rsid w:val="00CE3158"/>
    <w:rsid w:val="00DA63C4"/>
    <w:rsid w:val="00E54F97"/>
    <w:rsid w:val="00E62435"/>
    <w:rsid w:val="00ED5F74"/>
    <w:rsid w:val="00F1779D"/>
    <w:rsid w:val="00F4642E"/>
    <w:rsid w:val="00F7277A"/>
    <w:rsid w:val="00FD2C84"/>
    <w:rsid w:val="00FD58F1"/>
    <w:rsid w:val="06133805"/>
    <w:rsid w:val="08697543"/>
    <w:rsid w:val="0A0A0806"/>
    <w:rsid w:val="12FE2A0F"/>
    <w:rsid w:val="16FE57CB"/>
    <w:rsid w:val="21CA1DA5"/>
    <w:rsid w:val="22795C0D"/>
    <w:rsid w:val="23A359B2"/>
    <w:rsid w:val="23B27172"/>
    <w:rsid w:val="26AE2FAD"/>
    <w:rsid w:val="2A9E20D0"/>
    <w:rsid w:val="30B023A9"/>
    <w:rsid w:val="310C5B8C"/>
    <w:rsid w:val="3286631C"/>
    <w:rsid w:val="3384403C"/>
    <w:rsid w:val="37A95DA4"/>
    <w:rsid w:val="394169D0"/>
    <w:rsid w:val="401D5B1D"/>
    <w:rsid w:val="41E628E3"/>
    <w:rsid w:val="492C439A"/>
    <w:rsid w:val="4AD82C70"/>
    <w:rsid w:val="4BBC0758"/>
    <w:rsid w:val="4F09519A"/>
    <w:rsid w:val="538E7ED0"/>
    <w:rsid w:val="53DB6E8D"/>
    <w:rsid w:val="5D945F19"/>
    <w:rsid w:val="5FF20E5D"/>
    <w:rsid w:val="73F67A78"/>
    <w:rsid w:val="747A1FA3"/>
    <w:rsid w:val="75BD7070"/>
    <w:rsid w:val="7E4A31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kern w:val="0"/>
      <w:sz w:val="20"/>
      <w:szCs w:val="21"/>
    </w:rPr>
  </w:style>
  <w:style w:type="paragraph" w:styleId="5">
    <w:name w:val="Balloon Text"/>
    <w:basedOn w:val="1"/>
    <w:link w:val="13"/>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11">
    <w:name w:val="标题 1 字符"/>
    <w:link w:val="2"/>
    <w:qFormat/>
    <w:uiPriority w:val="9"/>
    <w:rPr>
      <w:rFonts w:ascii="Times New Roman" w:hAnsi="Times New Roman" w:eastAsia="宋体"/>
      <w:b/>
      <w:bCs/>
      <w:kern w:val="44"/>
      <w:sz w:val="44"/>
      <w:szCs w:val="44"/>
    </w:rPr>
  </w:style>
  <w:style w:type="character" w:customStyle="1" w:styleId="12">
    <w:name w:val="标题 2 字符"/>
    <w:link w:val="3"/>
    <w:qFormat/>
    <w:uiPriority w:val="9"/>
    <w:rPr>
      <w:rFonts w:ascii="Cambria" w:hAnsi="Cambria" w:eastAsia="宋体"/>
      <w:b/>
      <w:bCs/>
      <w:kern w:val="2"/>
      <w:sz w:val="32"/>
      <w:szCs w:val="32"/>
    </w:rPr>
  </w:style>
  <w:style w:type="character" w:customStyle="1" w:styleId="13">
    <w:name w:val="批注框文本 字符"/>
    <w:link w:val="5"/>
    <w:semiHidden/>
    <w:qFormat/>
    <w:uiPriority w:val="99"/>
    <w:rPr>
      <w:sz w:val="18"/>
      <w:szCs w:val="18"/>
    </w:rPr>
  </w:style>
  <w:style w:type="character" w:customStyle="1" w:styleId="14">
    <w:name w:val="页脚 字符"/>
    <w:link w:val="6"/>
    <w:qFormat/>
    <w:uiPriority w:val="99"/>
    <w:rPr>
      <w:sz w:val="18"/>
      <w:szCs w:val="18"/>
    </w:rPr>
  </w:style>
  <w:style w:type="character" w:customStyle="1" w:styleId="15">
    <w:name w:val="页眉 字符"/>
    <w:link w:val="7"/>
    <w:qFormat/>
    <w:uiPriority w:val="99"/>
    <w:rPr>
      <w:sz w:val="18"/>
      <w:szCs w:val="18"/>
    </w:rPr>
  </w:style>
  <w:style w:type="paragraph" w:styleId="16">
    <w:name w:val="List Paragraph"/>
    <w:basedOn w:val="1"/>
    <w:link w:val="17"/>
    <w:qFormat/>
    <w:uiPriority w:val="34"/>
    <w:pPr>
      <w:ind w:firstLine="420" w:firstLineChars="200"/>
    </w:pPr>
    <w:rPr>
      <w:rFonts w:ascii="Calibri" w:hAnsi="Calibri" w:eastAsia="宋体"/>
    </w:rPr>
  </w:style>
  <w:style w:type="character" w:customStyle="1" w:styleId="17">
    <w:name w:val="列表段落 字符"/>
    <w:link w:val="16"/>
    <w:qFormat/>
    <w:uiPriority w:val="34"/>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5669</Words>
  <Characters>5731</Characters>
  <Lines>53</Lines>
  <Paragraphs>15</Paragraphs>
  <TotalTime>1</TotalTime>
  <ScaleCrop>false</ScaleCrop>
  <LinksUpToDate>false</LinksUpToDate>
  <CharactersWithSpaces>5737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2022-10-17T01:31:00Z</dcterms:created>
  <dc:creator>MYKJ</dc:creator>
  <cp:lastModifiedBy>Fropy</cp:lastModifiedBy>
  <dcterms:modified xsi:type="dcterms:W3CDTF">2023-11-02T07:46:18Z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D0397A497A6B495BB863EE263F33FF1F_13</vt:lpwstr>
  </property>
</Properties>
</file>