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</w:pPr>
      <w:r>
        <w:rPr>
          <w:rFonts w:hint="eastAsia"/>
          <w:lang w:val="en-US" w:eastAsia="zh-CN"/>
        </w:rPr>
        <w:t>桂林市交通运输局国产数据库软件</w:t>
      </w:r>
      <w:r>
        <w:rPr>
          <w:rFonts w:hint="eastAsia"/>
        </w:rPr>
        <w:t>采购</w:t>
      </w:r>
      <w:r>
        <w:rPr>
          <w:rFonts w:hint="eastAsia"/>
          <w:lang w:val="en-US" w:eastAsia="zh-CN"/>
        </w:rPr>
        <w:t>参数</w:t>
      </w:r>
      <w:r>
        <w:rPr>
          <w:rFonts w:hint="eastAsia"/>
        </w:rPr>
        <w:t>文件</w:t>
      </w:r>
    </w:p>
    <w:p>
      <w:pPr>
        <w:ind w:firstLine="0" w:firstLineChars="0"/>
        <w:jc w:val="left"/>
      </w:pPr>
    </w:p>
    <w:tbl>
      <w:tblPr>
        <w:tblStyle w:val="2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10"/>
        <w:gridCol w:w="221"/>
        <w:gridCol w:w="1084"/>
        <w:gridCol w:w="3228"/>
        <w:gridCol w:w="709"/>
        <w:gridCol w:w="708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货物名称</w:t>
            </w:r>
          </w:p>
        </w:tc>
        <w:tc>
          <w:tcPr>
            <w:tcW w:w="108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品牌型号</w:t>
            </w:r>
          </w:p>
        </w:tc>
        <w:tc>
          <w:tcPr>
            <w:tcW w:w="322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规格参数</w:t>
            </w:r>
          </w:p>
        </w:tc>
        <w:tc>
          <w:tcPr>
            <w:tcW w:w="709" w:type="dxa"/>
          </w:tcPr>
          <w:p>
            <w:pPr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</w:tc>
        <w:tc>
          <w:tcPr>
            <w:tcW w:w="708" w:type="dxa"/>
          </w:tcPr>
          <w:p>
            <w:pPr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数量</w:t>
            </w: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单价（元）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数据库软件</w:t>
            </w:r>
          </w:p>
        </w:tc>
        <w:tc>
          <w:tcPr>
            <w:tcW w:w="1084" w:type="dxa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海量数据库管理系统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包含</w:t>
            </w:r>
            <w:r>
              <w:rPr>
                <w:rFonts w:hint="eastAsia" w:ascii="宋体" w:hAnsi="宋体"/>
                <w:sz w:val="18"/>
                <w:szCs w:val="18"/>
              </w:rPr>
              <w:t>Vastbase G100</w:t>
            </w:r>
          </w:p>
        </w:tc>
        <w:tc>
          <w:tcPr>
            <w:tcW w:w="3228" w:type="dxa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★支持UOS、麒麟、欧拉等操作系统等，支持INTEL、飞腾、海光、鲲鹏等处理器，产品具有跨操作系统平台的能力；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★支持ANSI SQL-2011标准，PL/pgSQL、PL/Python、PL/Perl、PL/Tcl等过程语言；支持JDBC/ODBC标准接口；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★集中式架构中能够支持单个非分区表超过100TB数据量，支持对表进行范围分区的分区机制；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★支持逻辑备份恢复、物理备份恢复，物理备份支持增量备份和联机热备份技术，逻辑和物理备份均支持本地和远程备份；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★支持HA故障转移集群和主备同步技术，并且能够支持读写分离以及故障转移功能，支持主备、一主多备等架构，从库能设置延迟复制，一主多从架构支持优选同步复制策略；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★支持B-TREE索引、GIN倒排索引、Gist空间索引、psort索引、唯一索引、多字段索引、部分索引、表达式索引等多种索引访问方式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★支持中文的全文检索功能，能够支持like操作符的全文检索，中文全文检索功能不依赖中文词典；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★支持自主访问控制、用户角色三权分立、审计、加密、身份识别与验证等安全功能。安全管理功能和审计功能都支持图形界面，具有良好的易用性；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★支持通信和存储加密功能，支持字段级别和库级别的磁盘文件级加密，支持多种加密算法；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★高度兼容Oracle，支持number、date、blob/clob、varchar2等数据类型，同时支持序列与自增列，支持事件触发器，支持基于(+)操作符的表关联，支持connect by层次查询、支持merge语法，支持Package和永久定义的全局临时表等功能，支持ORACLE数据库的常用数据字典，系统函数、系统功能包；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★支持通过外部表的方式直接访问外部主流的关系型数据库等，包括但不限于Oracle、MySQL等等；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★支持系统性能监控动态视图，TOP SQL信息、内存管理信息、事务信息、线程信息、操作历史等信息； 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★支持基于成本的全局优化功能，实现基于成本的查询机制，能够选择合适的查询计划；并支持查询的hint技术，能够对查询计划进行手动调整；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★数据库内核支持并行查询技术，且能够完全自动化启动并行查询，无需人工启动或干预；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★支持免费的、集中式的数据库管理工具，支持跨平台统一界面。包括远程跨数据库平台的管理工具，图形的性能监控等；提供相关截图证明文件；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支持提供专业的迁移工具自动将数据库的DDL包括存储过程转换至本数据库，迁移工具能够提供全面的迁移评估功能，给出迁移成功率和工作量报告，支持DDL和数据的迁移，支持迁移后的数据校验功能，提供相关证明截图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★在鲲鹏920处理器平台上的TPC-C基准测试中，1000仓数据容量下的性能表现稳定高效，700+用户并发下tpmC在110万以上，提供截图证明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★提供中国软件评测中心的《产品质量测试报告》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复印件</w:t>
            </w:r>
            <w:r>
              <w:rPr>
                <w:rFonts w:hint="eastAsia" w:ascii="宋体" w:hAnsi="宋体"/>
                <w:sz w:val="18"/>
                <w:szCs w:val="18"/>
              </w:rPr>
              <w:t>，且性能指标达到100仓基础数据量、500用户并发下tpmC（Neworders）在135万个/分钟以上，原件待查。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★数据库厂商研发能力通过CMMI 3级认证（或写SPCA3级认证），服务能力通过ITSS 3级认证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70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130000.00元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130000.00元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0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130000.00元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9"/>
            <w:vAlign w:val="center"/>
          </w:tcPr>
          <w:p>
            <w:pPr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售后服务要求</w:t>
            </w:r>
          </w:p>
          <w:p>
            <w:pPr>
              <w:adjustRightInd w:val="0"/>
              <w:spacing w:line="320" w:lineRule="exact"/>
              <w:ind w:firstLine="0" w:firstLineChars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及免费保修期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免费送货上门，免费安装调试合格，按国家有关规定实行产品“三包”。免费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服务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期最短不得少于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一年，</w:t>
            </w:r>
            <w:r>
              <w:rPr>
                <w:rFonts w:eastAsia="Arial" w:cs="Arial"/>
                <w:color w:val="auto"/>
                <w:sz w:val="18"/>
                <w:szCs w:val="18"/>
                <w:highlight w:val="none"/>
                <w:shd w:val="clear" w:color="auto" w:fill="FFFFFF"/>
              </w:rPr>
              <w:t>在</w:t>
            </w:r>
            <w:r>
              <w:rPr>
                <w:rFonts w:hint="eastAsia" w:cs="Arial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服务</w:t>
            </w:r>
            <w:r>
              <w:rPr>
                <w:rFonts w:eastAsia="Arial" w:cs="Arial"/>
                <w:color w:val="auto"/>
                <w:sz w:val="18"/>
                <w:szCs w:val="18"/>
                <w:highlight w:val="none"/>
                <w:shd w:val="clear" w:color="auto" w:fill="FFFFFF"/>
              </w:rPr>
              <w:t>期内</w:t>
            </w:r>
            <w:r>
              <w:rPr>
                <w:rFonts w:hint="eastAsia" w:cs="Arial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数据库软件</w:t>
            </w:r>
            <w:r>
              <w:rPr>
                <w:rFonts w:eastAsia="Arial" w:cs="Arial"/>
                <w:color w:val="auto"/>
                <w:sz w:val="18"/>
                <w:szCs w:val="18"/>
                <w:highlight w:val="none"/>
                <w:shd w:val="clear" w:color="auto" w:fill="FFFFFF"/>
              </w:rPr>
              <w:t>发生</w:t>
            </w:r>
            <w:r>
              <w:rPr>
                <w:rFonts w:hint="eastAsia" w:cs="Arial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数据安全</w:t>
            </w:r>
            <w:r>
              <w:rPr>
                <w:rFonts w:eastAsia="Arial" w:cs="Arial"/>
                <w:color w:val="auto"/>
                <w:sz w:val="18"/>
                <w:szCs w:val="18"/>
                <w:highlight w:val="none"/>
                <w:shd w:val="clear" w:color="auto" w:fill="FFFFFF"/>
              </w:rPr>
              <w:t>故障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比如：数据丢失、数据单元存储出错、安全事件造成的打补丁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数据库软件ODBC接口兼容性和安全性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）</w:t>
            </w:r>
            <w:r>
              <w:rPr>
                <w:rFonts w:eastAsia="Arial" w:cs="Arial"/>
                <w:color w:val="auto"/>
                <w:sz w:val="18"/>
                <w:szCs w:val="18"/>
                <w:highlight w:val="none"/>
                <w:shd w:val="clear" w:color="auto" w:fill="FFFFFF"/>
              </w:rPr>
              <w:t>，中标人必须免费提供维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护</w:t>
            </w:r>
            <w:r>
              <w:rPr>
                <w:rFonts w:eastAsia="Arial" w:cs="Arial"/>
                <w:color w:val="auto"/>
                <w:sz w:val="18"/>
                <w:szCs w:val="18"/>
                <w:highlight w:val="none"/>
                <w:shd w:val="clear" w:color="auto" w:fill="FFFFFF"/>
              </w:rPr>
              <w:t>服务</w:t>
            </w:r>
            <w:r>
              <w:rPr>
                <w:rFonts w:hint="eastAsia" w:cs="Arial"/>
                <w:color w:val="auto"/>
                <w:sz w:val="18"/>
                <w:szCs w:val="18"/>
                <w:highlight w:val="none"/>
                <w:shd w:val="clear" w:color="auto" w:fill="FFFFFF"/>
                <w:lang w:eastAsia="zh-CN"/>
              </w:rPr>
              <w:t>；</w:t>
            </w:r>
            <w:r>
              <w:rPr>
                <w:rFonts w:eastAsia="Arial" w:cs="Arial"/>
                <w:color w:val="auto"/>
                <w:sz w:val="18"/>
                <w:szCs w:val="18"/>
                <w:highlight w:val="none"/>
                <w:shd w:val="clear" w:color="auto" w:fill="FFFFFF"/>
              </w:rPr>
              <w:t>投标人投标时必须承诺对本项目</w:t>
            </w:r>
            <w:r>
              <w:rPr>
                <w:rFonts w:hint="eastAsia" w:cs="Arial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数据库软件</w:t>
            </w:r>
            <w:r>
              <w:rPr>
                <w:rFonts w:eastAsia="Arial" w:cs="Arial"/>
                <w:color w:val="auto"/>
                <w:sz w:val="18"/>
                <w:szCs w:val="18"/>
                <w:highlight w:val="none"/>
                <w:shd w:val="clear" w:color="auto" w:fill="FFFFFF"/>
              </w:rPr>
              <w:t>提供终身服务</w:t>
            </w:r>
            <w:r>
              <w:rPr>
                <w:rFonts w:eastAsia="Arial" w:cs="Arial"/>
                <w:color w:val="auto"/>
                <w:sz w:val="18"/>
                <w:szCs w:val="18"/>
                <w:shd w:val="clear" w:color="auto" w:fill="FFFFFF"/>
              </w:rPr>
              <w:t>，保修期外的服务费用由采购人和中标人另行商议。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320" w:lineRule="exact"/>
              <w:ind w:firstLine="0" w:firstLineChars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交付使用时间</w:t>
            </w:r>
          </w:p>
          <w:p>
            <w:pPr>
              <w:adjustRightInd w:val="0"/>
              <w:spacing w:line="320" w:lineRule="exact"/>
              <w:ind w:firstLine="0" w:firstLineChars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及地点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交付时间：自合同签订后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>10日内完成安装与调试完毕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并验证合格。</w:t>
            </w:r>
          </w:p>
          <w:p>
            <w:pPr>
              <w:adjustRightInd w:val="0"/>
              <w:spacing w:line="320" w:lineRule="exact"/>
              <w:ind w:firstLine="0"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交付地点：广西桂林市采购人指定地点。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320" w:lineRule="exact"/>
              <w:ind w:firstLine="0" w:firstLineChars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付款方式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adjustRightInd w:val="0"/>
              <w:spacing w:line="320" w:lineRule="exact"/>
              <w:ind w:firstLine="0" w:firstLineChars="0"/>
              <w:jc w:val="left"/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eastAsia="Arial" w:cs="Arial"/>
                <w:sz w:val="18"/>
                <w:szCs w:val="18"/>
                <w:shd w:val="clear" w:color="auto" w:fill="FFFFFF"/>
              </w:rPr>
              <w:t>本项目无预付款，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本项目的资金拨付根据项目资金的到帐情况及财政部门的付款流程、付款期限执行，采购人不承担延期付款的责任。专项资金到帐且项目验收合格后，向采购人提交合同全款发票，采购人在收到全款发票之日起</w: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zh-CN"/>
              </w:rPr>
              <w:t xml:space="preserve"> 15 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个工作日内支付合同款的100%给成交人。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adjustRightInd w:val="0"/>
              <w:spacing w:line="320" w:lineRule="exact"/>
              <w:ind w:firstLine="0" w:firstLineChars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7651" w:type="dxa"/>
            <w:gridSpan w:val="7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1.</w:t>
            </w:r>
            <w:r>
              <w:rPr>
                <w:rFonts w:hint="eastAsia"/>
                <w:bCs/>
                <w:sz w:val="18"/>
                <w:szCs w:val="18"/>
              </w:rPr>
              <w:t>投标人</w:t>
            </w:r>
            <w:r>
              <w:rPr>
                <w:bCs/>
                <w:sz w:val="18"/>
                <w:szCs w:val="18"/>
              </w:rPr>
              <w:t>应根据采购需求中的各项需求</w:t>
            </w:r>
            <w:r>
              <w:rPr>
                <w:rFonts w:hint="eastAsia"/>
                <w:bCs/>
                <w:sz w:val="18"/>
                <w:szCs w:val="18"/>
              </w:rPr>
              <w:t>提供报价清单，并提交相关</w:t>
            </w:r>
            <w:r>
              <w:rPr>
                <w:bCs/>
                <w:sz w:val="18"/>
                <w:szCs w:val="18"/>
              </w:rPr>
              <w:t>资料。不符合将视为文件按无效响应处理。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2.本“货物采购需求”中的所有要求均为实质性要求，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投标人必须承诺在签订合同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时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提供厂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家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针对本项目的授权书和产品售后服务承诺函原件，避免假冒伪劣产品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成交供应商须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在签订合同前在业主的生产环境下任选两个业务系统做实例验证，业主技术部门提供验证环境搭建的业务指导，中标供应商自行搭建验证环境，搭建验证环境所需的设施设备（所需网络环境由业主技术部门提供）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验证通过后出具相关的技术报告后方可签订合同及部署实施。如在验证环境下无法通过实例，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影响业主办公使用的，业主可作为废标处理，并按规定对投标公司予以处罚和进行网上通报处理。</w:t>
            </w:r>
            <w:bookmarkStart w:id="0" w:name="_GoBack"/>
            <w:bookmarkEnd w:id="0"/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. 成交供应商须在供货时提供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产品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需求表中要求提供的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证书及证明文件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原件以备核查，验收时功能与参数一一核对，一旦查出有虚假应标谋取中标行为的，将按政府采购法的相关规定报同级财政监管部门，按相关规定予以处罚。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.验收要求：成交供应商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在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现有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设备安装与调试完成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后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，并符合验收标准后，</w:t>
            </w:r>
            <w:r>
              <w:rPr>
                <w:rFonts w:ascii="宋体" w:hAnsi="宋体"/>
                <w:bCs/>
                <w:sz w:val="18"/>
                <w:szCs w:val="18"/>
              </w:rPr>
              <w:t>向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采购单位</w:t>
            </w:r>
            <w:r>
              <w:rPr>
                <w:rFonts w:ascii="宋体" w:hAnsi="宋体"/>
                <w:bCs/>
                <w:sz w:val="18"/>
                <w:szCs w:val="18"/>
              </w:rPr>
              <w:t>提请验收，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采购单位</w:t>
            </w:r>
            <w:r>
              <w:rPr>
                <w:rFonts w:ascii="宋体" w:hAnsi="宋体"/>
                <w:bCs/>
                <w:sz w:val="18"/>
                <w:szCs w:val="18"/>
              </w:rPr>
              <w:t>在接受验收申请5个工作日内完成验收工作。验收产生的一切相关费用由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成交供应商</w:t>
            </w:r>
            <w:r>
              <w:rPr>
                <w:rFonts w:ascii="宋体" w:hAnsi="宋体"/>
                <w:bCs/>
                <w:sz w:val="18"/>
                <w:szCs w:val="18"/>
              </w:rPr>
              <w:t>承担。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如验收不合格，中标供应商应在3个工作日内进行更换、调试，未按要求进行更换、调试或再次验收不合格的，采购人有权解除合同，由此造成的损失由中标供应商自行承担。</w:t>
            </w:r>
            <w:r>
              <w:rPr>
                <w:bCs/>
                <w:sz w:val="18"/>
                <w:szCs w:val="18"/>
              </w:rPr>
              <w:t>验收合格后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成交供应商</w:t>
            </w:r>
            <w:r>
              <w:rPr>
                <w:bCs/>
                <w:sz w:val="18"/>
                <w:szCs w:val="18"/>
              </w:rPr>
              <w:t>提供出厂合格证明、装箱清单等作为本项目的归档与备案材料。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/>
                <w:bCs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本项目采购预算金额为人民币：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130000.00元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，报价超出采购预算金额的，其响应文件按无效处理。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.本项目货物不接受进口产品（即通过中国海关报关验放进入中国境内且产自关境外的产品）参与竞标，如有此类产品参与竞标的，其响应文件作无效处理。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.</w:t>
            </w:r>
            <w:r>
              <w:rPr>
                <w:rFonts w:ascii="宋体" w:hAnsi="宋体"/>
                <w:bCs/>
                <w:sz w:val="18"/>
                <w:szCs w:val="18"/>
              </w:rPr>
              <w:t>报价必须包含所有设备、随配附件、备品备件、运输、工具、报装、安装、调试、各种附材、附加培训、售后服务、税金及其他所有可能发生的一切费用。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报价人应充分考虑项目的漏项、漏算、少算等风险，如有任何遗漏，由中标人免费补齐。</w:t>
            </w:r>
            <w:r>
              <w:rPr>
                <w:rFonts w:ascii="宋体" w:hAnsi="宋体"/>
                <w:bCs/>
                <w:sz w:val="18"/>
                <w:szCs w:val="18"/>
              </w:rPr>
              <w:t>采购人不再支付任何费用。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.考虑到售后服务方便，本项目只接受桂林市内供应商，不接受非桂林市内供应商授权的定点服务商作为售后服务点，非桂林市内供应商一律不接受、不验收、不签合同。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.对于故障处理，要求中标人在质保期内提供7x24小时提供免费提供维护服务。接到故障通知后中标供应商应在30分钟内电话服务应答，2个小时内现场维护响应，4小时内提供解决方案。</w:t>
            </w:r>
          </w:p>
        </w:tc>
      </w:tr>
    </w:tbl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left"/>
        <w:rPr>
          <w:rFonts w:hint="eastAsia"/>
        </w:rPr>
      </w:pPr>
    </w:p>
    <w:p>
      <w:pPr>
        <w:ind w:firstLine="0" w:firstLineChars="0"/>
        <w:jc w:val="left"/>
        <w:rPr>
          <w:rFonts w:hint="eastAsia"/>
        </w:rPr>
      </w:pPr>
    </w:p>
    <w:p>
      <w:pPr>
        <w:ind w:firstLine="0" w:firstLineChars="0"/>
        <w:jc w:val="left"/>
        <w:rPr>
          <w:rFonts w:hint="eastAsia"/>
        </w:rPr>
      </w:pPr>
    </w:p>
    <w:p>
      <w:pPr>
        <w:ind w:firstLine="0" w:firstLineChars="0"/>
        <w:jc w:val="left"/>
        <w:rPr>
          <w:rFonts w:hint="eastAsia"/>
        </w:rPr>
      </w:pPr>
    </w:p>
    <w:p>
      <w:pPr>
        <w:ind w:firstLine="0" w:firstLineChars="0"/>
        <w:jc w:val="left"/>
        <w:rPr>
          <w:rFonts w:hint="eastAsia"/>
        </w:rPr>
      </w:pPr>
    </w:p>
    <w:p>
      <w:pPr>
        <w:tabs>
          <w:tab w:val="left" w:pos="6385"/>
        </w:tabs>
        <w:ind w:firstLine="0" w:firstLineChars="0"/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p>
      <w:pPr>
        <w:ind w:firstLine="0" w:firstLineChars="0"/>
        <w:jc w:val="left"/>
        <w:rPr>
          <w:rFonts w:hint="eastAsia"/>
        </w:rPr>
      </w:pPr>
    </w:p>
    <w:p>
      <w:pPr>
        <w:ind w:firstLine="0" w:firstLineChars="0"/>
        <w:jc w:val="left"/>
        <w:rPr>
          <w:rFonts w:hint="eastAsia"/>
        </w:rPr>
      </w:pPr>
    </w:p>
    <w:p>
      <w:pPr>
        <w:ind w:firstLine="0" w:firstLineChars="0"/>
        <w:jc w:val="left"/>
        <w:rPr>
          <w:rFonts w:hint="eastAsia"/>
        </w:rPr>
      </w:pPr>
    </w:p>
    <w:p>
      <w:pPr>
        <w:ind w:firstLine="0" w:firstLineChars="0"/>
        <w:jc w:val="left"/>
        <w:rPr>
          <w:rFonts w:hint="eastAsia"/>
        </w:rPr>
      </w:pPr>
    </w:p>
    <w:p>
      <w:pPr>
        <w:ind w:firstLine="0" w:firstLineChars="0"/>
        <w:jc w:val="left"/>
        <w:rPr>
          <w:rFonts w:hint="eastAsia"/>
        </w:rPr>
      </w:pPr>
    </w:p>
    <w:p>
      <w:pPr>
        <w:ind w:firstLine="0" w:firstLineChars="0"/>
        <w:jc w:val="left"/>
        <w:rPr>
          <w:rFonts w:hint="eastAsia"/>
        </w:rPr>
      </w:pPr>
    </w:p>
    <w:p>
      <w:pPr>
        <w:ind w:firstLine="0" w:firstLineChars="0"/>
        <w:jc w:val="left"/>
        <w:rPr>
          <w:rFonts w:hint="eastAsia"/>
        </w:rPr>
      </w:pPr>
    </w:p>
    <w:p>
      <w:pPr>
        <w:ind w:firstLine="0" w:firstLineChars="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191" w:bottom="1191" w:left="119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ABE"/>
    <w:multiLevelType w:val="multilevel"/>
    <w:tmpl w:val="208A7ABE"/>
    <w:lvl w:ilvl="0" w:tentative="0">
      <w:start w:val="1"/>
      <w:numFmt w:val="decimal"/>
      <w:pStyle w:val="31"/>
      <w:suff w:val="space"/>
      <w:lvlText w:val="表%1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79B5BBA"/>
    <w:multiLevelType w:val="multilevel"/>
    <w:tmpl w:val="479B5BBA"/>
    <w:lvl w:ilvl="0" w:tentative="0">
      <w:start w:val="1"/>
      <w:numFmt w:val="chineseCountingThousand"/>
      <w:pStyle w:val="2"/>
      <w:suff w:val="space"/>
      <w:lvlText w:val="第 %1 章"/>
      <w:lvlJc w:val="left"/>
      <w:pPr>
        <w:ind w:left="3402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0" w:firstLine="0"/>
      </w:pPr>
      <w:rPr>
        <w:rFonts w:hint="eastAsia" w:ascii="Arial" w:hAnsi="Arial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36"/>
        <w:u w:val="none"/>
        <w:shd w:val="clear" w:color="auto" w:fill="auto"/>
        <w:vertAlign w:val="baseline"/>
        <w:lang w:val="en-US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pStyle w:val="5"/>
      <w:isLgl/>
      <w:suff w:val="space"/>
      <w:lvlText w:val="%1.%2.%3.%4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0"/>
      </w:rPr>
    </w:lvl>
    <w:lvl w:ilvl="4" w:tentative="0">
      <w:start w:val="1"/>
      <w:numFmt w:val="decimal"/>
      <w:pStyle w:val="6"/>
      <w:isLgl/>
      <w:suff w:val="space"/>
      <w:lvlText w:val="%1.%2.%3.%4.%5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28"/>
      </w:rPr>
    </w:lvl>
    <w:lvl w:ilvl="5" w:tentative="0">
      <w:start w:val="1"/>
      <w:numFmt w:val="decimal"/>
      <w:pStyle w:val="7"/>
      <w:isLgl/>
      <w:suff w:val="space"/>
      <w:lvlText w:val="%1.%2.%3.%4.%5.%6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6" w:tentative="0">
      <w:start w:val="1"/>
      <w:numFmt w:val="decimal"/>
      <w:pStyle w:val="8"/>
      <w:isLgl/>
      <w:suff w:val="space"/>
      <w:lvlText w:val="%1.%2.%3.%4.%5.%6.%7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9B"/>
    <w:rsid w:val="0009625A"/>
    <w:rsid w:val="00101A62"/>
    <w:rsid w:val="00116B47"/>
    <w:rsid w:val="00161E29"/>
    <w:rsid w:val="00230CC6"/>
    <w:rsid w:val="00236B46"/>
    <w:rsid w:val="002512D3"/>
    <w:rsid w:val="00285487"/>
    <w:rsid w:val="002C2087"/>
    <w:rsid w:val="00345F57"/>
    <w:rsid w:val="003A3B97"/>
    <w:rsid w:val="003B4FBD"/>
    <w:rsid w:val="00420948"/>
    <w:rsid w:val="00445E7C"/>
    <w:rsid w:val="004E35F9"/>
    <w:rsid w:val="00544692"/>
    <w:rsid w:val="005740E5"/>
    <w:rsid w:val="005C6D44"/>
    <w:rsid w:val="005D67EA"/>
    <w:rsid w:val="005E2750"/>
    <w:rsid w:val="0066132F"/>
    <w:rsid w:val="00750C2A"/>
    <w:rsid w:val="007519E4"/>
    <w:rsid w:val="007A38DB"/>
    <w:rsid w:val="00801731"/>
    <w:rsid w:val="008A5319"/>
    <w:rsid w:val="00903233"/>
    <w:rsid w:val="00966C04"/>
    <w:rsid w:val="009A4068"/>
    <w:rsid w:val="009F33D7"/>
    <w:rsid w:val="00A22DBD"/>
    <w:rsid w:val="00A42FDD"/>
    <w:rsid w:val="00A531F1"/>
    <w:rsid w:val="00A655AB"/>
    <w:rsid w:val="00A95E96"/>
    <w:rsid w:val="00AE49C8"/>
    <w:rsid w:val="00B17589"/>
    <w:rsid w:val="00B53019"/>
    <w:rsid w:val="00CB14C8"/>
    <w:rsid w:val="00D00342"/>
    <w:rsid w:val="00D722EA"/>
    <w:rsid w:val="00DC789B"/>
    <w:rsid w:val="00DE0B58"/>
    <w:rsid w:val="00DE6B02"/>
    <w:rsid w:val="00E46C00"/>
    <w:rsid w:val="00E632E0"/>
    <w:rsid w:val="00E74796"/>
    <w:rsid w:val="00ED7845"/>
    <w:rsid w:val="00F0063A"/>
    <w:rsid w:val="00F50063"/>
    <w:rsid w:val="00F858BF"/>
    <w:rsid w:val="00FD6192"/>
    <w:rsid w:val="0348346B"/>
    <w:rsid w:val="07D55A0B"/>
    <w:rsid w:val="07E00A19"/>
    <w:rsid w:val="0CEB197E"/>
    <w:rsid w:val="0EF13A7A"/>
    <w:rsid w:val="0EF652E5"/>
    <w:rsid w:val="12A30A51"/>
    <w:rsid w:val="13EE6D0A"/>
    <w:rsid w:val="14EB3867"/>
    <w:rsid w:val="14EB7D6B"/>
    <w:rsid w:val="190B53BF"/>
    <w:rsid w:val="1A6C7032"/>
    <w:rsid w:val="1B065BD4"/>
    <w:rsid w:val="1FBE43EF"/>
    <w:rsid w:val="22B329F9"/>
    <w:rsid w:val="28561663"/>
    <w:rsid w:val="35CE2714"/>
    <w:rsid w:val="35FD17AE"/>
    <w:rsid w:val="38A76DB8"/>
    <w:rsid w:val="3DEC13F0"/>
    <w:rsid w:val="3EE562AC"/>
    <w:rsid w:val="434314DC"/>
    <w:rsid w:val="474B71D3"/>
    <w:rsid w:val="4CF47388"/>
    <w:rsid w:val="4F5143C3"/>
    <w:rsid w:val="5130038C"/>
    <w:rsid w:val="535060B7"/>
    <w:rsid w:val="54BC014F"/>
    <w:rsid w:val="54E703A1"/>
    <w:rsid w:val="5561241E"/>
    <w:rsid w:val="5AF43CCD"/>
    <w:rsid w:val="5DB14445"/>
    <w:rsid w:val="602E1EFA"/>
    <w:rsid w:val="60D314FD"/>
    <w:rsid w:val="679437C6"/>
    <w:rsid w:val="67D93C76"/>
    <w:rsid w:val="69147EFF"/>
    <w:rsid w:val="6A827718"/>
    <w:rsid w:val="6DD20D40"/>
    <w:rsid w:val="70281D5C"/>
    <w:rsid w:val="7CC45AD3"/>
    <w:rsid w:val="7D2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qFormat="1" w:unhideWhenUsed="0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宋体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link w:val="49"/>
    <w:qFormat/>
    <w:uiPriority w:val="0"/>
    <w:pPr>
      <w:keepNext/>
      <w:keepLines/>
      <w:pageBreakBefore/>
      <w:numPr>
        <w:ilvl w:val="0"/>
        <w:numId w:val="1"/>
      </w:numPr>
      <w:tabs>
        <w:tab w:val="center" w:pos="0"/>
        <w:tab w:val="left" w:pos="3402"/>
        <w:tab w:val="left" w:pos="3828"/>
      </w:tabs>
      <w:spacing w:before="240" w:after="240" w:line="240" w:lineRule="auto"/>
      <w:ind w:firstLineChars="0"/>
      <w:jc w:val="left"/>
      <w:outlineLvl w:val="0"/>
    </w:pPr>
    <w:rPr>
      <w:rFonts w:eastAsia="黑体"/>
      <w:bCs/>
      <w:kern w:val="0"/>
      <w:sz w:val="44"/>
      <w:szCs w:val="44"/>
    </w:rPr>
  </w:style>
  <w:style w:type="paragraph" w:styleId="3">
    <w:name w:val="heading 2"/>
    <w:basedOn w:val="1"/>
    <w:next w:val="1"/>
    <w:link w:val="50"/>
    <w:qFormat/>
    <w:uiPriority w:val="0"/>
    <w:pPr>
      <w:keepNext/>
      <w:keepLines/>
      <w:numPr>
        <w:ilvl w:val="1"/>
        <w:numId w:val="1"/>
      </w:numPr>
      <w:spacing w:before="240" w:after="120" w:line="480" w:lineRule="auto"/>
      <w:ind w:firstLineChars="0"/>
      <w:jc w:val="left"/>
      <w:outlineLvl w:val="1"/>
    </w:pPr>
    <w:rPr>
      <w:rFonts w:eastAsia="黑体"/>
      <w:bCs/>
      <w:sz w:val="36"/>
      <w:szCs w:val="36"/>
      <w:lang w:val="zh-CN"/>
    </w:rPr>
  </w:style>
  <w:style w:type="paragraph" w:styleId="4">
    <w:name w:val="heading 3"/>
    <w:basedOn w:val="1"/>
    <w:next w:val="1"/>
    <w:link w:val="51"/>
    <w:qFormat/>
    <w:uiPriority w:val="0"/>
    <w:pPr>
      <w:keepNext/>
      <w:keepLines/>
      <w:numPr>
        <w:ilvl w:val="2"/>
        <w:numId w:val="1"/>
      </w:numPr>
      <w:spacing w:before="326" w:beforeLines="100" w:after="163" w:afterLines="50"/>
      <w:ind w:firstLineChars="0"/>
      <w:jc w:val="left"/>
      <w:outlineLvl w:val="2"/>
    </w:pPr>
    <w:rPr>
      <w:rFonts w:eastAsia="黑体"/>
      <w:bCs/>
      <w:sz w:val="32"/>
      <w:szCs w:val="32"/>
      <w:lang w:val="zh-CN"/>
    </w:rPr>
  </w:style>
  <w:style w:type="paragraph" w:styleId="5">
    <w:name w:val="heading 4"/>
    <w:basedOn w:val="1"/>
    <w:next w:val="1"/>
    <w:link w:val="52"/>
    <w:qFormat/>
    <w:uiPriority w:val="0"/>
    <w:pPr>
      <w:keepNext/>
      <w:keepLines/>
      <w:numPr>
        <w:ilvl w:val="3"/>
        <w:numId w:val="1"/>
      </w:numPr>
      <w:spacing w:before="163" w:beforeLines="50" w:after="163" w:afterLines="50"/>
      <w:ind w:firstLineChars="0"/>
      <w:jc w:val="left"/>
      <w:outlineLvl w:val="3"/>
    </w:pPr>
    <w:rPr>
      <w:rFonts w:eastAsia="黑体"/>
      <w:bCs/>
      <w:sz w:val="30"/>
      <w:szCs w:val="28"/>
      <w:lang w:val="zh-CN"/>
    </w:rPr>
  </w:style>
  <w:style w:type="paragraph" w:styleId="6">
    <w:name w:val="heading 5"/>
    <w:basedOn w:val="1"/>
    <w:next w:val="1"/>
    <w:link w:val="53"/>
    <w:qFormat/>
    <w:uiPriority w:val="0"/>
    <w:pPr>
      <w:keepNext/>
      <w:keepLines/>
      <w:numPr>
        <w:ilvl w:val="4"/>
        <w:numId w:val="1"/>
      </w:numPr>
      <w:snapToGrid w:val="0"/>
      <w:spacing w:before="50" w:beforeLines="50"/>
      <w:ind w:firstLineChars="0"/>
      <w:jc w:val="left"/>
      <w:outlineLvl w:val="4"/>
    </w:pPr>
    <w:rPr>
      <w:rFonts w:eastAsia="黑体"/>
      <w:bCs/>
      <w:sz w:val="28"/>
      <w:szCs w:val="28"/>
    </w:rPr>
  </w:style>
  <w:style w:type="paragraph" w:styleId="7">
    <w:name w:val="heading 6"/>
    <w:basedOn w:val="1"/>
    <w:next w:val="1"/>
    <w:link w:val="34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ind w:firstLineChars="0"/>
      <w:outlineLvl w:val="5"/>
    </w:pPr>
    <w:rPr>
      <w:rFonts w:eastAsia="黑体"/>
      <w:b/>
      <w:bCs/>
    </w:rPr>
  </w:style>
  <w:style w:type="paragraph" w:styleId="8">
    <w:name w:val="heading 7"/>
    <w:basedOn w:val="1"/>
    <w:next w:val="1"/>
    <w:link w:val="28"/>
    <w:qFormat/>
    <w:uiPriority w:val="0"/>
    <w:pPr>
      <w:keepNext/>
      <w:keepLines/>
      <w:numPr>
        <w:ilvl w:val="6"/>
        <w:numId w:val="1"/>
      </w:numPr>
      <w:spacing w:before="120" w:after="64"/>
      <w:ind w:firstLineChars="0"/>
      <w:jc w:val="left"/>
      <w:outlineLvl w:val="6"/>
    </w:pPr>
    <w:rPr>
      <w:bCs/>
      <w:szCs w:val="24"/>
      <w:lang w:eastAsia="en-US"/>
    </w:rPr>
  </w:style>
  <w:style w:type="paragraph" w:styleId="9">
    <w:name w:val="heading 8"/>
    <w:basedOn w:val="1"/>
    <w:next w:val="1"/>
    <w:link w:val="39"/>
    <w:qFormat/>
    <w:uiPriority w:val="0"/>
    <w:pPr>
      <w:keepNext/>
      <w:keepLines/>
      <w:spacing w:before="240" w:after="64" w:line="319" w:lineRule="auto"/>
      <w:ind w:firstLine="0" w:firstLineChars="0"/>
      <w:jc w:val="left"/>
      <w:outlineLvl w:val="7"/>
    </w:pPr>
    <w:rPr>
      <w:rFonts w:ascii="Cambria" w:hAnsi="Cambria" w:cstheme="majorBidi"/>
      <w:szCs w:val="24"/>
      <w:lang w:eastAsia="en-US"/>
    </w:rPr>
  </w:style>
  <w:style w:type="paragraph" w:styleId="10">
    <w:name w:val="heading 9"/>
    <w:basedOn w:val="1"/>
    <w:next w:val="1"/>
    <w:link w:val="36"/>
    <w:qFormat/>
    <w:uiPriority w:val="0"/>
    <w:pPr>
      <w:keepNext/>
      <w:keepLines/>
      <w:spacing w:before="240" w:after="64" w:line="320" w:lineRule="auto"/>
      <w:ind w:firstLine="0" w:firstLineChars="0"/>
      <w:outlineLvl w:val="8"/>
    </w:pPr>
    <w:rPr>
      <w:rFonts w:ascii="Cambria" w:hAnsi="Cambria" w:cstheme="majorBidi"/>
      <w:kern w:val="0"/>
      <w:sz w:val="20"/>
      <w:szCs w:val="21"/>
      <w:lang w:eastAsia="en-US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link w:val="54"/>
    <w:qFormat/>
    <w:uiPriority w:val="35"/>
    <w:pPr>
      <w:ind w:firstLine="0" w:firstLineChars="0"/>
      <w:jc w:val="center"/>
    </w:pPr>
    <w:rPr>
      <w:rFonts w:ascii="Arial Unicode MS" w:hAnsi="Arial Unicode MS"/>
      <w:kern w:val="0"/>
      <w:sz w:val="20"/>
    </w:rPr>
  </w:style>
  <w:style w:type="paragraph" w:styleId="12">
    <w:name w:val="Body Text"/>
    <w:basedOn w:val="1"/>
    <w:link w:val="60"/>
    <w:qFormat/>
    <w:uiPriority w:val="0"/>
    <w:pPr>
      <w:adjustRightInd w:val="0"/>
      <w:spacing w:after="60" w:line="360" w:lineRule="atLeast"/>
      <w:ind w:left="72" w:leftChars="30" w:right="30" w:rightChars="30" w:firstLine="0" w:firstLineChars="0"/>
      <w:jc w:val="center"/>
      <w:textAlignment w:val="baseline"/>
    </w:pPr>
    <w:rPr>
      <w:rFonts w:ascii="Times New Roman" w:hAnsi="Times New Roman" w:cs="Times New Roman"/>
      <w:kern w:val="0"/>
      <w:sz w:val="20"/>
    </w:rPr>
  </w:style>
  <w:style w:type="paragraph" w:styleId="13">
    <w:name w:val="toc 5"/>
    <w:basedOn w:val="1"/>
    <w:next w:val="1"/>
    <w:qFormat/>
    <w:uiPriority w:val="39"/>
    <w:pPr>
      <w:ind w:left="400" w:leftChars="400"/>
    </w:pPr>
  </w:style>
  <w:style w:type="paragraph" w:styleId="14">
    <w:name w:val="toc 3"/>
    <w:basedOn w:val="1"/>
    <w:next w:val="1"/>
    <w:qFormat/>
    <w:uiPriority w:val="39"/>
    <w:pPr>
      <w:tabs>
        <w:tab w:val="right" w:leader="dot" w:pos="8302"/>
      </w:tabs>
      <w:ind w:left="200" w:leftChars="200"/>
    </w:pPr>
  </w:style>
  <w:style w:type="paragraph" w:styleId="15">
    <w:name w:val="Balloon Text"/>
    <w:basedOn w:val="1"/>
    <w:link w:val="6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6">
    <w:name w:val="footer"/>
    <w:basedOn w:val="1"/>
    <w:link w:val="6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7">
    <w:name w:val="header"/>
    <w:basedOn w:val="1"/>
    <w:link w:val="6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39"/>
    <w:pPr>
      <w:tabs>
        <w:tab w:val="right" w:leader="dot" w:pos="8302"/>
      </w:tabs>
      <w:ind w:firstLine="0" w:firstLineChars="0"/>
    </w:pPr>
  </w:style>
  <w:style w:type="paragraph" w:styleId="19">
    <w:name w:val="toc 2"/>
    <w:basedOn w:val="1"/>
    <w:next w:val="1"/>
    <w:qFormat/>
    <w:uiPriority w:val="39"/>
    <w:pPr>
      <w:tabs>
        <w:tab w:val="right" w:leader="dot" w:pos="8302"/>
      </w:tabs>
      <w:ind w:left="100" w:leftChars="100"/>
    </w:pPr>
  </w:style>
  <w:style w:type="paragraph" w:styleId="20">
    <w:name w:val="Title"/>
    <w:basedOn w:val="1"/>
    <w:link w:val="55"/>
    <w:qFormat/>
    <w:uiPriority w:val="0"/>
    <w:pPr>
      <w:spacing w:line="240" w:lineRule="auto"/>
      <w:ind w:firstLine="0" w:firstLineChars="0"/>
      <w:jc w:val="center"/>
    </w:pPr>
    <w:rPr>
      <w:rFonts w:ascii="Calibri" w:hAnsi="Calibri" w:eastAsia="黑体" w:cs="Times New Roman"/>
      <w:b/>
      <w:bCs/>
      <w:kern w:val="0"/>
      <w:sz w:val="84"/>
      <w:szCs w:val="24"/>
    </w:rPr>
  </w:style>
  <w:style w:type="character" w:styleId="22">
    <w:name w:val="Strong"/>
    <w:qFormat/>
    <w:uiPriority w:val="22"/>
    <w:rPr>
      <w:rFonts w:ascii="Verdana" w:hAnsi="Verdana" w:eastAsia="宋体"/>
      <w:b/>
      <w:bCs/>
      <w:sz w:val="28"/>
      <w:szCs w:val="28"/>
      <w:lang w:val="en-US" w:eastAsia="en-US" w:bidi="ar-SA"/>
    </w:rPr>
  </w:style>
  <w:style w:type="table" w:styleId="24">
    <w:name w:val="Table Grid"/>
    <w:basedOn w:val="2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编号，小四"/>
    <w:basedOn w:val="1"/>
    <w:link w:val="26"/>
    <w:qFormat/>
    <w:uiPriority w:val="0"/>
    <w:pPr>
      <w:ind w:left="420" w:firstLine="0" w:firstLineChars="0"/>
    </w:pPr>
    <w:rPr>
      <w:kern w:val="0"/>
    </w:rPr>
  </w:style>
  <w:style w:type="character" w:customStyle="1" w:styleId="26">
    <w:name w:val="编号，小四 Char"/>
    <w:link w:val="25"/>
    <w:qFormat/>
    <w:uiPriority w:val="0"/>
    <w:rPr>
      <w:rFonts w:ascii="Arial" w:hAnsi="Arial" w:cs="宋体"/>
      <w:sz w:val="24"/>
    </w:rPr>
  </w:style>
  <w:style w:type="paragraph" w:customStyle="1" w:styleId="27">
    <w:name w:val="样式 标题 7 +"/>
    <w:basedOn w:val="8"/>
    <w:qFormat/>
    <w:uiPriority w:val="0"/>
    <w:pPr>
      <w:numPr>
        <w:ilvl w:val="0"/>
        <w:numId w:val="0"/>
      </w:numPr>
      <w:jc w:val="center"/>
    </w:pPr>
    <w:rPr>
      <w:b/>
    </w:rPr>
  </w:style>
  <w:style w:type="character" w:customStyle="1" w:styleId="28">
    <w:name w:val="标题 7 Char"/>
    <w:link w:val="8"/>
    <w:qFormat/>
    <w:uiPriority w:val="0"/>
    <w:rPr>
      <w:rFonts w:ascii="Arial" w:hAnsi="Arial" w:cs="宋体"/>
      <w:bCs/>
      <w:kern w:val="2"/>
      <w:sz w:val="24"/>
      <w:szCs w:val="24"/>
      <w:lang w:eastAsia="en-US"/>
    </w:rPr>
  </w:style>
  <w:style w:type="paragraph" w:customStyle="1" w:styleId="29">
    <w:name w:val="表格表头"/>
    <w:basedOn w:val="1"/>
    <w:qFormat/>
    <w:uiPriority w:val="0"/>
    <w:pPr>
      <w:ind w:firstLine="0" w:firstLineChars="0"/>
      <w:jc w:val="center"/>
      <w:outlineLvl w:val="0"/>
    </w:pPr>
    <w:rPr>
      <w:rFonts w:ascii="宋体" w:hAnsi="宋体" w:eastAsia="黑体"/>
      <w:szCs w:val="21"/>
    </w:rPr>
  </w:style>
  <w:style w:type="paragraph" w:customStyle="1" w:styleId="30">
    <w:name w:val="表格正文"/>
    <w:basedOn w:val="1"/>
    <w:qFormat/>
    <w:uiPriority w:val="0"/>
    <w:pPr>
      <w:ind w:firstLine="0" w:firstLineChars="0"/>
      <w:jc w:val="left"/>
    </w:pPr>
    <w:rPr>
      <w:sz w:val="21"/>
    </w:rPr>
  </w:style>
  <w:style w:type="paragraph" w:customStyle="1" w:styleId="31">
    <w:name w:val="表1"/>
    <w:basedOn w:val="1"/>
    <w:qFormat/>
    <w:uiPriority w:val="0"/>
    <w:pPr>
      <w:numPr>
        <w:ilvl w:val="0"/>
        <w:numId w:val="2"/>
      </w:numPr>
      <w:ind w:firstLine="0" w:firstLineChars="0"/>
      <w:jc w:val="center"/>
    </w:pPr>
    <w:rPr>
      <w:sz w:val="21"/>
    </w:rPr>
  </w:style>
  <w:style w:type="paragraph" w:customStyle="1" w:styleId="32">
    <w:name w:val="标题6"/>
    <w:basedOn w:val="7"/>
    <w:next w:val="1"/>
    <w:link w:val="33"/>
    <w:qFormat/>
    <w:uiPriority w:val="0"/>
    <w:pPr>
      <w:numPr>
        <w:ilvl w:val="0"/>
        <w:numId w:val="0"/>
      </w:numPr>
    </w:pPr>
    <w:rPr>
      <w:kern w:val="0"/>
    </w:rPr>
  </w:style>
  <w:style w:type="character" w:customStyle="1" w:styleId="33">
    <w:name w:val="标题6 Char"/>
    <w:link w:val="32"/>
    <w:qFormat/>
    <w:uiPriority w:val="0"/>
    <w:rPr>
      <w:rFonts w:ascii="Arial" w:hAnsi="Arial" w:eastAsia="黑体" w:cs="宋体"/>
      <w:b/>
      <w:bCs/>
      <w:sz w:val="24"/>
    </w:rPr>
  </w:style>
  <w:style w:type="character" w:customStyle="1" w:styleId="34">
    <w:name w:val="标题 6 Char"/>
    <w:link w:val="7"/>
    <w:qFormat/>
    <w:uiPriority w:val="0"/>
    <w:rPr>
      <w:rFonts w:ascii="Arial" w:hAnsi="Arial" w:eastAsia="黑体" w:cs="宋体"/>
      <w:b/>
      <w:bCs/>
      <w:kern w:val="2"/>
      <w:sz w:val="24"/>
    </w:rPr>
  </w:style>
  <w:style w:type="paragraph" w:customStyle="1" w:styleId="35">
    <w:name w:val="标题9"/>
    <w:basedOn w:val="10"/>
    <w:next w:val="1"/>
    <w:qFormat/>
    <w:uiPriority w:val="0"/>
    <w:rPr>
      <w:rFonts w:cs="Times New Roman"/>
      <w:kern w:val="2"/>
      <w:sz w:val="21"/>
    </w:rPr>
  </w:style>
  <w:style w:type="character" w:customStyle="1" w:styleId="36">
    <w:name w:val="标题 9 Char"/>
    <w:link w:val="10"/>
    <w:qFormat/>
    <w:uiPriority w:val="0"/>
    <w:rPr>
      <w:rFonts w:ascii="Cambria" w:hAnsi="Cambria" w:cstheme="majorBidi"/>
      <w:szCs w:val="21"/>
      <w:lang w:eastAsia="en-US"/>
    </w:rPr>
  </w:style>
  <w:style w:type="paragraph" w:customStyle="1" w:styleId="37">
    <w:name w:val="正文黑体"/>
    <w:basedOn w:val="1"/>
    <w:qFormat/>
    <w:uiPriority w:val="0"/>
    <w:pPr>
      <w:ind w:firstLine="480"/>
    </w:pPr>
    <w:rPr>
      <w:rFonts w:ascii="黑体" w:hAnsi="黑体" w:eastAsia="黑体"/>
    </w:rPr>
  </w:style>
  <w:style w:type="paragraph" w:customStyle="1" w:styleId="38">
    <w:name w:val="样式 标题 8 + 左"/>
    <w:basedOn w:val="9"/>
    <w:qFormat/>
    <w:uiPriority w:val="0"/>
    <w:rPr>
      <w:rFonts w:cs="宋体"/>
      <w:szCs w:val="20"/>
    </w:rPr>
  </w:style>
  <w:style w:type="character" w:customStyle="1" w:styleId="39">
    <w:name w:val="标题 8 Char"/>
    <w:link w:val="9"/>
    <w:qFormat/>
    <w:uiPriority w:val="0"/>
    <w:rPr>
      <w:rFonts w:ascii="Cambria" w:hAnsi="Cambria" w:cstheme="majorBidi"/>
      <w:kern w:val="2"/>
      <w:sz w:val="24"/>
      <w:szCs w:val="24"/>
      <w:lang w:eastAsia="en-US"/>
    </w:rPr>
  </w:style>
  <w:style w:type="paragraph" w:customStyle="1" w:styleId="40">
    <w:name w:val="标题2"/>
    <w:basedOn w:val="1"/>
    <w:qFormat/>
    <w:uiPriority w:val="0"/>
    <w:pPr>
      <w:spacing w:before="156" w:beforeLines="50" w:after="156" w:afterLines="50"/>
      <w:ind w:left="567" w:hanging="567" w:firstLineChars="0"/>
      <w:outlineLvl w:val="1"/>
    </w:pPr>
    <w:rPr>
      <w:rFonts w:ascii="Times New Roman" w:hAnsi="宋体"/>
      <w:b/>
      <w:sz w:val="30"/>
      <w:szCs w:val="30"/>
    </w:rPr>
  </w:style>
  <w:style w:type="paragraph" w:customStyle="1" w:styleId="41">
    <w:name w:val="标题4"/>
    <w:basedOn w:val="1"/>
    <w:link w:val="42"/>
    <w:qFormat/>
    <w:uiPriority w:val="0"/>
    <w:pPr>
      <w:spacing w:before="156" w:beforeLines="50" w:after="156" w:afterLines="50"/>
      <w:ind w:left="851" w:hanging="851" w:firstLineChars="0"/>
      <w:outlineLvl w:val="3"/>
    </w:pPr>
    <w:rPr>
      <w:rFonts w:ascii="Times New Roman" w:hAnsi="Times New Roman"/>
      <w:kern w:val="0"/>
      <w:szCs w:val="24"/>
    </w:rPr>
  </w:style>
  <w:style w:type="character" w:customStyle="1" w:styleId="42">
    <w:name w:val="标题4 Char"/>
    <w:link w:val="41"/>
    <w:qFormat/>
    <w:uiPriority w:val="0"/>
    <w:rPr>
      <w:rFonts w:ascii="Times New Roman" w:hAnsi="Times New Roman" w:cs="宋体"/>
      <w:sz w:val="24"/>
      <w:szCs w:val="24"/>
    </w:rPr>
  </w:style>
  <w:style w:type="paragraph" w:customStyle="1" w:styleId="43">
    <w:name w:val="列出段落1"/>
    <w:basedOn w:val="1"/>
    <w:link w:val="44"/>
    <w:qFormat/>
    <w:uiPriority w:val="34"/>
    <w:pPr>
      <w:ind w:firstLine="420"/>
    </w:pPr>
    <w:rPr>
      <w:kern w:val="0"/>
    </w:rPr>
  </w:style>
  <w:style w:type="character" w:customStyle="1" w:styleId="44">
    <w:name w:val="列出段落 Char"/>
    <w:link w:val="43"/>
    <w:locked/>
    <w:uiPriority w:val="34"/>
    <w:rPr>
      <w:rFonts w:ascii="Arial" w:hAnsi="Arial" w:cs="宋体"/>
      <w:sz w:val="24"/>
    </w:rPr>
  </w:style>
  <w:style w:type="paragraph" w:customStyle="1" w:styleId="45">
    <w:name w:val="*正文"/>
    <w:basedOn w:val="1"/>
    <w:link w:val="46"/>
    <w:qFormat/>
    <w:uiPriority w:val="0"/>
    <w:pPr>
      <w:ind w:firstLine="0" w:firstLineChars="0"/>
    </w:pPr>
    <w:rPr>
      <w:rFonts w:ascii="宋体" w:hAnsi="宋体"/>
      <w:kern w:val="0"/>
      <w:szCs w:val="24"/>
    </w:rPr>
  </w:style>
  <w:style w:type="character" w:customStyle="1" w:styleId="46">
    <w:name w:val="*正文 Char"/>
    <w:link w:val="45"/>
    <w:qFormat/>
    <w:uiPriority w:val="0"/>
    <w:rPr>
      <w:rFonts w:ascii="宋体" w:hAnsi="宋体" w:cs="宋体"/>
      <w:sz w:val="24"/>
      <w:szCs w:val="24"/>
    </w:rPr>
  </w:style>
  <w:style w:type="paragraph" w:customStyle="1" w:styleId="47">
    <w:name w:val="正文1111"/>
    <w:basedOn w:val="1"/>
    <w:link w:val="48"/>
    <w:qFormat/>
    <w:uiPriority w:val="0"/>
    <w:pPr>
      <w:spacing w:before="120" w:after="120"/>
      <w:ind w:firstLine="420"/>
    </w:pPr>
    <w:rPr>
      <w:rFonts w:ascii="Calibri" w:hAnsi="Calibri"/>
      <w:kern w:val="0"/>
      <w:sz w:val="20"/>
      <w:szCs w:val="21"/>
    </w:rPr>
  </w:style>
  <w:style w:type="character" w:customStyle="1" w:styleId="48">
    <w:name w:val="正文1111 Char"/>
    <w:link w:val="47"/>
    <w:qFormat/>
    <w:uiPriority w:val="0"/>
    <w:rPr>
      <w:rFonts w:cs="宋体"/>
      <w:szCs w:val="21"/>
    </w:rPr>
  </w:style>
  <w:style w:type="character" w:customStyle="1" w:styleId="49">
    <w:name w:val="标题 1 Char"/>
    <w:link w:val="2"/>
    <w:qFormat/>
    <w:uiPriority w:val="0"/>
    <w:rPr>
      <w:rFonts w:ascii="Arial" w:hAnsi="Arial" w:eastAsia="黑体" w:cs="宋体"/>
      <w:bCs/>
      <w:sz w:val="44"/>
      <w:szCs w:val="44"/>
    </w:rPr>
  </w:style>
  <w:style w:type="character" w:customStyle="1" w:styleId="50">
    <w:name w:val="标题 2 Char"/>
    <w:link w:val="3"/>
    <w:qFormat/>
    <w:uiPriority w:val="0"/>
    <w:rPr>
      <w:rFonts w:ascii="Arial" w:hAnsi="Arial" w:eastAsia="黑体" w:cs="宋体"/>
      <w:bCs/>
      <w:kern w:val="2"/>
      <w:sz w:val="36"/>
      <w:szCs w:val="36"/>
      <w:lang w:val="zh-CN" w:eastAsia="zh-CN"/>
    </w:rPr>
  </w:style>
  <w:style w:type="character" w:customStyle="1" w:styleId="51">
    <w:name w:val="标题 3 Char"/>
    <w:link w:val="4"/>
    <w:qFormat/>
    <w:uiPriority w:val="0"/>
    <w:rPr>
      <w:rFonts w:ascii="Arial" w:hAnsi="Arial" w:eastAsia="黑体" w:cs="宋体"/>
      <w:bCs/>
      <w:kern w:val="2"/>
      <w:sz w:val="32"/>
      <w:szCs w:val="32"/>
      <w:lang w:val="zh-CN"/>
    </w:rPr>
  </w:style>
  <w:style w:type="character" w:customStyle="1" w:styleId="52">
    <w:name w:val="标题 4 Char"/>
    <w:link w:val="5"/>
    <w:qFormat/>
    <w:uiPriority w:val="0"/>
    <w:rPr>
      <w:rFonts w:ascii="Arial" w:hAnsi="Arial" w:eastAsia="黑体" w:cs="宋体"/>
      <w:bCs/>
      <w:kern w:val="2"/>
      <w:sz w:val="30"/>
      <w:szCs w:val="28"/>
      <w:lang w:val="zh-CN" w:eastAsia="zh-CN"/>
    </w:rPr>
  </w:style>
  <w:style w:type="character" w:customStyle="1" w:styleId="53">
    <w:name w:val="标题 5 Char"/>
    <w:link w:val="6"/>
    <w:qFormat/>
    <w:uiPriority w:val="0"/>
    <w:rPr>
      <w:rFonts w:ascii="Arial" w:hAnsi="Arial" w:eastAsia="黑体" w:cs="宋体"/>
      <w:bCs/>
      <w:kern w:val="2"/>
      <w:sz w:val="28"/>
      <w:szCs w:val="28"/>
    </w:rPr>
  </w:style>
  <w:style w:type="character" w:customStyle="1" w:styleId="54">
    <w:name w:val="题注 Char"/>
    <w:link w:val="11"/>
    <w:qFormat/>
    <w:locked/>
    <w:uiPriority w:val="35"/>
    <w:rPr>
      <w:rFonts w:ascii="Arial Unicode MS" w:hAnsi="Arial Unicode MS" w:cs="宋体"/>
    </w:rPr>
  </w:style>
  <w:style w:type="character" w:customStyle="1" w:styleId="55">
    <w:name w:val="标题 Char"/>
    <w:link w:val="20"/>
    <w:qFormat/>
    <w:uiPriority w:val="0"/>
    <w:rPr>
      <w:rFonts w:eastAsia="黑体"/>
      <w:b/>
      <w:bCs/>
      <w:sz w:val="84"/>
      <w:szCs w:val="24"/>
    </w:rPr>
  </w:style>
  <w:style w:type="paragraph" w:styleId="56">
    <w:name w:val="No Spacing"/>
    <w:link w:val="57"/>
    <w:qFormat/>
    <w:uiPriority w:val="1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customStyle="1" w:styleId="57">
    <w:name w:val="无间隔 Char"/>
    <w:link w:val="56"/>
    <w:qFormat/>
    <w:uiPriority w:val="1"/>
  </w:style>
  <w:style w:type="character" w:customStyle="1" w:styleId="58">
    <w:name w:val="明显参考1"/>
    <w:qFormat/>
    <w:uiPriority w:val="32"/>
    <w:rPr>
      <w:b/>
      <w:bCs/>
      <w:smallCaps/>
      <w:color w:val="C0504D"/>
      <w:spacing w:val="5"/>
      <w:u w:val="single"/>
    </w:rPr>
  </w:style>
  <w:style w:type="paragraph" w:customStyle="1" w:styleId="59">
    <w:name w:val="TOC 标题1"/>
    <w:basedOn w:val="2"/>
    <w:next w:val="1"/>
    <w:qFormat/>
    <w:uiPriority w:val="39"/>
    <w:pPr>
      <w:pageBreakBefore w:val="0"/>
      <w:widowControl/>
      <w:numPr>
        <w:numId w:val="0"/>
      </w:numPr>
      <w:spacing w:before="480" w:after="0" w:line="276" w:lineRule="auto"/>
      <w:outlineLvl w:val="9"/>
    </w:pPr>
    <w:rPr>
      <w:rFonts w:ascii="Cambria" w:hAnsi="Cambria" w:eastAsia="宋体" w:cs="Times New Roman"/>
      <w:color w:val="365F91"/>
      <w:sz w:val="28"/>
      <w:szCs w:val="28"/>
    </w:rPr>
  </w:style>
  <w:style w:type="character" w:customStyle="1" w:styleId="60">
    <w:name w:val="正文文本 Char"/>
    <w:basedOn w:val="21"/>
    <w:link w:val="12"/>
    <w:qFormat/>
    <w:uiPriority w:val="0"/>
    <w:rPr>
      <w:rFonts w:ascii="Times New Roman" w:hAnsi="Times New Roman"/>
    </w:rPr>
  </w:style>
  <w:style w:type="character" w:customStyle="1" w:styleId="61">
    <w:name w:val="页眉 Char"/>
    <w:basedOn w:val="21"/>
    <w:link w:val="17"/>
    <w:qFormat/>
    <w:uiPriority w:val="99"/>
    <w:rPr>
      <w:rFonts w:ascii="Arial" w:hAnsi="Arial" w:cs="宋体"/>
      <w:kern w:val="2"/>
      <w:sz w:val="18"/>
      <w:szCs w:val="18"/>
    </w:rPr>
  </w:style>
  <w:style w:type="character" w:customStyle="1" w:styleId="62">
    <w:name w:val="页脚 Char"/>
    <w:basedOn w:val="21"/>
    <w:link w:val="16"/>
    <w:qFormat/>
    <w:uiPriority w:val="99"/>
    <w:rPr>
      <w:rFonts w:ascii="Arial" w:hAnsi="Arial" w:cs="宋体"/>
      <w:kern w:val="2"/>
      <w:sz w:val="18"/>
      <w:szCs w:val="18"/>
    </w:rPr>
  </w:style>
  <w:style w:type="character" w:customStyle="1" w:styleId="63">
    <w:name w:val="批注框文本 Char"/>
    <w:basedOn w:val="21"/>
    <w:link w:val="15"/>
    <w:semiHidden/>
    <w:uiPriority w:val="99"/>
    <w:rPr>
      <w:rFonts w:ascii="Arial" w:hAnsi="Arial" w:cs="宋体"/>
      <w:kern w:val="2"/>
      <w:sz w:val="18"/>
      <w:szCs w:val="18"/>
    </w:rPr>
  </w:style>
  <w:style w:type="character" w:customStyle="1" w:styleId="64">
    <w:name w:val="NormalCharacter"/>
    <w:qFormat/>
    <w:uiPriority w:val="0"/>
  </w:style>
  <w:style w:type="paragraph" w:styleId="6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41</Pages>
  <Words>2228</Words>
  <Characters>12705</Characters>
  <Lines>105</Lines>
  <Paragraphs>29</Paragraphs>
  <TotalTime>119</TotalTime>
  <ScaleCrop>false</ScaleCrop>
  <LinksUpToDate>false</LinksUpToDate>
  <CharactersWithSpaces>14904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2021-07-28T06:44:00Z</dcterms:created>
  <dc:creator>Admin</dc:creator>
  <cp:lastModifiedBy>Administrator</cp:lastModifiedBy>
  <dcterms:modified xsi:type="dcterms:W3CDTF">2021-10-19T07:49:24Z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F3547E80C9C943318F733F90030DA2A6</vt:lpwstr>
  </property>
</Properties>
</file>